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AED14" w14:textId="325B9F13" w:rsidR="00841E1C" w:rsidRDefault="00841E1C" w:rsidP="00841E1C">
      <w:pPr>
        <w:jc w:val="center"/>
        <w:rPr>
          <w:b/>
          <w:color w:val="FF0000"/>
          <w:sz w:val="32"/>
          <w:szCs w:val="32"/>
        </w:rPr>
      </w:pPr>
      <w:bookmarkStart w:id="0" w:name="_GoBack"/>
      <w:bookmarkEnd w:id="0"/>
    </w:p>
    <w:p w14:paraId="7FF26AA6" w14:textId="77777777" w:rsidR="004C0176" w:rsidRPr="009F7E9D" w:rsidRDefault="004C0176" w:rsidP="00841E1C">
      <w:pPr>
        <w:jc w:val="center"/>
      </w:pPr>
    </w:p>
    <w:p w14:paraId="4C05E1EB" w14:textId="77777777" w:rsidR="00841E1C" w:rsidRPr="009F7E9D" w:rsidRDefault="00841E1C" w:rsidP="00841E1C"/>
    <w:p w14:paraId="18B8E36B" w14:textId="77777777" w:rsidR="00841E1C" w:rsidRPr="009F7E9D" w:rsidRDefault="00841E1C" w:rsidP="00841E1C"/>
    <w:p w14:paraId="07F93AB2" w14:textId="77777777" w:rsidR="00841E1C" w:rsidRPr="009F7E9D" w:rsidRDefault="00841E1C" w:rsidP="00841E1C"/>
    <w:p w14:paraId="7F4D6254" w14:textId="77777777" w:rsidR="00841E1C" w:rsidRPr="009F7E9D" w:rsidRDefault="00841E1C" w:rsidP="00841E1C"/>
    <w:p w14:paraId="56C21C09" w14:textId="77777777" w:rsidR="00841E1C" w:rsidRPr="009F7E9D" w:rsidRDefault="00841E1C" w:rsidP="00841E1C"/>
    <w:p w14:paraId="6FBA7848" w14:textId="77777777" w:rsidR="00841E1C" w:rsidRPr="009F7E9D" w:rsidRDefault="00841E1C" w:rsidP="00841E1C"/>
    <w:p w14:paraId="5FA55B63" w14:textId="77777777" w:rsidR="00841E1C" w:rsidRPr="009F7E9D" w:rsidRDefault="00841E1C" w:rsidP="00841E1C"/>
    <w:p w14:paraId="65AFE145" w14:textId="77777777" w:rsidR="00841E1C" w:rsidRPr="009F7E9D" w:rsidRDefault="00841E1C" w:rsidP="00841E1C"/>
    <w:p w14:paraId="2761FB05" w14:textId="77777777" w:rsidR="00841E1C" w:rsidRPr="009F7E9D" w:rsidRDefault="00841E1C" w:rsidP="00841E1C"/>
    <w:p w14:paraId="74E7B851" w14:textId="77777777" w:rsidR="00841E1C" w:rsidRPr="009F7E9D" w:rsidRDefault="00841E1C" w:rsidP="00841E1C"/>
    <w:p w14:paraId="789702E5" w14:textId="77777777" w:rsidR="00841E1C" w:rsidRDefault="00841E1C" w:rsidP="00841E1C"/>
    <w:p w14:paraId="5456F49D" w14:textId="77777777" w:rsidR="00841E1C" w:rsidRPr="009F7E9D" w:rsidRDefault="00841E1C" w:rsidP="00841E1C"/>
    <w:p w14:paraId="26F31AC1" w14:textId="77777777" w:rsidR="00841E1C" w:rsidRPr="009F7E9D" w:rsidRDefault="00841E1C" w:rsidP="00841E1C"/>
    <w:p w14:paraId="57563148" w14:textId="77777777" w:rsidR="00841E1C" w:rsidRPr="009F7E9D" w:rsidRDefault="00841E1C" w:rsidP="00841E1C"/>
    <w:p w14:paraId="20AD88D3" w14:textId="77777777" w:rsidR="00841E1C" w:rsidRPr="009F7E9D" w:rsidRDefault="00841E1C" w:rsidP="00841E1C"/>
    <w:p w14:paraId="3C66CF2F" w14:textId="77777777" w:rsidR="00841E1C" w:rsidRPr="006F7F6E" w:rsidRDefault="00841E1C" w:rsidP="00841E1C">
      <w:pPr>
        <w:pStyle w:val="NoSpacing"/>
        <w:jc w:val="center"/>
        <w:rPr>
          <w:rFonts w:eastAsiaTheme="majorEastAsia" w:cstheme="majorBidi"/>
          <w:b/>
          <w:sz w:val="70"/>
          <w:szCs w:val="70"/>
          <w:lang w:val="en-NZ"/>
        </w:rPr>
      </w:pPr>
      <w:r w:rsidRPr="006F7F6E">
        <w:rPr>
          <w:rFonts w:eastAsiaTheme="majorEastAsia" w:cstheme="majorBidi"/>
          <w:b/>
          <w:sz w:val="70"/>
          <w:szCs w:val="70"/>
          <w:lang w:val="en-NZ"/>
        </w:rPr>
        <w:t xml:space="preserve">Complaints to HDC involving </w:t>
      </w:r>
    </w:p>
    <w:p w14:paraId="28D04910" w14:textId="45B17A53" w:rsidR="00841E1C" w:rsidRPr="006F7F6E" w:rsidRDefault="00841E1C" w:rsidP="006F7F6E">
      <w:pPr>
        <w:pStyle w:val="NoSpacing"/>
        <w:jc w:val="center"/>
        <w:rPr>
          <w:rFonts w:eastAsiaTheme="majorEastAsia" w:cstheme="majorBidi"/>
          <w:b/>
          <w:sz w:val="70"/>
          <w:szCs w:val="70"/>
          <w:lang w:val="en-NZ"/>
        </w:rPr>
      </w:pPr>
      <w:r w:rsidRPr="006F7F6E">
        <w:rPr>
          <w:rFonts w:eastAsiaTheme="majorEastAsia" w:cstheme="majorBidi"/>
          <w:b/>
          <w:sz w:val="70"/>
          <w:szCs w:val="70"/>
          <w:lang w:val="en-NZ"/>
        </w:rPr>
        <w:t>District Health Boards</w:t>
      </w:r>
    </w:p>
    <w:p w14:paraId="7841F153" w14:textId="77777777" w:rsidR="00841E1C" w:rsidRPr="009F7E9D" w:rsidRDefault="00841E1C" w:rsidP="00841E1C">
      <w:pPr>
        <w:pStyle w:val="NoSpacing"/>
        <w:jc w:val="center"/>
        <w:rPr>
          <w:rFonts w:eastAsiaTheme="majorEastAsia" w:cstheme="majorBidi"/>
          <w:b/>
          <w:sz w:val="36"/>
          <w:szCs w:val="36"/>
          <w:lang w:val="en-NZ"/>
        </w:rPr>
      </w:pPr>
    </w:p>
    <w:p w14:paraId="14D3F245" w14:textId="53B9C405" w:rsidR="00841E1C" w:rsidRPr="006F7F6E" w:rsidRDefault="00841E1C" w:rsidP="00841E1C">
      <w:pPr>
        <w:pStyle w:val="NoSpacing"/>
        <w:jc w:val="center"/>
        <w:rPr>
          <w:rFonts w:eastAsiaTheme="majorEastAsia" w:cstheme="majorBidi"/>
          <w:b/>
          <w:sz w:val="36"/>
          <w:szCs w:val="36"/>
          <w:lang w:val="en-NZ"/>
        </w:rPr>
      </w:pPr>
      <w:r w:rsidRPr="006F7F6E">
        <w:rPr>
          <w:rFonts w:eastAsiaTheme="majorEastAsia" w:cstheme="majorBidi"/>
          <w:b/>
          <w:sz w:val="36"/>
          <w:szCs w:val="36"/>
          <w:lang w:val="en-NZ"/>
        </w:rPr>
        <w:t>Repor</w:t>
      </w:r>
      <w:r w:rsidR="00E10828" w:rsidRPr="006F7F6E">
        <w:rPr>
          <w:rFonts w:eastAsiaTheme="majorEastAsia" w:cstheme="majorBidi"/>
          <w:b/>
          <w:sz w:val="36"/>
          <w:szCs w:val="36"/>
          <w:lang w:val="en-NZ"/>
        </w:rPr>
        <w:t>t and Analysis for period 1 January to 30 June 2020</w:t>
      </w:r>
    </w:p>
    <w:p w14:paraId="2201F0F3" w14:textId="77777777" w:rsidR="00841E1C" w:rsidRPr="009F7E9D" w:rsidRDefault="00841E1C" w:rsidP="00841E1C">
      <w:pPr>
        <w:pStyle w:val="NoSpacing"/>
        <w:jc w:val="center"/>
        <w:rPr>
          <w:rFonts w:eastAsiaTheme="majorEastAsia" w:cstheme="majorBidi"/>
          <w:b/>
          <w:sz w:val="32"/>
          <w:szCs w:val="32"/>
          <w:lang w:val="en-NZ"/>
        </w:rPr>
      </w:pPr>
    </w:p>
    <w:p w14:paraId="3F855060" w14:textId="77777777" w:rsidR="00841E1C" w:rsidRPr="009F7E9D" w:rsidRDefault="00841E1C" w:rsidP="00841E1C">
      <w:pPr>
        <w:pStyle w:val="NoSpacing"/>
        <w:jc w:val="center"/>
        <w:rPr>
          <w:rFonts w:eastAsiaTheme="majorEastAsia" w:cstheme="majorBidi"/>
          <w:b/>
          <w:sz w:val="32"/>
          <w:szCs w:val="32"/>
          <w:lang w:val="en-NZ"/>
        </w:rPr>
      </w:pPr>
    </w:p>
    <w:p w14:paraId="78695241" w14:textId="77777777" w:rsidR="00841E1C" w:rsidRPr="009F7E9D" w:rsidRDefault="00841E1C" w:rsidP="00841E1C">
      <w:pPr>
        <w:pStyle w:val="NoSpacing"/>
        <w:jc w:val="center"/>
        <w:rPr>
          <w:rFonts w:eastAsiaTheme="majorEastAsia" w:cstheme="majorBidi"/>
          <w:b/>
          <w:sz w:val="32"/>
          <w:szCs w:val="32"/>
          <w:lang w:val="en-NZ"/>
        </w:rPr>
      </w:pPr>
    </w:p>
    <w:p w14:paraId="7B859094" w14:textId="77777777" w:rsidR="00841E1C" w:rsidRPr="009F7E9D" w:rsidRDefault="00841E1C" w:rsidP="00841E1C">
      <w:pPr>
        <w:pStyle w:val="NoSpacing"/>
        <w:jc w:val="center"/>
        <w:rPr>
          <w:rFonts w:eastAsiaTheme="majorEastAsia" w:cstheme="majorBidi"/>
          <w:b/>
          <w:sz w:val="32"/>
          <w:szCs w:val="32"/>
          <w:lang w:val="en-NZ"/>
        </w:rPr>
      </w:pPr>
    </w:p>
    <w:p w14:paraId="4E087F77" w14:textId="77777777" w:rsidR="00841E1C" w:rsidRPr="009F7E9D" w:rsidRDefault="00841E1C" w:rsidP="00841E1C">
      <w:pPr>
        <w:pStyle w:val="NoSpacing"/>
        <w:jc w:val="center"/>
        <w:rPr>
          <w:rFonts w:eastAsiaTheme="majorEastAsia" w:cstheme="majorBidi"/>
          <w:b/>
          <w:sz w:val="32"/>
          <w:szCs w:val="32"/>
          <w:lang w:val="en-NZ"/>
        </w:rPr>
      </w:pPr>
    </w:p>
    <w:p w14:paraId="370EE241" w14:textId="2131B286" w:rsidR="00841E1C" w:rsidRDefault="00841E1C" w:rsidP="00841E1C">
      <w:pPr>
        <w:pStyle w:val="NoSpacing"/>
        <w:jc w:val="center"/>
        <w:rPr>
          <w:rFonts w:eastAsiaTheme="majorEastAsia" w:cstheme="majorBidi"/>
          <w:b/>
          <w:sz w:val="32"/>
          <w:szCs w:val="32"/>
          <w:lang w:val="en-NZ"/>
        </w:rPr>
      </w:pPr>
    </w:p>
    <w:p w14:paraId="0A9A7D66" w14:textId="77777777" w:rsidR="006F7F6E" w:rsidRPr="009F7E9D" w:rsidRDefault="006F7F6E" w:rsidP="00841E1C">
      <w:pPr>
        <w:pStyle w:val="NoSpacing"/>
        <w:jc w:val="center"/>
        <w:rPr>
          <w:rFonts w:eastAsiaTheme="majorEastAsia" w:cstheme="majorBidi"/>
          <w:b/>
          <w:sz w:val="32"/>
          <w:szCs w:val="32"/>
          <w:lang w:val="en-NZ"/>
        </w:rPr>
      </w:pPr>
    </w:p>
    <w:p w14:paraId="510AB247" w14:textId="77777777" w:rsidR="00841E1C" w:rsidRPr="009F7E9D" w:rsidRDefault="00841E1C" w:rsidP="00841E1C">
      <w:pPr>
        <w:pStyle w:val="NoSpacing"/>
        <w:jc w:val="center"/>
        <w:rPr>
          <w:rFonts w:eastAsiaTheme="majorEastAsia" w:cstheme="majorBidi"/>
          <w:b/>
          <w:sz w:val="32"/>
          <w:szCs w:val="32"/>
          <w:lang w:val="en-NZ"/>
        </w:rPr>
      </w:pPr>
    </w:p>
    <w:p w14:paraId="22661F64" w14:textId="77777777" w:rsidR="00841E1C" w:rsidRPr="009F7E9D" w:rsidRDefault="00841E1C" w:rsidP="00841E1C">
      <w:pPr>
        <w:pStyle w:val="NoSpacing"/>
        <w:jc w:val="center"/>
        <w:rPr>
          <w:rFonts w:eastAsiaTheme="majorEastAsia" w:cstheme="majorBidi"/>
          <w:b/>
          <w:sz w:val="32"/>
          <w:szCs w:val="32"/>
          <w:lang w:val="en-NZ"/>
        </w:rPr>
      </w:pPr>
    </w:p>
    <w:p w14:paraId="42CF11C0" w14:textId="77777777" w:rsidR="00841E1C" w:rsidRPr="009F7E9D" w:rsidRDefault="00841E1C" w:rsidP="00841E1C">
      <w:pPr>
        <w:pStyle w:val="NoSpacing"/>
        <w:jc w:val="center"/>
        <w:rPr>
          <w:rFonts w:eastAsiaTheme="majorEastAsia" w:cstheme="majorBidi"/>
          <w:b/>
          <w:sz w:val="32"/>
          <w:szCs w:val="32"/>
          <w:lang w:val="en-NZ"/>
        </w:rPr>
      </w:pPr>
    </w:p>
    <w:p w14:paraId="1CE8C519" w14:textId="77777777" w:rsidR="00841E1C" w:rsidRPr="009F7E9D" w:rsidRDefault="00841E1C" w:rsidP="00841E1C">
      <w:pPr>
        <w:pStyle w:val="NoSpacing"/>
        <w:jc w:val="center"/>
        <w:rPr>
          <w:rFonts w:eastAsiaTheme="majorEastAsia" w:cstheme="majorBidi"/>
          <w:b/>
          <w:sz w:val="32"/>
          <w:szCs w:val="32"/>
          <w:lang w:val="en-NZ"/>
        </w:rPr>
      </w:pPr>
    </w:p>
    <w:p w14:paraId="28DE1B76" w14:textId="77777777" w:rsidR="00841E1C" w:rsidRPr="009F7E9D" w:rsidRDefault="00841E1C" w:rsidP="00841E1C">
      <w:pPr>
        <w:pStyle w:val="NoSpacing"/>
        <w:jc w:val="center"/>
        <w:rPr>
          <w:rFonts w:eastAsiaTheme="majorEastAsia" w:cstheme="majorBidi"/>
          <w:b/>
          <w:sz w:val="32"/>
          <w:szCs w:val="32"/>
          <w:lang w:val="en-NZ"/>
        </w:rPr>
      </w:pPr>
    </w:p>
    <w:p w14:paraId="6BD04D5D" w14:textId="16FFBA9C" w:rsidR="00841E1C" w:rsidRPr="009F7E9D" w:rsidRDefault="00841E1C" w:rsidP="00841E1C">
      <w:pPr>
        <w:pStyle w:val="NoSpacing"/>
        <w:jc w:val="center"/>
        <w:rPr>
          <w:rFonts w:eastAsiaTheme="majorEastAsia" w:cstheme="majorBidi"/>
          <w:b/>
          <w:sz w:val="32"/>
          <w:szCs w:val="32"/>
          <w:lang w:val="en-NZ"/>
        </w:rPr>
      </w:pPr>
    </w:p>
    <w:p w14:paraId="3134DE46" w14:textId="6BA6A89E" w:rsidR="00841E1C" w:rsidRPr="009F7E9D" w:rsidRDefault="006F7F6E" w:rsidP="00841E1C">
      <w:pPr>
        <w:pStyle w:val="NoSpacing"/>
        <w:jc w:val="center"/>
        <w:rPr>
          <w:rFonts w:eastAsiaTheme="majorEastAsia" w:cstheme="majorBidi"/>
          <w:b/>
          <w:sz w:val="32"/>
          <w:szCs w:val="32"/>
          <w:lang w:val="en-NZ"/>
        </w:rPr>
      </w:pPr>
      <w:r w:rsidRPr="00016E58">
        <w:rPr>
          <w:rFonts w:ascii="Tms Rmn" w:hAnsi="Tms Rmn"/>
          <w:noProof/>
          <w:sz w:val="24"/>
          <w:szCs w:val="24"/>
          <w:lang w:val="en-NZ" w:eastAsia="en-NZ"/>
        </w:rPr>
        <w:drawing>
          <wp:anchor distT="0" distB="0" distL="114300" distR="114300" simplePos="0" relativeHeight="251661824" behindDoc="0" locked="0" layoutInCell="1" allowOverlap="1" wp14:anchorId="0C9305A8" wp14:editId="0D55FCB0">
            <wp:simplePos x="0" y="0"/>
            <wp:positionH relativeFrom="column">
              <wp:posOffset>1476375</wp:posOffset>
            </wp:positionH>
            <wp:positionV relativeFrom="paragraph">
              <wp:posOffset>76200</wp:posOffset>
            </wp:positionV>
            <wp:extent cx="2982595" cy="161925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2595"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3FF613" w14:textId="77777777" w:rsidR="00841E1C" w:rsidRDefault="00841E1C" w:rsidP="00841E1C">
      <w:pPr>
        <w:jc w:val="center"/>
        <w:sectPr w:rsidR="00841E1C" w:rsidSect="00841E1C">
          <w:footerReference w:type="even" r:id="rId9"/>
          <w:footerReference w:type="default" r:id="rId10"/>
          <w:footerReference w:type="first" r:id="rId11"/>
          <w:pgSz w:w="11906" w:h="16838" w:code="9"/>
          <w:pgMar w:top="1140" w:right="1412" w:bottom="851" w:left="1412" w:header="720" w:footer="590" w:gutter="0"/>
          <w:cols w:space="720"/>
          <w:titlePg/>
          <w:docGrid w:linePitch="360"/>
        </w:sectPr>
      </w:pPr>
    </w:p>
    <w:p w14:paraId="34D01E28" w14:textId="3DBC1E22" w:rsidR="00841E1C" w:rsidRDefault="00841E1C" w:rsidP="00841E1C"/>
    <w:p w14:paraId="6C7462A3" w14:textId="77777777" w:rsidR="00ED7A15" w:rsidRDefault="00ED7A15" w:rsidP="00ED7A15">
      <w:pPr>
        <w:rPr>
          <w:b/>
          <w:szCs w:val="22"/>
        </w:rPr>
      </w:pPr>
    </w:p>
    <w:p w14:paraId="353A213D" w14:textId="77777777" w:rsidR="00ED7A15" w:rsidRDefault="00ED7A15" w:rsidP="00ED7A15">
      <w:pPr>
        <w:rPr>
          <w:b/>
          <w:szCs w:val="22"/>
        </w:rPr>
      </w:pPr>
    </w:p>
    <w:p w14:paraId="0B151149" w14:textId="77777777" w:rsidR="00ED7A15" w:rsidRDefault="00ED7A15" w:rsidP="00ED7A15">
      <w:pPr>
        <w:rPr>
          <w:b/>
          <w:szCs w:val="22"/>
        </w:rPr>
      </w:pPr>
    </w:p>
    <w:p w14:paraId="66406ABA" w14:textId="77777777" w:rsidR="00ED7A15" w:rsidRDefault="00ED7A15" w:rsidP="00ED7A15">
      <w:pPr>
        <w:rPr>
          <w:b/>
          <w:szCs w:val="22"/>
        </w:rPr>
      </w:pPr>
    </w:p>
    <w:p w14:paraId="75466DDE" w14:textId="77777777" w:rsidR="00ED7A15" w:rsidRDefault="00ED7A15" w:rsidP="00ED7A15">
      <w:pPr>
        <w:rPr>
          <w:b/>
          <w:szCs w:val="22"/>
        </w:rPr>
      </w:pPr>
    </w:p>
    <w:p w14:paraId="3ED02641" w14:textId="77777777" w:rsidR="00ED7A15" w:rsidRDefault="00ED7A15" w:rsidP="00ED7A15">
      <w:pPr>
        <w:rPr>
          <w:b/>
          <w:szCs w:val="22"/>
        </w:rPr>
      </w:pPr>
    </w:p>
    <w:p w14:paraId="2601F040" w14:textId="77777777" w:rsidR="00ED7A15" w:rsidRDefault="00ED7A15" w:rsidP="00ED7A15">
      <w:pPr>
        <w:rPr>
          <w:b/>
          <w:szCs w:val="22"/>
        </w:rPr>
      </w:pPr>
    </w:p>
    <w:p w14:paraId="1C2BA71C" w14:textId="77777777" w:rsidR="00ED7A15" w:rsidRDefault="00ED7A15" w:rsidP="00ED7A15">
      <w:pPr>
        <w:rPr>
          <w:b/>
          <w:szCs w:val="22"/>
        </w:rPr>
      </w:pPr>
    </w:p>
    <w:p w14:paraId="640E9F84" w14:textId="77777777" w:rsidR="00ED7A15" w:rsidRDefault="00ED7A15" w:rsidP="00ED7A15">
      <w:pPr>
        <w:rPr>
          <w:b/>
          <w:szCs w:val="22"/>
        </w:rPr>
      </w:pPr>
    </w:p>
    <w:p w14:paraId="4F3BB2B2" w14:textId="77777777" w:rsidR="00ED7A15" w:rsidRDefault="00ED7A15" w:rsidP="00ED7A15">
      <w:pPr>
        <w:rPr>
          <w:b/>
          <w:szCs w:val="22"/>
        </w:rPr>
      </w:pPr>
    </w:p>
    <w:p w14:paraId="6C04BDE8" w14:textId="77777777" w:rsidR="00ED7A15" w:rsidRDefault="00ED7A15" w:rsidP="00ED7A15">
      <w:pPr>
        <w:rPr>
          <w:b/>
          <w:szCs w:val="22"/>
        </w:rPr>
      </w:pPr>
    </w:p>
    <w:p w14:paraId="5FB71A8F" w14:textId="77777777" w:rsidR="00ED7A15" w:rsidRDefault="00ED7A15" w:rsidP="00ED7A15">
      <w:pPr>
        <w:rPr>
          <w:b/>
          <w:szCs w:val="22"/>
        </w:rPr>
      </w:pPr>
    </w:p>
    <w:p w14:paraId="4D17B2C3" w14:textId="77777777" w:rsidR="00ED7A15" w:rsidRDefault="00ED7A15" w:rsidP="00ED7A15">
      <w:pPr>
        <w:rPr>
          <w:b/>
          <w:szCs w:val="22"/>
        </w:rPr>
      </w:pPr>
    </w:p>
    <w:p w14:paraId="0E6D7660" w14:textId="77777777" w:rsidR="00ED7A15" w:rsidRDefault="00ED7A15" w:rsidP="00ED7A15">
      <w:pPr>
        <w:rPr>
          <w:b/>
          <w:szCs w:val="22"/>
        </w:rPr>
      </w:pPr>
    </w:p>
    <w:p w14:paraId="27141491" w14:textId="77777777" w:rsidR="00ED7A15" w:rsidRDefault="00ED7A15" w:rsidP="00ED7A15">
      <w:pPr>
        <w:rPr>
          <w:b/>
          <w:szCs w:val="22"/>
        </w:rPr>
      </w:pPr>
    </w:p>
    <w:p w14:paraId="051EFDEA" w14:textId="77777777" w:rsidR="00ED7A15" w:rsidRDefault="00ED7A15" w:rsidP="00ED7A15">
      <w:pPr>
        <w:rPr>
          <w:b/>
          <w:szCs w:val="22"/>
        </w:rPr>
      </w:pPr>
    </w:p>
    <w:p w14:paraId="3CCBD2EA" w14:textId="77777777" w:rsidR="00ED7A15" w:rsidRDefault="00ED7A15" w:rsidP="00ED7A15">
      <w:pPr>
        <w:rPr>
          <w:b/>
          <w:szCs w:val="22"/>
        </w:rPr>
      </w:pPr>
    </w:p>
    <w:p w14:paraId="7E6B8318" w14:textId="77777777" w:rsidR="00ED7A15" w:rsidRDefault="00ED7A15" w:rsidP="00ED7A15">
      <w:pPr>
        <w:rPr>
          <w:b/>
          <w:szCs w:val="22"/>
        </w:rPr>
      </w:pPr>
    </w:p>
    <w:p w14:paraId="434D607C" w14:textId="77777777" w:rsidR="00ED7A15" w:rsidRDefault="00ED7A15" w:rsidP="00ED7A15">
      <w:pPr>
        <w:rPr>
          <w:b/>
          <w:szCs w:val="22"/>
        </w:rPr>
      </w:pPr>
    </w:p>
    <w:p w14:paraId="381825EE" w14:textId="77777777" w:rsidR="00ED7A15" w:rsidRDefault="00ED7A15" w:rsidP="00ED7A15">
      <w:pPr>
        <w:rPr>
          <w:b/>
          <w:szCs w:val="22"/>
        </w:rPr>
      </w:pPr>
    </w:p>
    <w:p w14:paraId="279F27C5" w14:textId="77777777" w:rsidR="00ED7A15" w:rsidRDefault="00ED7A15" w:rsidP="00ED7A15">
      <w:pPr>
        <w:rPr>
          <w:b/>
          <w:szCs w:val="22"/>
        </w:rPr>
      </w:pPr>
    </w:p>
    <w:p w14:paraId="73E93CAA" w14:textId="77777777" w:rsidR="00ED7A15" w:rsidRDefault="00ED7A15" w:rsidP="00ED7A15">
      <w:pPr>
        <w:rPr>
          <w:b/>
          <w:szCs w:val="22"/>
        </w:rPr>
      </w:pPr>
    </w:p>
    <w:p w14:paraId="22D61F6A" w14:textId="77777777" w:rsidR="00ED7A15" w:rsidRDefault="00ED7A15" w:rsidP="00ED7A15">
      <w:pPr>
        <w:rPr>
          <w:b/>
          <w:szCs w:val="22"/>
        </w:rPr>
      </w:pPr>
    </w:p>
    <w:p w14:paraId="43A8623A" w14:textId="77777777" w:rsidR="00ED7A15" w:rsidRDefault="00ED7A15" w:rsidP="00ED7A15">
      <w:pPr>
        <w:rPr>
          <w:b/>
          <w:szCs w:val="22"/>
        </w:rPr>
      </w:pPr>
    </w:p>
    <w:p w14:paraId="313BF9C2" w14:textId="77777777" w:rsidR="00ED7A15" w:rsidRDefault="00ED7A15" w:rsidP="00ED7A15">
      <w:pPr>
        <w:rPr>
          <w:b/>
          <w:szCs w:val="22"/>
        </w:rPr>
      </w:pPr>
    </w:p>
    <w:p w14:paraId="674D1D59" w14:textId="77777777" w:rsidR="00ED7A15" w:rsidRDefault="00ED7A15" w:rsidP="00ED7A15">
      <w:pPr>
        <w:rPr>
          <w:b/>
          <w:szCs w:val="22"/>
        </w:rPr>
      </w:pPr>
    </w:p>
    <w:p w14:paraId="0597288C" w14:textId="77777777" w:rsidR="00ED7A15" w:rsidRDefault="00ED7A15" w:rsidP="00ED7A15">
      <w:pPr>
        <w:rPr>
          <w:b/>
          <w:szCs w:val="22"/>
        </w:rPr>
      </w:pPr>
    </w:p>
    <w:p w14:paraId="482FCC22" w14:textId="77777777" w:rsidR="00ED7A15" w:rsidRDefault="00ED7A15" w:rsidP="00ED7A15">
      <w:pPr>
        <w:rPr>
          <w:b/>
          <w:szCs w:val="22"/>
        </w:rPr>
      </w:pPr>
    </w:p>
    <w:p w14:paraId="454963BE" w14:textId="77777777" w:rsidR="00ED7A15" w:rsidRDefault="00ED7A15" w:rsidP="00ED7A15">
      <w:pPr>
        <w:rPr>
          <w:b/>
          <w:szCs w:val="22"/>
        </w:rPr>
      </w:pPr>
    </w:p>
    <w:p w14:paraId="0A6653BD" w14:textId="77777777" w:rsidR="00ED7A15" w:rsidRDefault="00ED7A15" w:rsidP="00ED7A15">
      <w:pPr>
        <w:rPr>
          <w:b/>
          <w:szCs w:val="22"/>
        </w:rPr>
      </w:pPr>
    </w:p>
    <w:p w14:paraId="35ABC4A9" w14:textId="77777777" w:rsidR="00ED7A15" w:rsidRDefault="00ED7A15" w:rsidP="00ED7A15">
      <w:pPr>
        <w:rPr>
          <w:b/>
          <w:szCs w:val="22"/>
        </w:rPr>
      </w:pPr>
    </w:p>
    <w:p w14:paraId="4F366EDE" w14:textId="77777777" w:rsidR="00ED7A15" w:rsidRDefault="00ED7A15" w:rsidP="00ED7A15">
      <w:pPr>
        <w:rPr>
          <w:b/>
          <w:szCs w:val="22"/>
        </w:rPr>
      </w:pPr>
    </w:p>
    <w:p w14:paraId="4982ABD6" w14:textId="77777777" w:rsidR="00ED7A15" w:rsidRDefault="00ED7A15" w:rsidP="00ED7A15">
      <w:pPr>
        <w:rPr>
          <w:b/>
          <w:szCs w:val="22"/>
        </w:rPr>
      </w:pPr>
    </w:p>
    <w:p w14:paraId="3D93AB9D" w14:textId="76482A10" w:rsidR="00ED7A15" w:rsidRPr="00ED7A15" w:rsidRDefault="00ED7A15" w:rsidP="00ED7A15">
      <w:pPr>
        <w:rPr>
          <w:b/>
          <w:szCs w:val="22"/>
        </w:rPr>
      </w:pPr>
      <w:r w:rsidRPr="00666BAC">
        <w:rPr>
          <w:b/>
          <w:szCs w:val="22"/>
        </w:rPr>
        <w:t>Feedback</w:t>
      </w:r>
    </w:p>
    <w:p w14:paraId="652B87F7" w14:textId="6EFA8F15" w:rsidR="00ED7A15" w:rsidRPr="00ED7A15" w:rsidRDefault="00ED7A15" w:rsidP="00ED7A15">
      <w:pPr>
        <w:jc w:val="left"/>
        <w:rPr>
          <w:szCs w:val="22"/>
        </w:rPr>
      </w:pPr>
      <w:r w:rsidRPr="00ED7A15">
        <w:rPr>
          <w:szCs w:val="22"/>
        </w:rPr>
        <w:t xml:space="preserve">We welcome your feedback on this report. Please contact </w:t>
      </w:r>
      <w:r w:rsidR="00E10828" w:rsidRPr="00E10828">
        <w:rPr>
          <w:szCs w:val="22"/>
        </w:rPr>
        <w:t>Natasha Davidson</w:t>
      </w:r>
      <w:r>
        <w:rPr>
          <w:szCs w:val="22"/>
        </w:rPr>
        <w:t xml:space="preserve"> </w:t>
      </w:r>
      <w:r w:rsidRPr="00ED7A15">
        <w:rPr>
          <w:szCs w:val="22"/>
        </w:rPr>
        <w:t>at hdc@hdc.org.nz</w:t>
      </w:r>
    </w:p>
    <w:p w14:paraId="520BF814" w14:textId="77777777" w:rsidR="00ED7A15" w:rsidRPr="00ED7A15" w:rsidRDefault="00ED7A15" w:rsidP="00ED7A15">
      <w:pPr>
        <w:jc w:val="left"/>
        <w:rPr>
          <w:szCs w:val="22"/>
        </w:rPr>
      </w:pPr>
    </w:p>
    <w:p w14:paraId="3038FFF1" w14:textId="35385D38" w:rsidR="00ED7A15" w:rsidRPr="00ED7A15" w:rsidRDefault="00ED7A15" w:rsidP="00ED7A15">
      <w:pPr>
        <w:jc w:val="left"/>
        <w:rPr>
          <w:b/>
          <w:szCs w:val="22"/>
        </w:rPr>
      </w:pPr>
      <w:r w:rsidRPr="00ED7A15">
        <w:rPr>
          <w:b/>
          <w:szCs w:val="22"/>
        </w:rPr>
        <w:t>Author</w:t>
      </w:r>
      <w:r>
        <w:rPr>
          <w:b/>
          <w:szCs w:val="22"/>
        </w:rPr>
        <w:t>s</w:t>
      </w:r>
    </w:p>
    <w:p w14:paraId="15BF90E0" w14:textId="00B98660" w:rsidR="00ED7A15" w:rsidRPr="00ED7A15" w:rsidRDefault="00E10828" w:rsidP="00ED7A15">
      <w:pPr>
        <w:jc w:val="left"/>
        <w:rPr>
          <w:szCs w:val="22"/>
        </w:rPr>
      </w:pPr>
      <w:r>
        <w:rPr>
          <w:szCs w:val="22"/>
        </w:rPr>
        <w:t xml:space="preserve">This report was prepared by </w:t>
      </w:r>
      <w:r w:rsidR="00ED7A15" w:rsidRPr="00ED7A15">
        <w:rPr>
          <w:szCs w:val="22"/>
        </w:rPr>
        <w:t>Natasha Davidson (Principal Advisor — Research and Education).</w:t>
      </w:r>
    </w:p>
    <w:p w14:paraId="7125B06C" w14:textId="77777777" w:rsidR="00ED7A15" w:rsidRPr="00ED7A15" w:rsidRDefault="00ED7A15" w:rsidP="00ED7A15">
      <w:pPr>
        <w:jc w:val="left"/>
        <w:rPr>
          <w:szCs w:val="22"/>
        </w:rPr>
      </w:pPr>
    </w:p>
    <w:p w14:paraId="4DEE1146" w14:textId="71562095" w:rsidR="00ED7A15" w:rsidRPr="00666BAC" w:rsidRDefault="00ED7A15" w:rsidP="00ED7A15">
      <w:pPr>
        <w:jc w:val="left"/>
        <w:rPr>
          <w:i/>
          <w:szCs w:val="22"/>
        </w:rPr>
      </w:pPr>
      <w:r w:rsidRPr="00ED7A15">
        <w:rPr>
          <w:szCs w:val="22"/>
        </w:rPr>
        <w:t>Citation: The Health and Disability Commissioner</w:t>
      </w:r>
      <w:r w:rsidR="006F7F6E">
        <w:rPr>
          <w:szCs w:val="22"/>
        </w:rPr>
        <w:t>. 2020</w:t>
      </w:r>
      <w:r w:rsidRPr="00666BAC">
        <w:rPr>
          <w:szCs w:val="22"/>
        </w:rPr>
        <w:t xml:space="preserve">. </w:t>
      </w:r>
      <w:r w:rsidRPr="00666BAC">
        <w:rPr>
          <w:i/>
          <w:szCs w:val="22"/>
        </w:rPr>
        <w:t xml:space="preserve">Complaints to the Health and Disability Commissioner involving District Health Boards: </w:t>
      </w:r>
      <w:r>
        <w:rPr>
          <w:i/>
          <w:szCs w:val="22"/>
        </w:rPr>
        <w:t>Report an</w:t>
      </w:r>
      <w:r w:rsidR="00E10828">
        <w:rPr>
          <w:i/>
          <w:szCs w:val="22"/>
        </w:rPr>
        <w:t>d Analysis for the period 1 January</w:t>
      </w:r>
      <w:r>
        <w:rPr>
          <w:i/>
          <w:szCs w:val="22"/>
        </w:rPr>
        <w:t xml:space="preserve"> to </w:t>
      </w:r>
      <w:r w:rsidR="00752BDE">
        <w:rPr>
          <w:i/>
          <w:szCs w:val="22"/>
        </w:rPr>
        <w:br/>
      </w:r>
      <w:r w:rsidR="00E10828">
        <w:rPr>
          <w:i/>
          <w:szCs w:val="22"/>
        </w:rPr>
        <w:t>30</w:t>
      </w:r>
      <w:r>
        <w:rPr>
          <w:i/>
          <w:szCs w:val="22"/>
        </w:rPr>
        <w:t xml:space="preserve"> </w:t>
      </w:r>
      <w:r w:rsidR="00E10828">
        <w:rPr>
          <w:i/>
          <w:szCs w:val="22"/>
        </w:rPr>
        <w:t>June 2020</w:t>
      </w:r>
    </w:p>
    <w:p w14:paraId="411995F4" w14:textId="77777777" w:rsidR="00ED7A15" w:rsidRPr="00666BAC" w:rsidRDefault="00ED7A15" w:rsidP="00ED7A15">
      <w:pPr>
        <w:jc w:val="left"/>
        <w:rPr>
          <w:szCs w:val="22"/>
        </w:rPr>
      </w:pPr>
    </w:p>
    <w:p w14:paraId="0D9A7E39" w14:textId="38E04A49" w:rsidR="00ED7A15" w:rsidRPr="00666BAC" w:rsidRDefault="00ED7A15" w:rsidP="00ED7A15">
      <w:pPr>
        <w:jc w:val="left"/>
        <w:rPr>
          <w:szCs w:val="22"/>
        </w:rPr>
      </w:pPr>
      <w:r>
        <w:rPr>
          <w:szCs w:val="22"/>
        </w:rPr>
        <w:t xml:space="preserve">Published in </w:t>
      </w:r>
      <w:r w:rsidR="0039129E">
        <w:rPr>
          <w:szCs w:val="22"/>
        </w:rPr>
        <w:t>December</w:t>
      </w:r>
      <w:r w:rsidR="002D7A73">
        <w:rPr>
          <w:szCs w:val="22"/>
        </w:rPr>
        <w:t xml:space="preserve"> 2020</w:t>
      </w:r>
    </w:p>
    <w:p w14:paraId="7AE8F63E" w14:textId="77777777" w:rsidR="00ED7A15" w:rsidRPr="00666BAC" w:rsidRDefault="00ED7A15" w:rsidP="00ED7A15">
      <w:pPr>
        <w:jc w:val="left"/>
        <w:rPr>
          <w:szCs w:val="22"/>
        </w:rPr>
      </w:pPr>
      <w:r w:rsidRPr="00666BAC">
        <w:rPr>
          <w:szCs w:val="22"/>
        </w:rPr>
        <w:t>by the Health and Disability Commissioner</w:t>
      </w:r>
    </w:p>
    <w:p w14:paraId="563BA8CD" w14:textId="77777777" w:rsidR="00ED7A15" w:rsidRPr="00666BAC" w:rsidRDefault="00ED7A15" w:rsidP="00ED7A15">
      <w:pPr>
        <w:jc w:val="left"/>
        <w:rPr>
          <w:szCs w:val="22"/>
        </w:rPr>
      </w:pPr>
      <w:r w:rsidRPr="00666BAC">
        <w:rPr>
          <w:szCs w:val="22"/>
        </w:rPr>
        <w:t>PO Box 1791, Auckland 1140</w:t>
      </w:r>
    </w:p>
    <w:p w14:paraId="49C7991D" w14:textId="77777777" w:rsidR="00ED7A15" w:rsidRPr="00666BAC" w:rsidRDefault="00ED7A15" w:rsidP="00ED7A15">
      <w:pPr>
        <w:jc w:val="left"/>
        <w:rPr>
          <w:b/>
          <w:szCs w:val="22"/>
        </w:rPr>
      </w:pPr>
    </w:p>
    <w:p w14:paraId="0949C2CF" w14:textId="08244A08" w:rsidR="00ED7A15" w:rsidRPr="00666BAC" w:rsidRDefault="00E10828" w:rsidP="00ED7A15">
      <w:pPr>
        <w:jc w:val="left"/>
        <w:rPr>
          <w:szCs w:val="22"/>
        </w:rPr>
      </w:pPr>
      <w:r>
        <w:rPr>
          <w:szCs w:val="22"/>
        </w:rPr>
        <w:t>©2020</w:t>
      </w:r>
      <w:r w:rsidR="00ED7A15" w:rsidRPr="00666BAC">
        <w:rPr>
          <w:szCs w:val="22"/>
        </w:rPr>
        <w:t xml:space="preserve"> The Health and Disability Commissioner</w:t>
      </w:r>
    </w:p>
    <w:p w14:paraId="6DC3276F" w14:textId="77777777" w:rsidR="00ED7A15" w:rsidRPr="00666BAC" w:rsidRDefault="00ED7A15" w:rsidP="00ED7A15">
      <w:pPr>
        <w:jc w:val="left"/>
        <w:rPr>
          <w:b/>
          <w:szCs w:val="22"/>
        </w:rPr>
      </w:pPr>
    </w:p>
    <w:p w14:paraId="72CCBBEA" w14:textId="77777777" w:rsidR="00ED7A15" w:rsidRPr="00666BAC" w:rsidRDefault="00ED7A15" w:rsidP="00ED7A15">
      <w:pPr>
        <w:jc w:val="left"/>
        <w:rPr>
          <w:b/>
          <w:szCs w:val="22"/>
        </w:rPr>
        <w:sectPr w:rsidR="00ED7A15" w:rsidRPr="00666BAC" w:rsidSect="00ED7A15">
          <w:pgSz w:w="11906" w:h="16838" w:code="9"/>
          <w:pgMar w:top="1140" w:right="1412" w:bottom="851" w:left="1412" w:header="720" w:footer="590" w:gutter="0"/>
          <w:pgNumType w:start="0"/>
          <w:cols w:space="720"/>
          <w:titlePg/>
          <w:docGrid w:linePitch="360"/>
        </w:sectPr>
      </w:pPr>
      <w:r w:rsidRPr="00666BAC">
        <w:rPr>
          <w:szCs w:val="22"/>
        </w:rPr>
        <w:t>This report is available on our website at www.hdc.org.nz</w:t>
      </w:r>
    </w:p>
    <w:p w14:paraId="2F21A38C" w14:textId="77777777" w:rsidR="00841E1C" w:rsidRPr="0078382D" w:rsidRDefault="00841E1C" w:rsidP="0078382D">
      <w:pPr>
        <w:spacing w:after="360"/>
        <w:jc w:val="center"/>
        <w:rPr>
          <w:b/>
          <w:color w:val="C00000"/>
          <w:sz w:val="48"/>
          <w:szCs w:val="48"/>
        </w:rPr>
      </w:pPr>
      <w:r w:rsidRPr="0078382D">
        <w:rPr>
          <w:b/>
          <w:color w:val="C00000"/>
          <w:sz w:val="48"/>
          <w:szCs w:val="48"/>
        </w:rPr>
        <w:lastRenderedPageBreak/>
        <w:t>Contents</w:t>
      </w:r>
    </w:p>
    <w:p w14:paraId="1F3954A8" w14:textId="667A3213" w:rsidR="00FA3618" w:rsidRDefault="007E6810">
      <w:pPr>
        <w:pStyle w:val="TOC1"/>
        <w:rPr>
          <w:rFonts w:eastAsiaTheme="minorEastAsia" w:cstheme="minorBidi"/>
          <w:bCs w:val="0"/>
          <w:lang w:eastAsia="en-NZ" w:bidi="ar-SA"/>
        </w:rPr>
      </w:pPr>
      <w:r>
        <w:fldChar w:fldCharType="begin"/>
      </w:r>
      <w:r>
        <w:instrText xml:space="preserve"> TOC \o "2-3" \h \z \t "Heading 1,1" </w:instrText>
      </w:r>
      <w:r>
        <w:fldChar w:fldCharType="separate"/>
      </w:r>
      <w:hyperlink w:anchor="_Toc58316480" w:history="1">
        <w:r w:rsidR="00FA3618" w:rsidRPr="00AF01AB">
          <w:rPr>
            <w:rStyle w:val="Hyperlink"/>
          </w:rPr>
          <w:t>Commissioner’s Foreword</w:t>
        </w:r>
        <w:r w:rsidR="00FA3618">
          <w:rPr>
            <w:webHidden/>
          </w:rPr>
          <w:tab/>
        </w:r>
        <w:r w:rsidR="00FA3618">
          <w:rPr>
            <w:webHidden/>
          </w:rPr>
          <w:fldChar w:fldCharType="begin"/>
        </w:r>
        <w:r w:rsidR="00FA3618">
          <w:rPr>
            <w:webHidden/>
          </w:rPr>
          <w:instrText xml:space="preserve"> PAGEREF _Toc58316480 \h </w:instrText>
        </w:r>
        <w:r w:rsidR="00FA3618">
          <w:rPr>
            <w:webHidden/>
          </w:rPr>
        </w:r>
        <w:r w:rsidR="00FA3618">
          <w:rPr>
            <w:webHidden/>
          </w:rPr>
          <w:fldChar w:fldCharType="separate"/>
        </w:r>
        <w:r w:rsidR="00D76CA3">
          <w:rPr>
            <w:webHidden/>
          </w:rPr>
          <w:t>ii</w:t>
        </w:r>
        <w:r w:rsidR="00FA3618">
          <w:rPr>
            <w:webHidden/>
          </w:rPr>
          <w:fldChar w:fldCharType="end"/>
        </w:r>
      </w:hyperlink>
    </w:p>
    <w:p w14:paraId="75717EA7" w14:textId="2AA498D9" w:rsidR="00FA3618" w:rsidRDefault="00D76CA3">
      <w:pPr>
        <w:pStyle w:val="TOC1"/>
        <w:rPr>
          <w:rFonts w:eastAsiaTheme="minorEastAsia" w:cstheme="minorBidi"/>
          <w:bCs w:val="0"/>
          <w:lang w:eastAsia="en-NZ" w:bidi="ar-SA"/>
        </w:rPr>
      </w:pPr>
      <w:hyperlink w:anchor="_Toc58316481" w:history="1">
        <w:r w:rsidR="00FA3618" w:rsidRPr="00AF01AB">
          <w:rPr>
            <w:rStyle w:val="Hyperlink"/>
          </w:rPr>
          <w:t>National Data for all District Health Boards</w:t>
        </w:r>
        <w:r w:rsidR="00FA3618">
          <w:rPr>
            <w:webHidden/>
          </w:rPr>
          <w:tab/>
        </w:r>
        <w:r w:rsidR="00FA3618">
          <w:rPr>
            <w:webHidden/>
          </w:rPr>
          <w:fldChar w:fldCharType="begin"/>
        </w:r>
        <w:r w:rsidR="00FA3618">
          <w:rPr>
            <w:webHidden/>
          </w:rPr>
          <w:instrText xml:space="preserve"> PAGEREF _Toc58316481 \h </w:instrText>
        </w:r>
        <w:r w:rsidR="00FA3618">
          <w:rPr>
            <w:webHidden/>
          </w:rPr>
        </w:r>
        <w:r w:rsidR="00FA3618">
          <w:rPr>
            <w:webHidden/>
          </w:rPr>
          <w:fldChar w:fldCharType="separate"/>
        </w:r>
        <w:r>
          <w:rPr>
            <w:webHidden/>
          </w:rPr>
          <w:t>1</w:t>
        </w:r>
        <w:r w:rsidR="00FA3618">
          <w:rPr>
            <w:webHidden/>
          </w:rPr>
          <w:fldChar w:fldCharType="end"/>
        </w:r>
      </w:hyperlink>
    </w:p>
    <w:p w14:paraId="1E14D3C4" w14:textId="19C4C74D" w:rsidR="00FA3618" w:rsidRDefault="00D76CA3">
      <w:pPr>
        <w:pStyle w:val="TOC2"/>
        <w:rPr>
          <w:color w:val="auto"/>
        </w:rPr>
      </w:pPr>
      <w:hyperlink w:anchor="_Toc58316482" w:history="1">
        <w:r w:rsidR="00FA3618" w:rsidRPr="00AF01AB">
          <w:rPr>
            <w:rStyle w:val="Hyperlink"/>
          </w:rPr>
          <w:t>1.</w:t>
        </w:r>
        <w:r w:rsidR="00FA3618">
          <w:rPr>
            <w:color w:val="auto"/>
          </w:rPr>
          <w:tab/>
        </w:r>
        <w:r w:rsidR="00FA3618" w:rsidRPr="00AF01AB">
          <w:rPr>
            <w:rStyle w:val="Hyperlink"/>
          </w:rPr>
          <w:t>How many complaints were received?</w:t>
        </w:r>
        <w:r w:rsidR="00FA3618">
          <w:rPr>
            <w:webHidden/>
          </w:rPr>
          <w:tab/>
        </w:r>
        <w:r w:rsidR="00FA3618">
          <w:rPr>
            <w:webHidden/>
          </w:rPr>
          <w:fldChar w:fldCharType="begin"/>
        </w:r>
        <w:r w:rsidR="00FA3618">
          <w:rPr>
            <w:webHidden/>
          </w:rPr>
          <w:instrText xml:space="preserve"> PAGEREF _Toc58316482 \h </w:instrText>
        </w:r>
        <w:r w:rsidR="00FA3618">
          <w:rPr>
            <w:webHidden/>
          </w:rPr>
        </w:r>
        <w:r w:rsidR="00FA3618">
          <w:rPr>
            <w:webHidden/>
          </w:rPr>
          <w:fldChar w:fldCharType="separate"/>
        </w:r>
        <w:r>
          <w:rPr>
            <w:webHidden/>
          </w:rPr>
          <w:t>1</w:t>
        </w:r>
        <w:r w:rsidR="00FA3618">
          <w:rPr>
            <w:webHidden/>
          </w:rPr>
          <w:fldChar w:fldCharType="end"/>
        </w:r>
      </w:hyperlink>
    </w:p>
    <w:p w14:paraId="200CCCDD" w14:textId="0C0B7FE9" w:rsidR="00FA3618" w:rsidRDefault="00D76CA3" w:rsidP="00AE6779">
      <w:pPr>
        <w:pStyle w:val="TOC3"/>
        <w:rPr>
          <w:rFonts w:eastAsiaTheme="minorEastAsia" w:cstheme="minorBidi"/>
          <w:sz w:val="22"/>
          <w:szCs w:val="22"/>
          <w:lang w:eastAsia="en-NZ" w:bidi="ar-SA"/>
        </w:rPr>
      </w:pPr>
      <w:hyperlink w:anchor="_Toc58316483" w:history="1">
        <w:r w:rsidR="00FA3618" w:rsidRPr="0078382D">
          <w:rPr>
            <w:rStyle w:val="Hyperlink"/>
          </w:rPr>
          <w:t>1.1</w:t>
        </w:r>
        <w:r w:rsidR="00FA3618" w:rsidRPr="0078382D">
          <w:rPr>
            <w:rFonts w:eastAsiaTheme="minorEastAsia" w:cstheme="minorBidi"/>
            <w:sz w:val="22"/>
            <w:szCs w:val="22"/>
            <w:lang w:eastAsia="en-NZ" w:bidi="ar-SA"/>
          </w:rPr>
          <w:tab/>
        </w:r>
        <w:r w:rsidR="00FA3618" w:rsidRPr="0078382D">
          <w:rPr>
            <w:rStyle w:val="Hyperlink"/>
          </w:rPr>
          <w:t xml:space="preserve">Number of complaints </w:t>
        </w:r>
        <w:r w:rsidR="00FA3618" w:rsidRPr="0078382D">
          <w:rPr>
            <w:rStyle w:val="Hyperlink"/>
            <w:color w:val="auto"/>
            <w:u w:val="none"/>
          </w:rPr>
          <w:t>received</w:t>
        </w:r>
        <w:r w:rsidR="00FA3618">
          <w:rPr>
            <w:webHidden/>
          </w:rPr>
          <w:tab/>
        </w:r>
        <w:r w:rsidR="00FA3618">
          <w:rPr>
            <w:webHidden/>
          </w:rPr>
          <w:fldChar w:fldCharType="begin"/>
        </w:r>
        <w:r w:rsidR="00FA3618">
          <w:rPr>
            <w:webHidden/>
          </w:rPr>
          <w:instrText xml:space="preserve"> PAGEREF _Toc58316483 \h </w:instrText>
        </w:r>
        <w:r w:rsidR="00FA3618">
          <w:rPr>
            <w:webHidden/>
          </w:rPr>
        </w:r>
        <w:r w:rsidR="00FA3618">
          <w:rPr>
            <w:webHidden/>
          </w:rPr>
          <w:fldChar w:fldCharType="separate"/>
        </w:r>
        <w:r>
          <w:rPr>
            <w:webHidden/>
          </w:rPr>
          <w:t>1</w:t>
        </w:r>
        <w:r w:rsidR="00FA3618">
          <w:rPr>
            <w:webHidden/>
          </w:rPr>
          <w:fldChar w:fldCharType="end"/>
        </w:r>
      </w:hyperlink>
    </w:p>
    <w:p w14:paraId="261BF8C7" w14:textId="429271CB" w:rsidR="00FA3618" w:rsidRDefault="00D76CA3" w:rsidP="00AE6779">
      <w:pPr>
        <w:pStyle w:val="TOC3"/>
        <w:rPr>
          <w:rFonts w:eastAsiaTheme="minorEastAsia" w:cstheme="minorBidi"/>
          <w:sz w:val="22"/>
          <w:szCs w:val="22"/>
          <w:lang w:eastAsia="en-NZ" w:bidi="ar-SA"/>
        </w:rPr>
      </w:pPr>
      <w:hyperlink w:anchor="_Toc58316484" w:history="1">
        <w:r w:rsidR="00FA3618" w:rsidRPr="0078382D">
          <w:t>1.2</w:t>
        </w:r>
        <w:r w:rsidR="00FA3618" w:rsidRPr="0078382D">
          <w:rPr>
            <w:rFonts w:eastAsiaTheme="minorEastAsia"/>
          </w:rPr>
          <w:tab/>
        </w:r>
        <w:r w:rsidR="00FA3618" w:rsidRPr="0078382D">
          <w:t>Rate of complaints received</w:t>
        </w:r>
        <w:r w:rsidR="00FA3618">
          <w:rPr>
            <w:webHidden/>
          </w:rPr>
          <w:tab/>
        </w:r>
        <w:r w:rsidR="00FA3618">
          <w:rPr>
            <w:webHidden/>
          </w:rPr>
          <w:fldChar w:fldCharType="begin"/>
        </w:r>
        <w:r w:rsidR="00FA3618">
          <w:rPr>
            <w:webHidden/>
          </w:rPr>
          <w:instrText xml:space="preserve"> PAGEREF _Toc58316484 \h </w:instrText>
        </w:r>
        <w:r w:rsidR="00FA3618">
          <w:rPr>
            <w:webHidden/>
          </w:rPr>
        </w:r>
        <w:r w:rsidR="00FA3618">
          <w:rPr>
            <w:webHidden/>
          </w:rPr>
          <w:fldChar w:fldCharType="separate"/>
        </w:r>
        <w:r>
          <w:rPr>
            <w:webHidden/>
          </w:rPr>
          <w:t>2</w:t>
        </w:r>
        <w:r w:rsidR="00FA3618">
          <w:rPr>
            <w:webHidden/>
          </w:rPr>
          <w:fldChar w:fldCharType="end"/>
        </w:r>
      </w:hyperlink>
    </w:p>
    <w:p w14:paraId="1A23B081" w14:textId="155EEEBD" w:rsidR="00FA3618" w:rsidRDefault="00D76CA3">
      <w:pPr>
        <w:pStyle w:val="TOC2"/>
        <w:rPr>
          <w:color w:val="auto"/>
        </w:rPr>
      </w:pPr>
      <w:hyperlink w:anchor="_Toc58316485" w:history="1">
        <w:r w:rsidR="00FA3618" w:rsidRPr="00AF01AB">
          <w:rPr>
            <w:rStyle w:val="Hyperlink"/>
          </w:rPr>
          <w:t>2.</w:t>
        </w:r>
        <w:r w:rsidR="00FA3618">
          <w:rPr>
            <w:color w:val="auto"/>
          </w:rPr>
          <w:tab/>
        </w:r>
        <w:r w:rsidR="00FA3618" w:rsidRPr="00AF01AB">
          <w:rPr>
            <w:rStyle w:val="Hyperlink"/>
          </w:rPr>
          <w:t>Which DHB services were complained about?</w:t>
        </w:r>
        <w:r w:rsidR="00FA3618">
          <w:rPr>
            <w:webHidden/>
          </w:rPr>
          <w:tab/>
        </w:r>
        <w:r w:rsidR="00FA3618">
          <w:rPr>
            <w:webHidden/>
          </w:rPr>
          <w:fldChar w:fldCharType="begin"/>
        </w:r>
        <w:r w:rsidR="00FA3618">
          <w:rPr>
            <w:webHidden/>
          </w:rPr>
          <w:instrText xml:space="preserve"> PAGEREF _Toc58316485 \h </w:instrText>
        </w:r>
        <w:r w:rsidR="00FA3618">
          <w:rPr>
            <w:webHidden/>
          </w:rPr>
        </w:r>
        <w:r w:rsidR="00FA3618">
          <w:rPr>
            <w:webHidden/>
          </w:rPr>
          <w:fldChar w:fldCharType="separate"/>
        </w:r>
        <w:r>
          <w:rPr>
            <w:webHidden/>
          </w:rPr>
          <w:t>4</w:t>
        </w:r>
        <w:r w:rsidR="00FA3618">
          <w:rPr>
            <w:webHidden/>
          </w:rPr>
          <w:fldChar w:fldCharType="end"/>
        </w:r>
      </w:hyperlink>
    </w:p>
    <w:p w14:paraId="6636FFE8" w14:textId="01668202" w:rsidR="00FA3618" w:rsidRDefault="00D76CA3" w:rsidP="00AE6779">
      <w:pPr>
        <w:pStyle w:val="TOC3"/>
        <w:rPr>
          <w:rFonts w:eastAsiaTheme="minorEastAsia" w:cstheme="minorBidi"/>
          <w:sz w:val="22"/>
          <w:szCs w:val="22"/>
          <w:lang w:eastAsia="en-NZ" w:bidi="ar-SA"/>
        </w:rPr>
      </w:pPr>
      <w:hyperlink w:anchor="_Toc58316486" w:history="1">
        <w:r w:rsidR="00FA3618" w:rsidRPr="0078382D">
          <w:t>2.1</w:t>
        </w:r>
        <w:r w:rsidR="00FA3618" w:rsidRPr="0078382D">
          <w:rPr>
            <w:rFonts w:eastAsiaTheme="minorEastAsia"/>
          </w:rPr>
          <w:tab/>
        </w:r>
        <w:r w:rsidR="00FA3618" w:rsidRPr="0078382D">
          <w:t>DHB service types complained about</w:t>
        </w:r>
        <w:r w:rsidR="00FA3618">
          <w:rPr>
            <w:webHidden/>
          </w:rPr>
          <w:tab/>
        </w:r>
        <w:r w:rsidR="00FA3618">
          <w:rPr>
            <w:webHidden/>
          </w:rPr>
          <w:fldChar w:fldCharType="begin"/>
        </w:r>
        <w:r w:rsidR="00FA3618">
          <w:rPr>
            <w:webHidden/>
          </w:rPr>
          <w:instrText xml:space="preserve"> PAGEREF _Toc58316486 \h </w:instrText>
        </w:r>
        <w:r w:rsidR="00FA3618">
          <w:rPr>
            <w:webHidden/>
          </w:rPr>
        </w:r>
        <w:r w:rsidR="00FA3618">
          <w:rPr>
            <w:webHidden/>
          </w:rPr>
          <w:fldChar w:fldCharType="separate"/>
        </w:r>
        <w:r>
          <w:rPr>
            <w:webHidden/>
          </w:rPr>
          <w:t>4</w:t>
        </w:r>
        <w:r w:rsidR="00FA3618">
          <w:rPr>
            <w:webHidden/>
          </w:rPr>
          <w:fldChar w:fldCharType="end"/>
        </w:r>
      </w:hyperlink>
    </w:p>
    <w:p w14:paraId="67044637" w14:textId="22B6A965" w:rsidR="00FA3618" w:rsidRDefault="00D76CA3">
      <w:pPr>
        <w:pStyle w:val="TOC2"/>
        <w:rPr>
          <w:color w:val="auto"/>
        </w:rPr>
      </w:pPr>
      <w:hyperlink w:anchor="_Toc58316487" w:history="1">
        <w:r w:rsidR="00FA3618" w:rsidRPr="00AF01AB">
          <w:rPr>
            <w:rStyle w:val="Hyperlink"/>
          </w:rPr>
          <w:t>3.</w:t>
        </w:r>
        <w:r w:rsidR="00FA3618">
          <w:rPr>
            <w:color w:val="auto"/>
          </w:rPr>
          <w:tab/>
        </w:r>
        <w:r w:rsidR="00FA3618" w:rsidRPr="00AF01AB">
          <w:rPr>
            <w:rStyle w:val="Hyperlink"/>
          </w:rPr>
          <w:t>What did people complain about?</w:t>
        </w:r>
        <w:r w:rsidR="00FA3618">
          <w:rPr>
            <w:webHidden/>
          </w:rPr>
          <w:tab/>
        </w:r>
        <w:r w:rsidR="00FA3618">
          <w:rPr>
            <w:webHidden/>
          </w:rPr>
          <w:fldChar w:fldCharType="begin"/>
        </w:r>
        <w:r w:rsidR="00FA3618">
          <w:rPr>
            <w:webHidden/>
          </w:rPr>
          <w:instrText xml:space="preserve"> PAGEREF _Toc58316487 \h </w:instrText>
        </w:r>
        <w:r w:rsidR="00FA3618">
          <w:rPr>
            <w:webHidden/>
          </w:rPr>
        </w:r>
        <w:r w:rsidR="00FA3618">
          <w:rPr>
            <w:webHidden/>
          </w:rPr>
          <w:fldChar w:fldCharType="separate"/>
        </w:r>
        <w:r>
          <w:rPr>
            <w:webHidden/>
          </w:rPr>
          <w:t>7</w:t>
        </w:r>
        <w:r w:rsidR="00FA3618">
          <w:rPr>
            <w:webHidden/>
          </w:rPr>
          <w:fldChar w:fldCharType="end"/>
        </w:r>
      </w:hyperlink>
    </w:p>
    <w:p w14:paraId="2A068B24" w14:textId="491552F0" w:rsidR="00FA3618" w:rsidRDefault="00D76CA3" w:rsidP="00AE6779">
      <w:pPr>
        <w:pStyle w:val="TOC3"/>
        <w:rPr>
          <w:rFonts w:eastAsiaTheme="minorEastAsia" w:cstheme="minorBidi"/>
          <w:sz w:val="22"/>
          <w:szCs w:val="22"/>
          <w:lang w:eastAsia="en-NZ" w:bidi="ar-SA"/>
        </w:rPr>
      </w:pPr>
      <w:hyperlink w:anchor="_Toc58316488" w:history="1">
        <w:r w:rsidR="00FA3618" w:rsidRPr="0078382D">
          <w:t>3.1</w:t>
        </w:r>
        <w:r w:rsidR="00FA3618" w:rsidRPr="0078382D">
          <w:rPr>
            <w:rFonts w:eastAsiaTheme="minorEastAsia"/>
          </w:rPr>
          <w:tab/>
        </w:r>
        <w:r w:rsidR="00FA3618" w:rsidRPr="0078382D">
          <w:t>Primary issues identified in complaints</w:t>
        </w:r>
        <w:r w:rsidR="00FA3618">
          <w:rPr>
            <w:webHidden/>
          </w:rPr>
          <w:tab/>
        </w:r>
        <w:r w:rsidR="00FA3618">
          <w:rPr>
            <w:webHidden/>
          </w:rPr>
          <w:fldChar w:fldCharType="begin"/>
        </w:r>
        <w:r w:rsidR="00FA3618">
          <w:rPr>
            <w:webHidden/>
          </w:rPr>
          <w:instrText xml:space="preserve"> PAGEREF _Toc58316488 \h </w:instrText>
        </w:r>
        <w:r w:rsidR="00FA3618">
          <w:rPr>
            <w:webHidden/>
          </w:rPr>
        </w:r>
        <w:r w:rsidR="00FA3618">
          <w:rPr>
            <w:webHidden/>
          </w:rPr>
          <w:fldChar w:fldCharType="separate"/>
        </w:r>
        <w:r>
          <w:rPr>
            <w:webHidden/>
          </w:rPr>
          <w:t>7</w:t>
        </w:r>
        <w:r w:rsidR="00FA3618">
          <w:rPr>
            <w:webHidden/>
          </w:rPr>
          <w:fldChar w:fldCharType="end"/>
        </w:r>
      </w:hyperlink>
    </w:p>
    <w:p w14:paraId="5814B1C7" w14:textId="0B1C6A6E" w:rsidR="00FA3618" w:rsidRDefault="00D76CA3" w:rsidP="00AE6779">
      <w:pPr>
        <w:pStyle w:val="TOC3"/>
        <w:rPr>
          <w:rFonts w:eastAsiaTheme="minorEastAsia" w:cstheme="minorBidi"/>
          <w:sz w:val="22"/>
          <w:szCs w:val="22"/>
          <w:lang w:eastAsia="en-NZ" w:bidi="ar-SA"/>
        </w:rPr>
      </w:pPr>
      <w:hyperlink w:anchor="_Toc58316489" w:history="1">
        <w:r w:rsidR="00FA3618" w:rsidRPr="0078382D">
          <w:t>3.2</w:t>
        </w:r>
        <w:r w:rsidR="00FA3618" w:rsidRPr="0078382D">
          <w:rPr>
            <w:rFonts w:eastAsiaTheme="minorEastAsia"/>
          </w:rPr>
          <w:tab/>
        </w:r>
        <w:r w:rsidR="00FA3618" w:rsidRPr="0078382D">
          <w:t>All issues identified in complaints</w:t>
        </w:r>
        <w:r w:rsidR="00FA3618">
          <w:rPr>
            <w:webHidden/>
          </w:rPr>
          <w:tab/>
        </w:r>
        <w:r w:rsidR="00FA3618">
          <w:rPr>
            <w:webHidden/>
          </w:rPr>
          <w:fldChar w:fldCharType="begin"/>
        </w:r>
        <w:r w:rsidR="00FA3618">
          <w:rPr>
            <w:webHidden/>
          </w:rPr>
          <w:instrText xml:space="preserve"> PAGEREF _Toc58316489 \h </w:instrText>
        </w:r>
        <w:r w:rsidR="00FA3618">
          <w:rPr>
            <w:webHidden/>
          </w:rPr>
        </w:r>
        <w:r w:rsidR="00FA3618">
          <w:rPr>
            <w:webHidden/>
          </w:rPr>
          <w:fldChar w:fldCharType="separate"/>
        </w:r>
        <w:r>
          <w:rPr>
            <w:webHidden/>
          </w:rPr>
          <w:t>10</w:t>
        </w:r>
        <w:r w:rsidR="00FA3618">
          <w:rPr>
            <w:webHidden/>
          </w:rPr>
          <w:fldChar w:fldCharType="end"/>
        </w:r>
      </w:hyperlink>
    </w:p>
    <w:p w14:paraId="2CF506FF" w14:textId="13CA0149" w:rsidR="00FA3618" w:rsidRDefault="00D76CA3" w:rsidP="00AE6779">
      <w:pPr>
        <w:pStyle w:val="TOC3"/>
        <w:rPr>
          <w:rFonts w:eastAsiaTheme="minorEastAsia" w:cstheme="minorBidi"/>
          <w:sz w:val="22"/>
          <w:szCs w:val="22"/>
          <w:lang w:eastAsia="en-NZ" w:bidi="ar-SA"/>
        </w:rPr>
      </w:pPr>
      <w:hyperlink w:anchor="_Toc58316490" w:history="1">
        <w:r w:rsidR="00FA3618" w:rsidRPr="0078382D">
          <w:t>3.3</w:t>
        </w:r>
        <w:r w:rsidR="00FA3618" w:rsidRPr="0078382D">
          <w:rPr>
            <w:rFonts w:eastAsiaTheme="minorEastAsia"/>
          </w:rPr>
          <w:tab/>
        </w:r>
        <w:r w:rsidR="00FA3618" w:rsidRPr="0078382D">
          <w:t>Primary issues by service type</w:t>
        </w:r>
        <w:r w:rsidR="00FA3618">
          <w:rPr>
            <w:webHidden/>
          </w:rPr>
          <w:tab/>
        </w:r>
        <w:r w:rsidR="00FA3618">
          <w:rPr>
            <w:webHidden/>
          </w:rPr>
          <w:fldChar w:fldCharType="begin"/>
        </w:r>
        <w:r w:rsidR="00FA3618">
          <w:rPr>
            <w:webHidden/>
          </w:rPr>
          <w:instrText xml:space="preserve"> PAGEREF _Toc58316490 \h </w:instrText>
        </w:r>
        <w:r w:rsidR="00FA3618">
          <w:rPr>
            <w:webHidden/>
          </w:rPr>
        </w:r>
        <w:r w:rsidR="00FA3618">
          <w:rPr>
            <w:webHidden/>
          </w:rPr>
          <w:fldChar w:fldCharType="separate"/>
        </w:r>
        <w:r>
          <w:rPr>
            <w:webHidden/>
          </w:rPr>
          <w:t>13</w:t>
        </w:r>
        <w:r w:rsidR="00FA3618">
          <w:rPr>
            <w:webHidden/>
          </w:rPr>
          <w:fldChar w:fldCharType="end"/>
        </w:r>
      </w:hyperlink>
    </w:p>
    <w:p w14:paraId="4F1A2719" w14:textId="5FF9EC51" w:rsidR="00FA3618" w:rsidRDefault="00D76CA3">
      <w:pPr>
        <w:pStyle w:val="TOC2"/>
        <w:rPr>
          <w:color w:val="auto"/>
        </w:rPr>
      </w:pPr>
      <w:hyperlink w:anchor="_Toc58316491" w:history="1">
        <w:r w:rsidR="00FA3618" w:rsidRPr="00AF01AB">
          <w:rPr>
            <w:rStyle w:val="Hyperlink"/>
          </w:rPr>
          <w:t xml:space="preserve">4. </w:t>
        </w:r>
        <w:r w:rsidR="00FA3618">
          <w:rPr>
            <w:rStyle w:val="Hyperlink"/>
          </w:rPr>
          <w:tab/>
        </w:r>
        <w:r w:rsidR="00FA3618" w:rsidRPr="00AF01AB">
          <w:rPr>
            <w:rStyle w:val="Hyperlink"/>
          </w:rPr>
          <w:t>What were the outcomes of the complaints closed?</w:t>
        </w:r>
        <w:r w:rsidR="00FA3618">
          <w:rPr>
            <w:webHidden/>
          </w:rPr>
          <w:tab/>
        </w:r>
        <w:r w:rsidR="00FA3618">
          <w:rPr>
            <w:webHidden/>
          </w:rPr>
          <w:fldChar w:fldCharType="begin"/>
        </w:r>
        <w:r w:rsidR="00FA3618">
          <w:rPr>
            <w:webHidden/>
          </w:rPr>
          <w:instrText xml:space="preserve"> PAGEREF _Toc58316491 \h </w:instrText>
        </w:r>
        <w:r w:rsidR="00FA3618">
          <w:rPr>
            <w:webHidden/>
          </w:rPr>
        </w:r>
        <w:r w:rsidR="00FA3618">
          <w:rPr>
            <w:webHidden/>
          </w:rPr>
          <w:fldChar w:fldCharType="separate"/>
        </w:r>
        <w:r>
          <w:rPr>
            <w:webHidden/>
          </w:rPr>
          <w:t>14</w:t>
        </w:r>
        <w:r w:rsidR="00FA3618">
          <w:rPr>
            <w:webHidden/>
          </w:rPr>
          <w:fldChar w:fldCharType="end"/>
        </w:r>
      </w:hyperlink>
    </w:p>
    <w:p w14:paraId="395AC858" w14:textId="1D03C24C" w:rsidR="00FA3618" w:rsidRDefault="00D76CA3" w:rsidP="00AE6779">
      <w:pPr>
        <w:pStyle w:val="TOC3"/>
        <w:rPr>
          <w:rFonts w:eastAsiaTheme="minorEastAsia" w:cstheme="minorBidi"/>
          <w:sz w:val="22"/>
          <w:szCs w:val="22"/>
          <w:lang w:eastAsia="en-NZ" w:bidi="ar-SA"/>
        </w:rPr>
      </w:pPr>
      <w:hyperlink w:anchor="_Toc58316492" w:history="1">
        <w:r w:rsidR="00FA3618" w:rsidRPr="0078382D">
          <w:t xml:space="preserve">4.1 </w:t>
        </w:r>
        <w:r w:rsidR="00FA3618" w:rsidRPr="0078382D">
          <w:rPr>
            <w:rFonts w:eastAsiaTheme="minorEastAsia"/>
          </w:rPr>
          <w:tab/>
        </w:r>
        <w:r w:rsidR="00FA3618" w:rsidRPr="0078382D">
          <w:t>Number of complaints closed</w:t>
        </w:r>
        <w:r w:rsidR="00FA3618">
          <w:rPr>
            <w:webHidden/>
          </w:rPr>
          <w:tab/>
        </w:r>
        <w:r w:rsidR="00FA3618">
          <w:rPr>
            <w:webHidden/>
          </w:rPr>
          <w:fldChar w:fldCharType="begin"/>
        </w:r>
        <w:r w:rsidR="00FA3618">
          <w:rPr>
            <w:webHidden/>
          </w:rPr>
          <w:instrText xml:space="preserve"> PAGEREF _Toc58316492 \h </w:instrText>
        </w:r>
        <w:r w:rsidR="00FA3618">
          <w:rPr>
            <w:webHidden/>
          </w:rPr>
        </w:r>
        <w:r w:rsidR="00FA3618">
          <w:rPr>
            <w:webHidden/>
          </w:rPr>
          <w:fldChar w:fldCharType="separate"/>
        </w:r>
        <w:r>
          <w:rPr>
            <w:webHidden/>
          </w:rPr>
          <w:t>14</w:t>
        </w:r>
        <w:r w:rsidR="00FA3618">
          <w:rPr>
            <w:webHidden/>
          </w:rPr>
          <w:fldChar w:fldCharType="end"/>
        </w:r>
      </w:hyperlink>
    </w:p>
    <w:p w14:paraId="6AC49EC6" w14:textId="55280AFA" w:rsidR="00FA3618" w:rsidRDefault="00D76CA3" w:rsidP="00AE6779">
      <w:pPr>
        <w:pStyle w:val="TOC3"/>
        <w:rPr>
          <w:rFonts w:eastAsiaTheme="minorEastAsia" w:cstheme="minorBidi"/>
          <w:sz w:val="22"/>
          <w:szCs w:val="22"/>
          <w:lang w:eastAsia="en-NZ" w:bidi="ar-SA"/>
        </w:rPr>
      </w:pPr>
      <w:hyperlink w:anchor="_Toc58316493" w:history="1">
        <w:r w:rsidR="00FA3618" w:rsidRPr="0078382D">
          <w:t xml:space="preserve">4.2 </w:t>
        </w:r>
        <w:r w:rsidR="00FA3618" w:rsidRPr="0078382D">
          <w:rPr>
            <w:rFonts w:eastAsiaTheme="minorEastAsia"/>
          </w:rPr>
          <w:tab/>
        </w:r>
        <w:r w:rsidR="00FA3618" w:rsidRPr="0078382D">
          <w:t>Outcomes of complaints closed</w:t>
        </w:r>
        <w:r w:rsidR="00FA3618">
          <w:rPr>
            <w:webHidden/>
          </w:rPr>
          <w:tab/>
        </w:r>
        <w:r w:rsidR="00FA3618">
          <w:rPr>
            <w:webHidden/>
          </w:rPr>
          <w:fldChar w:fldCharType="begin"/>
        </w:r>
        <w:r w:rsidR="00FA3618">
          <w:rPr>
            <w:webHidden/>
          </w:rPr>
          <w:instrText xml:space="preserve"> PAGEREF _Toc58316493 \h </w:instrText>
        </w:r>
        <w:r w:rsidR="00FA3618">
          <w:rPr>
            <w:webHidden/>
          </w:rPr>
        </w:r>
        <w:r w:rsidR="00FA3618">
          <w:rPr>
            <w:webHidden/>
          </w:rPr>
          <w:fldChar w:fldCharType="separate"/>
        </w:r>
        <w:r>
          <w:rPr>
            <w:webHidden/>
          </w:rPr>
          <w:t>15</w:t>
        </w:r>
        <w:r w:rsidR="00FA3618">
          <w:rPr>
            <w:webHidden/>
          </w:rPr>
          <w:fldChar w:fldCharType="end"/>
        </w:r>
      </w:hyperlink>
    </w:p>
    <w:p w14:paraId="140C04B9" w14:textId="59F902B5" w:rsidR="00FA3618" w:rsidRDefault="00D76CA3" w:rsidP="00AE6779">
      <w:pPr>
        <w:pStyle w:val="TOC3"/>
        <w:rPr>
          <w:rFonts w:eastAsiaTheme="minorEastAsia" w:cstheme="minorBidi"/>
          <w:sz w:val="22"/>
          <w:szCs w:val="22"/>
          <w:lang w:eastAsia="en-NZ" w:bidi="ar-SA"/>
        </w:rPr>
      </w:pPr>
      <w:hyperlink w:anchor="_Toc58316494" w:history="1">
        <w:r w:rsidR="00FA3618" w:rsidRPr="0078382D">
          <w:t xml:space="preserve">4.3 </w:t>
        </w:r>
        <w:r w:rsidR="00FA3618" w:rsidRPr="0078382D">
          <w:rPr>
            <w:rFonts w:eastAsiaTheme="minorEastAsia"/>
          </w:rPr>
          <w:tab/>
        </w:r>
        <w:r w:rsidR="00FA3618" w:rsidRPr="0078382D">
          <w:t>Recommendations made to DHBs by HDC</w:t>
        </w:r>
        <w:r w:rsidR="00FA3618">
          <w:rPr>
            <w:webHidden/>
          </w:rPr>
          <w:tab/>
        </w:r>
        <w:r w:rsidR="00FA3618">
          <w:rPr>
            <w:webHidden/>
          </w:rPr>
          <w:fldChar w:fldCharType="begin"/>
        </w:r>
        <w:r w:rsidR="00FA3618">
          <w:rPr>
            <w:webHidden/>
          </w:rPr>
          <w:instrText xml:space="preserve"> PAGEREF _Toc58316494 \h </w:instrText>
        </w:r>
        <w:r w:rsidR="00FA3618">
          <w:rPr>
            <w:webHidden/>
          </w:rPr>
        </w:r>
        <w:r w:rsidR="00FA3618">
          <w:rPr>
            <w:webHidden/>
          </w:rPr>
          <w:fldChar w:fldCharType="separate"/>
        </w:r>
        <w:r>
          <w:rPr>
            <w:webHidden/>
          </w:rPr>
          <w:t>16</w:t>
        </w:r>
        <w:r w:rsidR="00FA3618">
          <w:rPr>
            <w:webHidden/>
          </w:rPr>
          <w:fldChar w:fldCharType="end"/>
        </w:r>
      </w:hyperlink>
    </w:p>
    <w:p w14:paraId="2C1DEB2D" w14:textId="61705652" w:rsidR="00FA3618" w:rsidRDefault="00D76CA3">
      <w:pPr>
        <w:pStyle w:val="TOC2"/>
        <w:rPr>
          <w:color w:val="auto"/>
        </w:rPr>
      </w:pPr>
      <w:hyperlink w:anchor="_Toc58316495" w:history="1">
        <w:r w:rsidR="00FA3618" w:rsidRPr="00AF01AB">
          <w:rPr>
            <w:rStyle w:val="Hyperlink"/>
          </w:rPr>
          <w:t xml:space="preserve">5. </w:t>
        </w:r>
        <w:r w:rsidR="00FA3618">
          <w:rPr>
            <w:rStyle w:val="Hyperlink"/>
          </w:rPr>
          <w:tab/>
        </w:r>
        <w:r w:rsidR="00FA3618" w:rsidRPr="00AF01AB">
          <w:rPr>
            <w:rStyle w:val="Hyperlink"/>
          </w:rPr>
          <w:t>Learning from complaints</w:t>
        </w:r>
        <w:r w:rsidR="00FA3618">
          <w:rPr>
            <w:webHidden/>
          </w:rPr>
          <w:tab/>
        </w:r>
        <w:r w:rsidR="00FA3618">
          <w:rPr>
            <w:webHidden/>
          </w:rPr>
          <w:fldChar w:fldCharType="begin"/>
        </w:r>
        <w:r w:rsidR="00FA3618">
          <w:rPr>
            <w:webHidden/>
          </w:rPr>
          <w:instrText xml:space="preserve"> PAGEREF _Toc58316495 \h </w:instrText>
        </w:r>
        <w:r w:rsidR="00FA3618">
          <w:rPr>
            <w:webHidden/>
          </w:rPr>
        </w:r>
        <w:r w:rsidR="00FA3618">
          <w:rPr>
            <w:webHidden/>
          </w:rPr>
          <w:fldChar w:fldCharType="separate"/>
        </w:r>
        <w:r>
          <w:rPr>
            <w:webHidden/>
          </w:rPr>
          <w:t>17</w:t>
        </w:r>
        <w:r w:rsidR="00FA3618">
          <w:rPr>
            <w:webHidden/>
          </w:rPr>
          <w:fldChar w:fldCharType="end"/>
        </w:r>
      </w:hyperlink>
    </w:p>
    <w:p w14:paraId="12D3D925" w14:textId="4963AC93" w:rsidR="00FA3618" w:rsidRDefault="00D76CA3" w:rsidP="00AE6779">
      <w:pPr>
        <w:pStyle w:val="TOC3"/>
        <w:rPr>
          <w:rFonts w:eastAsiaTheme="minorEastAsia" w:cstheme="minorBidi"/>
          <w:sz w:val="22"/>
          <w:szCs w:val="22"/>
          <w:lang w:eastAsia="en-NZ" w:bidi="ar-SA"/>
        </w:rPr>
      </w:pPr>
      <w:hyperlink w:anchor="_Toc58316496" w:history="1">
        <w:r w:rsidR="00FA3618" w:rsidRPr="0078382D">
          <w:t xml:space="preserve">5.1 </w:t>
        </w:r>
        <w:r w:rsidR="00FA3618" w:rsidRPr="0078382D">
          <w:rPr>
            <w:rFonts w:eastAsiaTheme="minorEastAsia"/>
          </w:rPr>
          <w:tab/>
        </w:r>
        <w:r w:rsidR="00FA3618" w:rsidRPr="0078382D">
          <w:t>Informed consent for dementia patient</w:t>
        </w:r>
        <w:r w:rsidR="00FA3618">
          <w:rPr>
            <w:webHidden/>
          </w:rPr>
          <w:tab/>
        </w:r>
        <w:r w:rsidR="00FA3618">
          <w:rPr>
            <w:webHidden/>
          </w:rPr>
          <w:fldChar w:fldCharType="begin"/>
        </w:r>
        <w:r w:rsidR="00FA3618">
          <w:rPr>
            <w:webHidden/>
          </w:rPr>
          <w:instrText xml:space="preserve"> PAGEREF _Toc58316496 \h </w:instrText>
        </w:r>
        <w:r w:rsidR="00FA3618">
          <w:rPr>
            <w:webHidden/>
          </w:rPr>
        </w:r>
        <w:r w:rsidR="00FA3618">
          <w:rPr>
            <w:webHidden/>
          </w:rPr>
          <w:fldChar w:fldCharType="separate"/>
        </w:r>
        <w:r>
          <w:rPr>
            <w:webHidden/>
          </w:rPr>
          <w:t>17</w:t>
        </w:r>
        <w:r w:rsidR="00FA3618">
          <w:rPr>
            <w:webHidden/>
          </w:rPr>
          <w:fldChar w:fldCharType="end"/>
        </w:r>
      </w:hyperlink>
    </w:p>
    <w:p w14:paraId="643E11F8" w14:textId="2C7A2FCD" w:rsidR="00FA3618" w:rsidRDefault="00D76CA3" w:rsidP="00AE6779">
      <w:pPr>
        <w:pStyle w:val="TOC3"/>
        <w:rPr>
          <w:rFonts w:eastAsiaTheme="minorEastAsia" w:cstheme="minorBidi"/>
          <w:sz w:val="22"/>
          <w:szCs w:val="22"/>
          <w:lang w:eastAsia="en-NZ" w:bidi="ar-SA"/>
        </w:rPr>
      </w:pPr>
      <w:hyperlink w:anchor="_Toc58316497" w:history="1">
        <w:r w:rsidR="00FA3618" w:rsidRPr="0078382D">
          <w:t xml:space="preserve">5.2 </w:t>
        </w:r>
        <w:r w:rsidR="00FA3618" w:rsidRPr="0078382D">
          <w:rPr>
            <w:rFonts w:eastAsiaTheme="minorEastAsia"/>
          </w:rPr>
          <w:tab/>
        </w:r>
        <w:r w:rsidR="00FA3618" w:rsidRPr="0078382D">
          <w:t>Follow-up on incidental finding</w:t>
        </w:r>
        <w:r w:rsidR="00FA3618">
          <w:rPr>
            <w:webHidden/>
          </w:rPr>
          <w:tab/>
        </w:r>
        <w:r w:rsidR="00FA3618">
          <w:rPr>
            <w:webHidden/>
          </w:rPr>
          <w:fldChar w:fldCharType="begin"/>
        </w:r>
        <w:r w:rsidR="00FA3618">
          <w:rPr>
            <w:webHidden/>
          </w:rPr>
          <w:instrText xml:space="preserve"> PAGEREF _Toc58316497 \h </w:instrText>
        </w:r>
        <w:r w:rsidR="00FA3618">
          <w:rPr>
            <w:webHidden/>
          </w:rPr>
        </w:r>
        <w:r w:rsidR="00FA3618">
          <w:rPr>
            <w:webHidden/>
          </w:rPr>
          <w:fldChar w:fldCharType="separate"/>
        </w:r>
        <w:r>
          <w:rPr>
            <w:webHidden/>
          </w:rPr>
          <w:t>18</w:t>
        </w:r>
        <w:r w:rsidR="00FA3618">
          <w:rPr>
            <w:webHidden/>
          </w:rPr>
          <w:fldChar w:fldCharType="end"/>
        </w:r>
      </w:hyperlink>
    </w:p>
    <w:p w14:paraId="3C443368" w14:textId="220FCD30" w:rsidR="00FA3618" w:rsidRDefault="00D76CA3" w:rsidP="00AE6779">
      <w:pPr>
        <w:pStyle w:val="TOC3"/>
        <w:rPr>
          <w:rFonts w:eastAsiaTheme="minorEastAsia" w:cstheme="minorBidi"/>
          <w:sz w:val="22"/>
          <w:szCs w:val="22"/>
          <w:lang w:eastAsia="en-NZ" w:bidi="ar-SA"/>
        </w:rPr>
      </w:pPr>
      <w:hyperlink w:anchor="_Toc58316498" w:history="1">
        <w:r w:rsidR="00FA3618" w:rsidRPr="0078382D">
          <w:t xml:space="preserve">5.3 </w:t>
        </w:r>
        <w:r w:rsidR="00FA3618" w:rsidRPr="0078382D">
          <w:rPr>
            <w:rFonts w:eastAsiaTheme="minorEastAsia"/>
          </w:rPr>
          <w:tab/>
        </w:r>
        <w:r w:rsidR="00FA3618" w:rsidRPr="0078382D">
          <w:t>Failure to respect refusal of consent for treatment</w:t>
        </w:r>
        <w:r w:rsidR="00FA3618">
          <w:rPr>
            <w:webHidden/>
          </w:rPr>
          <w:tab/>
        </w:r>
        <w:r w:rsidR="00FA3618">
          <w:rPr>
            <w:webHidden/>
          </w:rPr>
          <w:fldChar w:fldCharType="begin"/>
        </w:r>
        <w:r w:rsidR="00FA3618">
          <w:rPr>
            <w:webHidden/>
          </w:rPr>
          <w:instrText xml:space="preserve"> PAGEREF _Toc58316498 \h </w:instrText>
        </w:r>
        <w:r w:rsidR="00FA3618">
          <w:rPr>
            <w:webHidden/>
          </w:rPr>
        </w:r>
        <w:r w:rsidR="00FA3618">
          <w:rPr>
            <w:webHidden/>
          </w:rPr>
          <w:fldChar w:fldCharType="separate"/>
        </w:r>
        <w:r>
          <w:rPr>
            <w:webHidden/>
          </w:rPr>
          <w:t>19</w:t>
        </w:r>
        <w:r w:rsidR="00FA3618">
          <w:rPr>
            <w:webHidden/>
          </w:rPr>
          <w:fldChar w:fldCharType="end"/>
        </w:r>
      </w:hyperlink>
    </w:p>
    <w:p w14:paraId="1F74EE3B" w14:textId="41EE6113" w:rsidR="00FA3618" w:rsidRDefault="00D76CA3" w:rsidP="00AE6779">
      <w:pPr>
        <w:pStyle w:val="TOC3"/>
        <w:rPr>
          <w:rFonts w:eastAsiaTheme="minorEastAsia" w:cstheme="minorBidi"/>
          <w:sz w:val="22"/>
          <w:szCs w:val="22"/>
          <w:lang w:eastAsia="en-NZ" w:bidi="ar-SA"/>
        </w:rPr>
      </w:pPr>
      <w:hyperlink w:anchor="_Toc58316499" w:history="1">
        <w:r w:rsidR="00FA3618" w:rsidRPr="0078382D">
          <w:t xml:space="preserve">5.4 </w:t>
        </w:r>
        <w:r w:rsidR="00FA3618" w:rsidRPr="0078382D">
          <w:rPr>
            <w:rFonts w:eastAsiaTheme="minorEastAsia"/>
          </w:rPr>
          <w:tab/>
        </w:r>
        <w:r w:rsidR="00FA3618" w:rsidRPr="0078382D">
          <w:t>Delayed diagnosis of bladder cancer</w:t>
        </w:r>
        <w:r w:rsidR="00FA3618">
          <w:rPr>
            <w:webHidden/>
          </w:rPr>
          <w:tab/>
        </w:r>
        <w:r w:rsidR="00FA3618">
          <w:rPr>
            <w:webHidden/>
          </w:rPr>
          <w:fldChar w:fldCharType="begin"/>
        </w:r>
        <w:r w:rsidR="00FA3618">
          <w:rPr>
            <w:webHidden/>
          </w:rPr>
          <w:instrText xml:space="preserve"> PAGEREF _Toc58316499 \h </w:instrText>
        </w:r>
        <w:r w:rsidR="00FA3618">
          <w:rPr>
            <w:webHidden/>
          </w:rPr>
        </w:r>
        <w:r w:rsidR="00FA3618">
          <w:rPr>
            <w:webHidden/>
          </w:rPr>
          <w:fldChar w:fldCharType="separate"/>
        </w:r>
        <w:r>
          <w:rPr>
            <w:webHidden/>
          </w:rPr>
          <w:t>20</w:t>
        </w:r>
        <w:r w:rsidR="00FA3618">
          <w:rPr>
            <w:webHidden/>
          </w:rPr>
          <w:fldChar w:fldCharType="end"/>
        </w:r>
      </w:hyperlink>
    </w:p>
    <w:p w14:paraId="427B96B3" w14:textId="2E70249D" w:rsidR="00841E1C" w:rsidRPr="007E6810" w:rsidRDefault="007E6810" w:rsidP="0078382D">
      <w:r>
        <w:fldChar w:fldCharType="end"/>
      </w:r>
    </w:p>
    <w:p w14:paraId="1A512A15" w14:textId="77777777" w:rsidR="00841E1C" w:rsidRDefault="00841E1C" w:rsidP="00841E1C">
      <w:pPr>
        <w:jc w:val="left"/>
        <w:rPr>
          <w:b/>
          <w:color w:val="000000" w:themeColor="text1"/>
          <w:sz w:val="32"/>
          <w:szCs w:val="32"/>
        </w:rPr>
        <w:sectPr w:rsidR="00841E1C">
          <w:pgSz w:w="11906" w:h="16838"/>
          <w:pgMar w:top="1140" w:right="1412" w:bottom="851" w:left="1412" w:header="720" w:footer="590" w:gutter="0"/>
          <w:pgNumType w:fmt="lowerRoman" w:start="1"/>
          <w:cols w:space="720"/>
        </w:sectPr>
      </w:pPr>
    </w:p>
    <w:p w14:paraId="36C829B7" w14:textId="53BE755A" w:rsidR="00841E1C" w:rsidRPr="00D8776B" w:rsidRDefault="00841E1C" w:rsidP="0078382D">
      <w:pPr>
        <w:pStyle w:val="Heading1"/>
      </w:pPr>
      <w:bookmarkStart w:id="1" w:name="_Toc383707794"/>
      <w:bookmarkStart w:id="2" w:name="_Toc414442656"/>
      <w:bookmarkStart w:id="3" w:name="_Toc414461837"/>
      <w:bookmarkStart w:id="4" w:name="_Toc414875835"/>
      <w:bookmarkStart w:id="5" w:name="_Toc414886545"/>
      <w:bookmarkStart w:id="6" w:name="_Toc414952830"/>
      <w:bookmarkStart w:id="7" w:name="_Toc415039801"/>
      <w:bookmarkStart w:id="8" w:name="_Toc415046457"/>
      <w:bookmarkStart w:id="9" w:name="_Toc415135529"/>
      <w:bookmarkStart w:id="10" w:name="_Toc415147243"/>
      <w:bookmarkStart w:id="11" w:name="_Toc415153517"/>
      <w:bookmarkStart w:id="12" w:name="_Toc415221218"/>
      <w:bookmarkStart w:id="13" w:name="_Toc426462636"/>
      <w:bookmarkStart w:id="14" w:name="_Toc447527523"/>
      <w:bookmarkStart w:id="15" w:name="_Toc447291466"/>
      <w:bookmarkStart w:id="16" w:name="_Toc443992220"/>
      <w:bookmarkStart w:id="17" w:name="_Toc384047606"/>
      <w:bookmarkStart w:id="18" w:name="_Toc426462625"/>
      <w:r w:rsidRPr="00D8776B">
        <w:rPr>
          <w:lang w:val="en-NZ"/>
        </w:rPr>
        <w:lastRenderedPageBreak/>
        <w:t xml:space="preserve"> </w:t>
      </w:r>
      <w:bookmarkStart w:id="19" w:name="_Toc493684121"/>
      <w:bookmarkStart w:id="20" w:name="_Toc5831648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D8776B">
        <w:t>Commissioner’s Foreword</w:t>
      </w:r>
      <w:bookmarkEnd w:id="19"/>
      <w:bookmarkEnd w:id="20"/>
    </w:p>
    <w:p w14:paraId="1C70F2B5" w14:textId="1797616C" w:rsidR="007F3BA5" w:rsidRPr="00F4389E" w:rsidRDefault="007F3BA5" w:rsidP="00D20145">
      <w:r w:rsidRPr="00F4389E">
        <w:rPr>
          <w:rFonts w:cs="Helvetica"/>
        </w:rPr>
        <w:t>Tēnā koutou </w:t>
      </w:r>
    </w:p>
    <w:p w14:paraId="4CD9830A" w14:textId="77777777" w:rsidR="007F3BA5" w:rsidRDefault="007F3BA5" w:rsidP="00D20145"/>
    <w:p w14:paraId="70AC8C67" w14:textId="256CBD7A" w:rsidR="00D20145" w:rsidRDefault="00D20145" w:rsidP="00D20145">
      <w:r w:rsidRPr="003E5D6C">
        <w:t>I am pleased to present you with HDC’s second six</w:t>
      </w:r>
      <w:r w:rsidR="002C7890">
        <w:t>-</w:t>
      </w:r>
      <w:r w:rsidRPr="003E5D6C">
        <w:t>monthly D</w:t>
      </w:r>
      <w:r>
        <w:t>HB complaint report for the 2019/2020</w:t>
      </w:r>
      <w:r w:rsidRPr="003E5D6C">
        <w:t xml:space="preserve"> year.</w:t>
      </w:r>
      <w:r>
        <w:t xml:space="preserve"> This report details</w:t>
      </w:r>
      <w:r w:rsidRPr="00A8497F">
        <w:t xml:space="preserve"> the trends in complaints </w:t>
      </w:r>
      <w:r w:rsidR="009C3D37">
        <w:t xml:space="preserve">HDC </w:t>
      </w:r>
      <w:r w:rsidRPr="00A8497F">
        <w:t xml:space="preserve">received about DHBs between </w:t>
      </w:r>
      <w:r>
        <w:t>1 January and 30 June 2020</w:t>
      </w:r>
      <w:r w:rsidRPr="00A8497F">
        <w:t>.</w:t>
      </w:r>
    </w:p>
    <w:p w14:paraId="14511DF4" w14:textId="06F6D36A" w:rsidR="00D20145" w:rsidRDefault="00D20145" w:rsidP="00D20145"/>
    <w:p w14:paraId="5E6FABDD" w14:textId="4BABA8F0" w:rsidR="00945AF6" w:rsidRDefault="00D20145" w:rsidP="00945AF6">
      <w:pPr>
        <w:rPr>
          <w:iCs/>
          <w:sz w:val="21"/>
          <w:szCs w:val="21"/>
        </w:rPr>
      </w:pPr>
      <w:r>
        <w:t xml:space="preserve">I took Office as the Health and Disability Commissioner on 7 September 2020. </w:t>
      </w:r>
      <w:r w:rsidR="00945AF6">
        <w:t>This has been an interesting and challenging time to join the organisation</w:t>
      </w:r>
      <w:r w:rsidR="009C3D37">
        <w:t>,</w:t>
      </w:r>
      <w:r w:rsidR="00945AF6">
        <w:t xml:space="preserve"> with the effects of the </w:t>
      </w:r>
      <w:r w:rsidR="00D3626E">
        <w:t xml:space="preserve">COVID-19 </w:t>
      </w:r>
      <w:r w:rsidR="0086165A">
        <w:t>pandemic still</w:t>
      </w:r>
      <w:r w:rsidR="00D3626E">
        <w:t xml:space="preserve"> being felt in New Zealand, and particularly in the healthcare sector</w:t>
      </w:r>
      <w:r w:rsidR="00945AF6">
        <w:t xml:space="preserve">. The themes of this report </w:t>
      </w:r>
      <w:r w:rsidR="0086165A">
        <w:t>include</w:t>
      </w:r>
      <w:r w:rsidR="007F3BA5">
        <w:t xml:space="preserve"> </w:t>
      </w:r>
      <w:r w:rsidR="00945AF6">
        <w:t>con</w:t>
      </w:r>
      <w:r w:rsidR="007F3BA5">
        <w:t>sumer</w:t>
      </w:r>
      <w:r w:rsidR="006F7F6E">
        <w:t>s</w:t>
      </w:r>
      <w:r w:rsidR="007F3BA5">
        <w:t>’</w:t>
      </w:r>
      <w:r w:rsidR="006F7F6E">
        <w:t xml:space="preserve"> concerns</w:t>
      </w:r>
      <w:r w:rsidR="00D3626E">
        <w:t xml:space="preserve"> during the COVID-19 restrictions. </w:t>
      </w:r>
      <w:r w:rsidR="002C7890">
        <w:t xml:space="preserve">First, </w:t>
      </w:r>
      <w:r w:rsidR="00D3626E">
        <w:t xml:space="preserve">I would like to acknowledge the huge pressure </w:t>
      </w:r>
      <w:r w:rsidR="002C7890">
        <w:t xml:space="preserve">on </w:t>
      </w:r>
      <w:r w:rsidR="00D3626E">
        <w:t>the healthcare sec</w:t>
      </w:r>
      <w:r w:rsidR="007F3BA5">
        <w:t>tor during the time</w:t>
      </w:r>
      <w:r w:rsidR="00D3626E">
        <w:t xml:space="preserve">frame of this report. </w:t>
      </w:r>
      <w:r w:rsidR="007F3BA5">
        <w:t xml:space="preserve">The </w:t>
      </w:r>
      <w:r w:rsidR="00D3626E" w:rsidRPr="007526BE">
        <w:rPr>
          <w:iCs/>
          <w:sz w:val="21"/>
          <w:szCs w:val="21"/>
        </w:rPr>
        <w:t>high levels of resilience and agility</w:t>
      </w:r>
      <w:r w:rsidR="00D3626E">
        <w:rPr>
          <w:iCs/>
          <w:sz w:val="21"/>
          <w:szCs w:val="21"/>
        </w:rPr>
        <w:t xml:space="preserve"> displayed by the healthcare system</w:t>
      </w:r>
      <w:r w:rsidR="006F7F6E">
        <w:rPr>
          <w:iCs/>
          <w:sz w:val="21"/>
          <w:szCs w:val="21"/>
        </w:rPr>
        <w:t xml:space="preserve"> in response to this unprecedented event</w:t>
      </w:r>
      <w:r w:rsidR="007F3BA5">
        <w:rPr>
          <w:iCs/>
          <w:sz w:val="21"/>
          <w:szCs w:val="21"/>
        </w:rPr>
        <w:t xml:space="preserve"> ha</w:t>
      </w:r>
      <w:r w:rsidR="009C3D37">
        <w:rPr>
          <w:iCs/>
          <w:sz w:val="21"/>
          <w:szCs w:val="21"/>
        </w:rPr>
        <w:t>ve</w:t>
      </w:r>
      <w:r w:rsidR="007F3BA5">
        <w:rPr>
          <w:iCs/>
          <w:sz w:val="21"/>
          <w:szCs w:val="21"/>
        </w:rPr>
        <w:t xml:space="preserve"> been impressive.</w:t>
      </w:r>
    </w:p>
    <w:p w14:paraId="6DF485AF" w14:textId="00DA70AA" w:rsidR="00CF6D9B" w:rsidRDefault="00CF6D9B" w:rsidP="00945AF6">
      <w:pPr>
        <w:rPr>
          <w:iCs/>
          <w:sz w:val="21"/>
          <w:szCs w:val="21"/>
        </w:rPr>
      </w:pPr>
    </w:p>
    <w:p w14:paraId="5720D943" w14:textId="137CD270" w:rsidR="00CF6D9B" w:rsidRDefault="00CF6D9B" w:rsidP="00945AF6">
      <w:pPr>
        <w:rPr>
          <w:iCs/>
          <w:sz w:val="21"/>
          <w:szCs w:val="21"/>
        </w:rPr>
      </w:pPr>
      <w:r>
        <w:t xml:space="preserve">HDC is closely monitoring the trends that appear across complaints involving COVID-19 related issues. An outline of these issues for DHBs is detailed </w:t>
      </w:r>
      <w:r w:rsidRPr="009646C0">
        <w:t xml:space="preserve">on page </w:t>
      </w:r>
      <w:r w:rsidR="009646C0" w:rsidRPr="009646C0">
        <w:t>1</w:t>
      </w:r>
      <w:r w:rsidR="00406651">
        <w:t>2</w:t>
      </w:r>
      <w:r w:rsidRPr="009646C0">
        <w:t>.</w:t>
      </w:r>
    </w:p>
    <w:p w14:paraId="1BDD864A" w14:textId="1C758B8B" w:rsidR="00D3626E" w:rsidRDefault="00D3626E" w:rsidP="00945AF6">
      <w:pPr>
        <w:rPr>
          <w:iCs/>
          <w:sz w:val="21"/>
          <w:szCs w:val="21"/>
        </w:rPr>
      </w:pPr>
    </w:p>
    <w:p w14:paraId="4659B6D4" w14:textId="7619B7FD" w:rsidR="00122583" w:rsidRDefault="00D3626E" w:rsidP="00B51DED">
      <w:r>
        <w:rPr>
          <w:szCs w:val="22"/>
        </w:rPr>
        <w:t>HDC received 392 complaints about DHB services between 1 January and 30 June 2020</w:t>
      </w:r>
      <w:r w:rsidR="00B51DED">
        <w:rPr>
          <w:szCs w:val="22"/>
        </w:rPr>
        <w:t xml:space="preserve"> </w:t>
      </w:r>
      <w:r w:rsidR="004F61AA">
        <w:rPr>
          <w:szCs w:val="22"/>
        </w:rPr>
        <w:t xml:space="preserve">— </w:t>
      </w:r>
      <w:r w:rsidR="00B51DED">
        <w:rPr>
          <w:szCs w:val="22"/>
        </w:rPr>
        <w:t xml:space="preserve">the lowest number of complaints received about DHBs since 2016. However, </w:t>
      </w:r>
      <w:r w:rsidR="006F7F6E">
        <w:rPr>
          <w:szCs w:val="22"/>
        </w:rPr>
        <w:t>it should be noted that</w:t>
      </w:r>
      <w:r w:rsidR="0086165A">
        <w:rPr>
          <w:szCs w:val="22"/>
        </w:rPr>
        <w:t xml:space="preserve"> </w:t>
      </w:r>
      <w:r w:rsidR="009C3D37">
        <w:rPr>
          <w:szCs w:val="22"/>
        </w:rPr>
        <w:t xml:space="preserve">owing </w:t>
      </w:r>
      <w:r w:rsidR="0086165A">
        <w:rPr>
          <w:szCs w:val="22"/>
        </w:rPr>
        <w:t>to COVID-19 restrictions</w:t>
      </w:r>
      <w:r w:rsidR="006F7F6E">
        <w:rPr>
          <w:szCs w:val="22"/>
        </w:rPr>
        <w:t xml:space="preserve"> there was a decline </w:t>
      </w:r>
      <w:r w:rsidR="00B51DED">
        <w:rPr>
          <w:szCs w:val="22"/>
        </w:rPr>
        <w:t>in inpatient discharges</w:t>
      </w:r>
      <w:r w:rsidR="006F7F6E">
        <w:rPr>
          <w:szCs w:val="22"/>
        </w:rPr>
        <w:t>. When this decline in dis</w:t>
      </w:r>
      <w:r w:rsidR="0086165A">
        <w:rPr>
          <w:szCs w:val="22"/>
        </w:rPr>
        <w:t>charges wa</w:t>
      </w:r>
      <w:r w:rsidR="006F7F6E">
        <w:rPr>
          <w:szCs w:val="22"/>
        </w:rPr>
        <w:t>s taken into account,</w:t>
      </w:r>
      <w:r w:rsidR="0086165A">
        <w:rPr>
          <w:szCs w:val="22"/>
        </w:rPr>
        <w:t xml:space="preserve"> HDC’s rate of complaints for</w:t>
      </w:r>
      <w:r w:rsidR="00717512">
        <w:rPr>
          <w:szCs w:val="22"/>
        </w:rPr>
        <w:t xml:space="preserve"> Jan</w:t>
      </w:r>
      <w:r w:rsidR="004F61AA">
        <w:rPr>
          <w:szCs w:val="22"/>
        </w:rPr>
        <w:t>uary</w:t>
      </w:r>
      <w:r w:rsidR="00717512">
        <w:rPr>
          <w:szCs w:val="22"/>
        </w:rPr>
        <w:t>–Jun</w:t>
      </w:r>
      <w:r w:rsidR="004F61AA">
        <w:rPr>
          <w:szCs w:val="22"/>
        </w:rPr>
        <w:t>e</w:t>
      </w:r>
      <w:r w:rsidR="00717512">
        <w:rPr>
          <w:szCs w:val="22"/>
        </w:rPr>
        <w:t xml:space="preserve"> 2020 was similar to</w:t>
      </w:r>
      <w:r w:rsidR="0086165A">
        <w:rPr>
          <w:szCs w:val="22"/>
        </w:rPr>
        <w:t xml:space="preserve"> that seen in</w:t>
      </w:r>
      <w:r w:rsidR="00717512">
        <w:rPr>
          <w:szCs w:val="22"/>
        </w:rPr>
        <w:t xml:space="preserve"> previous periods</w:t>
      </w:r>
      <w:r w:rsidR="00B51DED">
        <w:rPr>
          <w:szCs w:val="22"/>
        </w:rPr>
        <w:t>. This indicates that the decline in complaint numbers is at least partly attributable to</w:t>
      </w:r>
      <w:r w:rsidR="00B51DED">
        <w:t xml:space="preserve"> COVID-19 restrictions and an associated decrease in health service activity.</w:t>
      </w:r>
    </w:p>
    <w:p w14:paraId="042891CF" w14:textId="236E77A9" w:rsidR="00B51DED" w:rsidRDefault="00B51DED" w:rsidP="00B51DED"/>
    <w:p w14:paraId="7AEB2C25" w14:textId="08DADC57" w:rsidR="00CF6D9B" w:rsidRPr="007F3BA5" w:rsidRDefault="00CF6D9B" w:rsidP="00B51DED">
      <w:pPr>
        <w:rPr>
          <w:szCs w:val="22"/>
        </w:rPr>
      </w:pPr>
      <w:r w:rsidRPr="007F3BA5">
        <w:rPr>
          <w:iCs/>
          <w:szCs w:val="22"/>
        </w:rPr>
        <w:t>Lack of access to services became the most commonly complained about primary issue for the first time in Jan</w:t>
      </w:r>
      <w:r w:rsidR="004F61AA">
        <w:rPr>
          <w:iCs/>
          <w:szCs w:val="22"/>
        </w:rPr>
        <w:t>uary</w:t>
      </w:r>
      <w:r w:rsidRPr="007F3BA5">
        <w:rPr>
          <w:iCs/>
          <w:szCs w:val="22"/>
        </w:rPr>
        <w:t>–Jun</w:t>
      </w:r>
      <w:r w:rsidR="004F61AA">
        <w:rPr>
          <w:iCs/>
          <w:szCs w:val="22"/>
        </w:rPr>
        <w:t>e</w:t>
      </w:r>
      <w:r w:rsidRPr="007F3BA5">
        <w:rPr>
          <w:iCs/>
          <w:szCs w:val="22"/>
        </w:rPr>
        <w:t xml:space="preserve"> 2020. </w:t>
      </w:r>
      <w:r w:rsidR="00B51DED" w:rsidRPr="007F3BA5">
        <w:rPr>
          <w:iCs/>
          <w:szCs w:val="22"/>
        </w:rPr>
        <w:t>Access for many was deferred during the COVID-19 restrictions</w:t>
      </w:r>
      <w:r w:rsidR="009C3D37">
        <w:rPr>
          <w:iCs/>
          <w:szCs w:val="22"/>
        </w:rPr>
        <w:t>,</w:t>
      </w:r>
      <w:r w:rsidR="00B51DED" w:rsidRPr="007F3BA5">
        <w:rPr>
          <w:iCs/>
          <w:szCs w:val="22"/>
        </w:rPr>
        <w:t xml:space="preserve"> as people stayed away from health services and non-urgent care was postponed. </w:t>
      </w:r>
      <w:r w:rsidR="00B51DED" w:rsidRPr="007F3BA5">
        <w:rPr>
          <w:szCs w:val="22"/>
        </w:rPr>
        <w:t>A number of issues raised in complaints about COVID-19 centre on reduced access to care and delayed treatment, including reduced access to secondary and emergency health care</w:t>
      </w:r>
      <w:r w:rsidR="007F3BA5">
        <w:rPr>
          <w:szCs w:val="22"/>
        </w:rPr>
        <w:t>.</w:t>
      </w:r>
      <w:r w:rsidRPr="007F3BA5">
        <w:rPr>
          <w:szCs w:val="22"/>
        </w:rPr>
        <w:t xml:space="preserve"> </w:t>
      </w:r>
      <w:r w:rsidR="00E4023D" w:rsidRPr="007F3BA5">
        <w:rPr>
          <w:szCs w:val="22"/>
        </w:rPr>
        <w:t xml:space="preserve">As the focus shifts to recovery, </w:t>
      </w:r>
      <w:r w:rsidRPr="007F3BA5">
        <w:rPr>
          <w:szCs w:val="22"/>
        </w:rPr>
        <w:t>it is more important</w:t>
      </w:r>
      <w:r w:rsidR="00E4023D" w:rsidRPr="007F3BA5">
        <w:rPr>
          <w:szCs w:val="22"/>
        </w:rPr>
        <w:t xml:space="preserve"> than ever </w:t>
      </w:r>
      <w:r w:rsidR="00104FC9">
        <w:rPr>
          <w:szCs w:val="22"/>
        </w:rPr>
        <w:t xml:space="preserve">to ensure </w:t>
      </w:r>
      <w:r w:rsidR="00E4023D" w:rsidRPr="007F3BA5">
        <w:rPr>
          <w:szCs w:val="22"/>
        </w:rPr>
        <w:t>that the system is operating in a c</w:t>
      </w:r>
      <w:r w:rsidR="00717512" w:rsidRPr="007F3BA5">
        <w:rPr>
          <w:szCs w:val="22"/>
        </w:rPr>
        <w:t>onsumer-centred way.</w:t>
      </w:r>
    </w:p>
    <w:p w14:paraId="656EDDA2" w14:textId="73300B7C" w:rsidR="00E10828" w:rsidRPr="00717512" w:rsidRDefault="00E4023D" w:rsidP="0078382D">
      <w:pPr>
        <w:spacing w:after="200"/>
        <w:rPr>
          <w:lang w:val="en-US"/>
        </w:rPr>
      </w:pPr>
      <w:r>
        <w:rPr>
          <w:lang w:val="en-US"/>
        </w:rPr>
        <w:br/>
        <w:t>Every complaint is an opportunity to learn. HDC’s data is grounded in the consumer experience and re</w:t>
      </w:r>
      <w:r w:rsidR="007F3BA5">
        <w:rPr>
          <w:lang w:val="en-US"/>
        </w:rPr>
        <w:t>flects the issues that consumer</w:t>
      </w:r>
      <w:r>
        <w:rPr>
          <w:lang w:val="en-US"/>
        </w:rPr>
        <w:t xml:space="preserve">s care </w:t>
      </w:r>
      <w:r w:rsidR="004F61AA">
        <w:rPr>
          <w:lang w:val="en-US"/>
        </w:rPr>
        <w:t xml:space="preserve">about </w:t>
      </w:r>
      <w:r>
        <w:rPr>
          <w:lang w:val="en-US"/>
        </w:rPr>
        <w:t>most</w:t>
      </w:r>
      <w:r w:rsidR="009C3D37">
        <w:rPr>
          <w:lang w:val="en-US"/>
        </w:rPr>
        <w:t>. A</w:t>
      </w:r>
      <w:r>
        <w:rPr>
          <w:lang w:val="en-US"/>
        </w:rPr>
        <w:t>s such, I hope these reports continue to promote quality improvement.</w:t>
      </w:r>
    </w:p>
    <w:p w14:paraId="3364C449" w14:textId="16498EE3" w:rsidR="0086165A" w:rsidRDefault="0086165A" w:rsidP="0086165A">
      <w:pPr>
        <w:spacing w:after="200"/>
        <w:jc w:val="left"/>
        <w:rPr>
          <w:b/>
          <w:lang w:val="en-US"/>
        </w:rPr>
      </w:pPr>
      <w:r>
        <w:t>Wha</w:t>
      </w:r>
      <w:r w:rsidR="009C3D37">
        <w:t>o</w:t>
      </w:r>
      <w:r>
        <w:t>whia te kete mātauranga</w:t>
      </w:r>
    </w:p>
    <w:p w14:paraId="5C6FE7C3" w14:textId="0B2A00AF" w:rsidR="00E10828" w:rsidRDefault="00E10828" w:rsidP="00B01533">
      <w:pPr>
        <w:spacing w:after="200"/>
        <w:jc w:val="left"/>
        <w:rPr>
          <w:b/>
          <w:lang w:val="en-US"/>
        </w:rPr>
      </w:pPr>
    </w:p>
    <w:p w14:paraId="13D1A121" w14:textId="3934DDB4" w:rsidR="00F24AEF" w:rsidRPr="00F24AEF" w:rsidRDefault="00F24AEF" w:rsidP="00B01533">
      <w:pPr>
        <w:spacing w:after="200"/>
        <w:jc w:val="left"/>
        <w:rPr>
          <w:b/>
          <w:lang w:val="en-US"/>
        </w:rPr>
      </w:pPr>
      <w:r>
        <w:rPr>
          <w:lang w:val="en-US"/>
        </w:rPr>
        <w:t>Morag McDowell</w:t>
      </w:r>
      <w:r>
        <w:rPr>
          <w:lang w:val="en-US"/>
        </w:rPr>
        <w:br/>
      </w:r>
      <w:r>
        <w:rPr>
          <w:b/>
          <w:lang w:val="en-US"/>
        </w:rPr>
        <w:t>Health and Disability Commissioner</w:t>
      </w:r>
    </w:p>
    <w:p w14:paraId="44A4F550" w14:textId="0763C7B9" w:rsidR="00E10828" w:rsidRDefault="00E10828" w:rsidP="00B01533">
      <w:pPr>
        <w:spacing w:after="200"/>
        <w:jc w:val="left"/>
        <w:rPr>
          <w:b/>
          <w:lang w:val="en-US"/>
        </w:rPr>
      </w:pPr>
    </w:p>
    <w:p w14:paraId="19F1A687" w14:textId="668E43DC" w:rsidR="00E10828" w:rsidRDefault="00E10828" w:rsidP="00B01533">
      <w:pPr>
        <w:spacing w:after="200"/>
        <w:jc w:val="left"/>
        <w:rPr>
          <w:b/>
          <w:lang w:val="en-US"/>
        </w:rPr>
      </w:pPr>
    </w:p>
    <w:p w14:paraId="784B98DB" w14:textId="77777777" w:rsidR="008B11BC" w:rsidRDefault="008B11BC" w:rsidP="00B01533">
      <w:pPr>
        <w:spacing w:after="200"/>
        <w:jc w:val="left"/>
        <w:rPr>
          <w:b/>
          <w:lang w:val="en-US"/>
        </w:rPr>
        <w:sectPr w:rsidR="008B11BC" w:rsidSect="008B11BC">
          <w:headerReference w:type="default" r:id="rId12"/>
          <w:footerReference w:type="default" r:id="rId13"/>
          <w:pgSz w:w="11906" w:h="16838"/>
          <w:pgMar w:top="1134" w:right="1440" w:bottom="1440" w:left="1440" w:header="708" w:footer="708" w:gutter="0"/>
          <w:pgNumType w:fmt="lowerRoman"/>
          <w:cols w:space="708"/>
          <w:docGrid w:linePitch="360"/>
        </w:sectPr>
      </w:pPr>
    </w:p>
    <w:p w14:paraId="4E8FC2FA" w14:textId="31167455" w:rsidR="00841E1C" w:rsidRPr="00717512" w:rsidRDefault="00841E1C" w:rsidP="005B42C0">
      <w:pPr>
        <w:pStyle w:val="Heading1"/>
      </w:pPr>
      <w:bookmarkStart w:id="21" w:name="_Toc426462626"/>
      <w:bookmarkStart w:id="22" w:name="_Toc443992221"/>
      <w:bookmarkStart w:id="23" w:name="_Toc447291467"/>
      <w:bookmarkStart w:id="24" w:name="_Toc447527524"/>
      <w:bookmarkStart w:id="25" w:name="_Toc493684122"/>
      <w:bookmarkStart w:id="26" w:name="_Toc58316481"/>
      <w:r w:rsidRPr="005B42C0">
        <w:lastRenderedPageBreak/>
        <w:t>National</w:t>
      </w:r>
      <w:r w:rsidRPr="00717512">
        <w:t xml:space="preserve"> Data for all District Health Boards</w:t>
      </w:r>
      <w:bookmarkEnd w:id="21"/>
      <w:bookmarkEnd w:id="22"/>
      <w:bookmarkEnd w:id="23"/>
      <w:bookmarkEnd w:id="24"/>
      <w:bookmarkEnd w:id="25"/>
      <w:bookmarkEnd w:id="26"/>
    </w:p>
    <w:p w14:paraId="4345ABC4" w14:textId="77777777" w:rsidR="00717512" w:rsidRPr="0086165A" w:rsidRDefault="00717512" w:rsidP="00717512">
      <w:pPr>
        <w:pStyle w:val="Heading2"/>
        <w:spacing w:before="360" w:after="240"/>
        <w:rPr>
          <w:sz w:val="36"/>
          <w:szCs w:val="36"/>
        </w:rPr>
      </w:pPr>
      <w:bookmarkStart w:id="27" w:name="_Toc404344425"/>
      <w:bookmarkStart w:id="28" w:name="_Toc506278064"/>
      <w:bookmarkStart w:id="29" w:name="_Toc58316482"/>
      <w:bookmarkStart w:id="30" w:name="_Toc398125955"/>
      <w:bookmarkStart w:id="31" w:name="_Toc37315210"/>
      <w:bookmarkStart w:id="32" w:name="_Toc39138044"/>
      <w:bookmarkStart w:id="33" w:name="_Toc447291470"/>
      <w:bookmarkStart w:id="34" w:name="_Toc447527527"/>
      <w:bookmarkStart w:id="35" w:name="_Toc493684125"/>
      <w:r w:rsidRPr="0086165A">
        <w:rPr>
          <w:sz w:val="36"/>
          <w:szCs w:val="36"/>
        </w:rPr>
        <w:t>1.</w:t>
      </w:r>
      <w:r w:rsidRPr="0086165A">
        <w:rPr>
          <w:sz w:val="36"/>
          <w:szCs w:val="36"/>
        </w:rPr>
        <w:tab/>
        <w:t>How many complaints were received?</w:t>
      </w:r>
      <w:bookmarkEnd w:id="27"/>
      <w:bookmarkEnd w:id="28"/>
      <w:bookmarkEnd w:id="29"/>
      <w:r w:rsidRPr="0086165A">
        <w:rPr>
          <w:sz w:val="36"/>
          <w:szCs w:val="36"/>
        </w:rPr>
        <w:t xml:space="preserve"> </w:t>
      </w:r>
    </w:p>
    <w:p w14:paraId="62DB586A" w14:textId="77777777" w:rsidR="00717512" w:rsidRPr="0086165A" w:rsidRDefault="00717512" w:rsidP="00717512">
      <w:pPr>
        <w:pStyle w:val="Heading3"/>
        <w:rPr>
          <w:b/>
          <w:i w:val="0"/>
          <w:sz w:val="28"/>
          <w:szCs w:val="28"/>
        </w:rPr>
      </w:pPr>
      <w:bookmarkStart w:id="36" w:name="_Toc404344426"/>
      <w:bookmarkStart w:id="37" w:name="_Toc506278065"/>
      <w:bookmarkStart w:id="38" w:name="_Toc58316483"/>
      <w:bookmarkEnd w:id="30"/>
      <w:r w:rsidRPr="0086165A">
        <w:rPr>
          <w:b/>
          <w:i w:val="0"/>
          <w:sz w:val="28"/>
          <w:szCs w:val="28"/>
        </w:rPr>
        <w:t>1.1</w:t>
      </w:r>
      <w:r w:rsidRPr="0086165A">
        <w:rPr>
          <w:b/>
          <w:i w:val="0"/>
          <w:sz w:val="28"/>
          <w:szCs w:val="28"/>
        </w:rPr>
        <w:tab/>
        <w:t>Number of complaints received</w:t>
      </w:r>
      <w:bookmarkEnd w:id="36"/>
      <w:bookmarkEnd w:id="37"/>
      <w:bookmarkEnd w:id="38"/>
    </w:p>
    <w:p w14:paraId="67F85F2F" w14:textId="16161E05" w:rsidR="00841E1C" w:rsidRPr="00CE600B" w:rsidRDefault="00E10828" w:rsidP="0078382D">
      <w:pPr>
        <w:spacing w:after="120"/>
        <w:rPr>
          <w:i/>
        </w:rPr>
      </w:pPr>
      <w:r>
        <w:t>In the period Jan</w:t>
      </w:r>
      <w:r w:rsidR="004F61AA">
        <w:t>–</w:t>
      </w:r>
      <w:r>
        <w:t>Jun</w:t>
      </w:r>
      <w:r w:rsidR="00841E1C" w:rsidRPr="00E10828">
        <w:t xml:space="preserve"> </w:t>
      </w:r>
      <w:r>
        <w:t>2020</w:t>
      </w:r>
      <w:r w:rsidR="00CF0053" w:rsidRPr="00E10828">
        <w:t>,</w:t>
      </w:r>
      <w:r w:rsidR="00841E1C">
        <w:t xml:space="preserve"> HDC received </w:t>
      </w:r>
      <w:r w:rsidR="005F0555" w:rsidRPr="00F4389E">
        <w:rPr>
          <w:b/>
        </w:rPr>
        <w:t>392</w:t>
      </w:r>
      <w:r w:rsidR="00841E1C" w:rsidRPr="003E5338">
        <w:rPr>
          <w:rStyle w:val="FootnoteReference"/>
        </w:rPr>
        <w:footnoteReference w:id="1"/>
      </w:r>
      <w:r w:rsidR="00841E1C" w:rsidRPr="00CE600B">
        <w:t xml:space="preserve"> complaints about care provided by District Health Boards. Numbers of complaints received in previous six-month periods are reported in Table 1.</w:t>
      </w:r>
      <w:bookmarkEnd w:id="31"/>
      <w:bookmarkEnd w:id="32"/>
    </w:p>
    <w:p w14:paraId="3E6887C2" w14:textId="77777777" w:rsidR="00841E1C" w:rsidRDefault="00841E1C" w:rsidP="00841E1C"/>
    <w:p w14:paraId="4B2CF6B7" w14:textId="74627FE3" w:rsidR="00841E1C" w:rsidRDefault="00841E1C" w:rsidP="00841E1C">
      <w:pPr>
        <w:spacing w:after="60"/>
        <w:rPr>
          <w:rStyle w:val="NoSpacingChar"/>
        </w:rPr>
      </w:pPr>
      <w:r>
        <w:rPr>
          <w:b/>
        </w:rPr>
        <w:t xml:space="preserve">Table 1. </w:t>
      </w:r>
      <w:r>
        <w:t>Number of complaints received</w:t>
      </w:r>
      <w:r>
        <w:rPr>
          <w:rStyle w:val="NoSpacingChar"/>
        </w:rPr>
        <w:t xml:space="preserve"> in the last five years</w:t>
      </w:r>
    </w:p>
    <w:tbl>
      <w:tblPr>
        <w:tblStyle w:val="TableGrid"/>
        <w:tblpPr w:leftFromText="180" w:rightFromText="180" w:vertAnchor="text" w:horzAnchor="margin" w:tblpX="114" w:tblpY="105"/>
        <w:tblW w:w="4900" w:type="pct"/>
        <w:tblLook w:val="04A0" w:firstRow="1" w:lastRow="0" w:firstColumn="1" w:lastColumn="0" w:noHBand="0" w:noVBand="1"/>
      </w:tblPr>
      <w:tblGrid>
        <w:gridCol w:w="1189"/>
        <w:gridCol w:w="680"/>
        <w:gridCol w:w="588"/>
        <w:gridCol w:w="677"/>
        <w:gridCol w:w="679"/>
        <w:gridCol w:w="679"/>
        <w:gridCol w:w="679"/>
        <w:gridCol w:w="680"/>
        <w:gridCol w:w="679"/>
        <w:gridCol w:w="679"/>
        <w:gridCol w:w="963"/>
        <w:gridCol w:w="664"/>
      </w:tblGrid>
      <w:tr w:rsidR="00CD4D07" w14:paraId="1F71BBF8" w14:textId="77777777" w:rsidTr="00CD4D07">
        <w:tc>
          <w:tcPr>
            <w:tcW w:w="673" w:type="pct"/>
            <w:tcBorders>
              <w:top w:val="single" w:sz="4" w:space="0" w:color="auto"/>
              <w:left w:val="single" w:sz="4" w:space="0" w:color="auto"/>
              <w:bottom w:val="single" w:sz="4" w:space="0" w:color="auto"/>
              <w:right w:val="single" w:sz="4" w:space="0" w:color="auto"/>
            </w:tcBorders>
            <w:vAlign w:val="center"/>
          </w:tcPr>
          <w:p w14:paraId="4F870152" w14:textId="77777777" w:rsidR="00CD4D07" w:rsidRDefault="00CD4D07" w:rsidP="00CD4D07">
            <w:pPr>
              <w:keepNext/>
              <w:keepLines/>
              <w:jc w:val="left"/>
              <w:rPr>
                <w:rFonts w:ascii="Calibri" w:hAnsi="Calibri"/>
                <w:b/>
                <w:szCs w:val="20"/>
              </w:rPr>
            </w:pPr>
          </w:p>
          <w:p w14:paraId="094A76F8" w14:textId="77777777" w:rsidR="00CD4D07" w:rsidRDefault="00CD4D07" w:rsidP="00CD4D07">
            <w:pPr>
              <w:keepNext/>
              <w:keepLines/>
              <w:jc w:val="left"/>
              <w:rPr>
                <w:rFonts w:ascii="Calibri" w:hAnsi="Calibri"/>
                <w:b/>
                <w:szCs w:val="20"/>
              </w:rPr>
            </w:pPr>
          </w:p>
        </w:tc>
        <w:tc>
          <w:tcPr>
            <w:tcW w:w="385" w:type="pct"/>
            <w:tcBorders>
              <w:top w:val="single" w:sz="4" w:space="0" w:color="auto"/>
              <w:left w:val="single" w:sz="4" w:space="0" w:color="auto"/>
              <w:bottom w:val="single" w:sz="4" w:space="0" w:color="auto"/>
              <w:right w:val="single" w:sz="4" w:space="0" w:color="auto"/>
            </w:tcBorders>
            <w:vAlign w:val="center"/>
            <w:hideMark/>
          </w:tcPr>
          <w:p w14:paraId="08C2B9DA" w14:textId="09FDF1CA" w:rsidR="00CD4D07" w:rsidRDefault="00CD4D07" w:rsidP="00CD4D07">
            <w:pPr>
              <w:keepNext/>
              <w:keepLines/>
              <w:jc w:val="center"/>
              <w:rPr>
                <w:rFonts w:ascii="Calibri" w:hAnsi="Calibri"/>
                <w:b/>
                <w:szCs w:val="20"/>
              </w:rPr>
            </w:pPr>
            <w:r>
              <w:rPr>
                <w:rFonts w:ascii="Calibri" w:hAnsi="Calibri"/>
                <w:b/>
                <w:szCs w:val="20"/>
              </w:rPr>
              <w:t xml:space="preserve">Jul–Dec </w:t>
            </w:r>
            <w:r>
              <w:rPr>
                <w:rFonts w:ascii="Calibri" w:hAnsi="Calibri"/>
                <w:b/>
                <w:szCs w:val="20"/>
              </w:rPr>
              <w:br/>
              <w:t>15</w:t>
            </w:r>
          </w:p>
        </w:tc>
        <w:tc>
          <w:tcPr>
            <w:tcW w:w="333" w:type="pct"/>
            <w:tcBorders>
              <w:top w:val="single" w:sz="4" w:space="0" w:color="auto"/>
              <w:left w:val="single" w:sz="4" w:space="0" w:color="auto"/>
              <w:bottom w:val="single" w:sz="4" w:space="0" w:color="auto"/>
              <w:right w:val="single" w:sz="4" w:space="0" w:color="auto"/>
            </w:tcBorders>
            <w:vAlign w:val="center"/>
            <w:hideMark/>
          </w:tcPr>
          <w:p w14:paraId="316084B0" w14:textId="496B180D" w:rsidR="00CD4D07" w:rsidRDefault="00CD4D07" w:rsidP="00CD4D07">
            <w:pPr>
              <w:keepNext/>
              <w:keepLines/>
              <w:jc w:val="center"/>
              <w:rPr>
                <w:rFonts w:ascii="Calibri" w:hAnsi="Calibri"/>
                <w:b/>
                <w:szCs w:val="20"/>
              </w:rPr>
            </w:pPr>
            <w:r>
              <w:rPr>
                <w:rFonts w:ascii="Calibri" w:hAnsi="Calibri"/>
                <w:b/>
                <w:szCs w:val="20"/>
              </w:rPr>
              <w:t>Jan–Jun</w:t>
            </w:r>
            <w:r>
              <w:rPr>
                <w:rFonts w:ascii="Calibri" w:hAnsi="Calibri"/>
                <w:b/>
                <w:szCs w:val="20"/>
              </w:rPr>
              <w:br/>
              <w:t>16</w:t>
            </w:r>
          </w:p>
        </w:tc>
        <w:tc>
          <w:tcPr>
            <w:tcW w:w="383" w:type="pct"/>
            <w:tcBorders>
              <w:top w:val="single" w:sz="4" w:space="0" w:color="auto"/>
              <w:left w:val="single" w:sz="4" w:space="0" w:color="auto"/>
              <w:bottom w:val="single" w:sz="4" w:space="0" w:color="auto"/>
              <w:right w:val="single" w:sz="4" w:space="0" w:color="auto"/>
            </w:tcBorders>
            <w:hideMark/>
          </w:tcPr>
          <w:p w14:paraId="5ECF1905" w14:textId="78FC1367" w:rsidR="00CD4D07" w:rsidRDefault="00CD4D07" w:rsidP="00CD4D07">
            <w:pPr>
              <w:keepNext/>
              <w:keepLines/>
              <w:spacing w:before="180"/>
              <w:jc w:val="center"/>
              <w:rPr>
                <w:rFonts w:ascii="Calibri" w:hAnsi="Calibri"/>
                <w:b/>
                <w:szCs w:val="20"/>
              </w:rPr>
            </w:pPr>
            <w:r>
              <w:rPr>
                <w:rFonts w:ascii="Calibri" w:hAnsi="Calibri"/>
                <w:b/>
                <w:szCs w:val="20"/>
              </w:rPr>
              <w:t xml:space="preserve">Jul–Dec </w:t>
            </w:r>
            <w:r>
              <w:rPr>
                <w:rFonts w:ascii="Calibri" w:hAnsi="Calibri"/>
                <w:b/>
                <w:szCs w:val="20"/>
              </w:rPr>
              <w:br/>
              <w:t>16</w:t>
            </w:r>
          </w:p>
        </w:tc>
        <w:tc>
          <w:tcPr>
            <w:tcW w:w="384" w:type="pct"/>
            <w:tcBorders>
              <w:top w:val="single" w:sz="4" w:space="0" w:color="auto"/>
              <w:left w:val="single" w:sz="4" w:space="0" w:color="auto"/>
              <w:bottom w:val="single" w:sz="4" w:space="0" w:color="auto"/>
              <w:right w:val="single" w:sz="4" w:space="0" w:color="auto"/>
            </w:tcBorders>
            <w:hideMark/>
          </w:tcPr>
          <w:p w14:paraId="49FFC0CA" w14:textId="31FF49BF" w:rsidR="00CD4D07" w:rsidRDefault="00CD4D07" w:rsidP="00CD4D07">
            <w:pPr>
              <w:keepNext/>
              <w:keepLines/>
              <w:spacing w:before="180"/>
              <w:jc w:val="center"/>
              <w:rPr>
                <w:rFonts w:ascii="Calibri" w:hAnsi="Calibri"/>
                <w:b/>
                <w:szCs w:val="20"/>
              </w:rPr>
            </w:pPr>
            <w:r>
              <w:rPr>
                <w:rFonts w:ascii="Calibri" w:hAnsi="Calibri"/>
                <w:b/>
                <w:szCs w:val="20"/>
              </w:rPr>
              <w:t>Jan–Jun</w:t>
            </w:r>
            <w:r>
              <w:rPr>
                <w:rFonts w:ascii="Calibri" w:hAnsi="Calibri"/>
                <w:b/>
                <w:szCs w:val="20"/>
              </w:rPr>
              <w:br/>
              <w:t>17</w:t>
            </w:r>
          </w:p>
        </w:tc>
        <w:tc>
          <w:tcPr>
            <w:tcW w:w="384" w:type="pct"/>
            <w:tcBorders>
              <w:top w:val="single" w:sz="4" w:space="0" w:color="auto"/>
              <w:left w:val="single" w:sz="4" w:space="0" w:color="auto"/>
              <w:bottom w:val="single" w:sz="4" w:space="0" w:color="auto"/>
              <w:right w:val="single" w:sz="4" w:space="0" w:color="auto"/>
            </w:tcBorders>
            <w:hideMark/>
          </w:tcPr>
          <w:p w14:paraId="7393D567" w14:textId="5127431E" w:rsidR="00CD4D07" w:rsidRDefault="00CD4D07" w:rsidP="00CD4D07">
            <w:pPr>
              <w:keepNext/>
              <w:keepLines/>
              <w:spacing w:before="180"/>
              <w:jc w:val="center"/>
              <w:rPr>
                <w:rFonts w:ascii="Calibri" w:hAnsi="Calibri"/>
                <w:b/>
                <w:szCs w:val="20"/>
              </w:rPr>
            </w:pPr>
            <w:r>
              <w:rPr>
                <w:rFonts w:ascii="Calibri" w:hAnsi="Calibri"/>
                <w:b/>
                <w:szCs w:val="20"/>
              </w:rPr>
              <w:t>Jul–Dec</w:t>
            </w:r>
            <w:r>
              <w:rPr>
                <w:rFonts w:ascii="Calibri" w:hAnsi="Calibri"/>
                <w:b/>
                <w:szCs w:val="20"/>
              </w:rPr>
              <w:br/>
              <w:t>17</w:t>
            </w:r>
          </w:p>
        </w:tc>
        <w:tc>
          <w:tcPr>
            <w:tcW w:w="384" w:type="pct"/>
            <w:tcBorders>
              <w:top w:val="single" w:sz="4" w:space="0" w:color="auto"/>
              <w:left w:val="single" w:sz="4" w:space="0" w:color="auto"/>
              <w:bottom w:val="single" w:sz="4" w:space="0" w:color="auto"/>
              <w:right w:val="single" w:sz="4" w:space="0" w:color="auto"/>
            </w:tcBorders>
            <w:hideMark/>
          </w:tcPr>
          <w:p w14:paraId="096ED053" w14:textId="22477E0F" w:rsidR="00CD4D07" w:rsidRDefault="00CD4D07" w:rsidP="00CD4D07">
            <w:pPr>
              <w:keepNext/>
              <w:keepLines/>
              <w:spacing w:before="180"/>
              <w:jc w:val="center"/>
              <w:rPr>
                <w:rFonts w:ascii="Calibri" w:hAnsi="Calibri"/>
                <w:b/>
                <w:szCs w:val="20"/>
              </w:rPr>
            </w:pPr>
            <w:r>
              <w:rPr>
                <w:rFonts w:ascii="Calibri" w:hAnsi="Calibri"/>
                <w:b/>
                <w:szCs w:val="20"/>
              </w:rPr>
              <w:t>Jan–Jun</w:t>
            </w:r>
            <w:r>
              <w:rPr>
                <w:rFonts w:ascii="Calibri" w:hAnsi="Calibri"/>
                <w:b/>
                <w:szCs w:val="20"/>
              </w:rPr>
              <w:br/>
              <w:t>18</w:t>
            </w:r>
          </w:p>
        </w:tc>
        <w:tc>
          <w:tcPr>
            <w:tcW w:w="385" w:type="pct"/>
            <w:tcBorders>
              <w:top w:val="single" w:sz="4" w:space="0" w:color="auto"/>
              <w:left w:val="single" w:sz="4" w:space="0" w:color="auto"/>
              <w:bottom w:val="single" w:sz="4" w:space="0" w:color="auto"/>
              <w:right w:val="single" w:sz="4" w:space="0" w:color="auto"/>
            </w:tcBorders>
            <w:hideMark/>
          </w:tcPr>
          <w:p w14:paraId="7B3AB606" w14:textId="5D055E82" w:rsidR="00CD4D07" w:rsidRDefault="00CD4D07" w:rsidP="00CD4D07">
            <w:pPr>
              <w:keepNext/>
              <w:keepLines/>
              <w:spacing w:before="180"/>
              <w:jc w:val="center"/>
              <w:rPr>
                <w:rFonts w:ascii="Calibri" w:hAnsi="Calibri"/>
                <w:b/>
                <w:szCs w:val="20"/>
              </w:rPr>
            </w:pPr>
            <w:r>
              <w:rPr>
                <w:rFonts w:ascii="Calibri" w:hAnsi="Calibri"/>
                <w:b/>
                <w:szCs w:val="20"/>
              </w:rPr>
              <w:t>Jul–Dec</w:t>
            </w:r>
            <w:r>
              <w:rPr>
                <w:rFonts w:ascii="Calibri" w:hAnsi="Calibri"/>
                <w:b/>
                <w:szCs w:val="20"/>
              </w:rPr>
              <w:br/>
              <w:t>18</w:t>
            </w:r>
          </w:p>
        </w:tc>
        <w:tc>
          <w:tcPr>
            <w:tcW w:w="384" w:type="pct"/>
            <w:tcBorders>
              <w:top w:val="single" w:sz="4" w:space="0" w:color="auto"/>
              <w:left w:val="single" w:sz="4" w:space="0" w:color="auto"/>
              <w:bottom w:val="single" w:sz="4" w:space="0" w:color="auto"/>
              <w:right w:val="single" w:sz="4" w:space="0" w:color="auto"/>
            </w:tcBorders>
            <w:hideMark/>
          </w:tcPr>
          <w:p w14:paraId="1665F506" w14:textId="0298A49F" w:rsidR="00CD4D07" w:rsidRDefault="00CD4D07" w:rsidP="00CD4D07">
            <w:pPr>
              <w:keepNext/>
              <w:keepLines/>
              <w:spacing w:before="180"/>
              <w:jc w:val="center"/>
              <w:rPr>
                <w:rFonts w:ascii="Calibri" w:hAnsi="Calibri"/>
                <w:b/>
                <w:szCs w:val="20"/>
              </w:rPr>
            </w:pPr>
            <w:r>
              <w:rPr>
                <w:rFonts w:ascii="Calibri" w:hAnsi="Calibri"/>
                <w:b/>
                <w:szCs w:val="20"/>
              </w:rPr>
              <w:t>Jan–Jun</w:t>
            </w:r>
            <w:r>
              <w:rPr>
                <w:rFonts w:ascii="Calibri" w:hAnsi="Calibri"/>
                <w:b/>
                <w:szCs w:val="20"/>
              </w:rPr>
              <w:br/>
              <w:t>19</w:t>
            </w:r>
          </w:p>
        </w:tc>
        <w:tc>
          <w:tcPr>
            <w:tcW w:w="384" w:type="pct"/>
            <w:tcBorders>
              <w:top w:val="single" w:sz="4" w:space="0" w:color="auto"/>
              <w:left w:val="single" w:sz="4" w:space="0" w:color="auto"/>
              <w:bottom w:val="single" w:sz="4" w:space="0" w:color="auto"/>
              <w:right w:val="single" w:sz="4" w:space="0" w:color="auto"/>
            </w:tcBorders>
            <w:hideMark/>
          </w:tcPr>
          <w:p w14:paraId="6075AFEF" w14:textId="5D68DB05" w:rsidR="00CD4D07" w:rsidRDefault="00CD4D07" w:rsidP="00CD4D07">
            <w:pPr>
              <w:keepNext/>
              <w:keepLines/>
              <w:spacing w:before="180"/>
              <w:jc w:val="center"/>
              <w:rPr>
                <w:rFonts w:ascii="Calibri" w:hAnsi="Calibri"/>
                <w:b/>
                <w:szCs w:val="20"/>
              </w:rPr>
            </w:pPr>
            <w:r>
              <w:rPr>
                <w:rFonts w:ascii="Calibri" w:hAnsi="Calibri"/>
                <w:b/>
                <w:szCs w:val="20"/>
              </w:rPr>
              <w:t>Jul–Dec</w:t>
            </w:r>
            <w:r>
              <w:rPr>
                <w:rFonts w:ascii="Calibri" w:hAnsi="Calibri"/>
                <w:b/>
                <w:szCs w:val="20"/>
              </w:rPr>
              <w:br/>
              <w:t>19</w:t>
            </w:r>
          </w:p>
        </w:tc>
        <w:tc>
          <w:tcPr>
            <w:tcW w:w="545" w:type="pct"/>
            <w:tcBorders>
              <w:top w:val="single" w:sz="4" w:space="0" w:color="auto"/>
              <w:left w:val="single" w:sz="4" w:space="0" w:color="auto"/>
              <w:bottom w:val="single" w:sz="4" w:space="0" w:color="auto"/>
              <w:right w:val="single" w:sz="4" w:space="0" w:color="auto"/>
            </w:tcBorders>
            <w:hideMark/>
          </w:tcPr>
          <w:p w14:paraId="1DEB4BFA" w14:textId="77777777" w:rsidR="00CD4D07" w:rsidRDefault="00CD4D07" w:rsidP="00CD4D07">
            <w:pPr>
              <w:keepNext/>
              <w:keepLines/>
              <w:spacing w:before="120"/>
              <w:jc w:val="center"/>
              <w:rPr>
                <w:rFonts w:ascii="Calibri" w:hAnsi="Calibri"/>
                <w:b/>
                <w:szCs w:val="20"/>
              </w:rPr>
            </w:pPr>
            <w:r>
              <w:rPr>
                <w:rFonts w:ascii="Calibri" w:hAnsi="Calibri"/>
                <w:b/>
                <w:szCs w:val="20"/>
              </w:rPr>
              <w:t xml:space="preserve">Average of last 4  </w:t>
            </w:r>
          </w:p>
          <w:p w14:paraId="66CE7BBA" w14:textId="77777777" w:rsidR="00CD4D07" w:rsidRDefault="00CD4D07" w:rsidP="00CD4D07">
            <w:pPr>
              <w:keepNext/>
              <w:keepLines/>
              <w:jc w:val="center"/>
              <w:rPr>
                <w:rFonts w:ascii="Calibri" w:hAnsi="Calibri"/>
                <w:b/>
                <w:szCs w:val="20"/>
              </w:rPr>
            </w:pPr>
            <w:r>
              <w:rPr>
                <w:rFonts w:ascii="Calibri" w:hAnsi="Calibri"/>
                <w:b/>
                <w:szCs w:val="20"/>
              </w:rPr>
              <w:t>6-month periods</w:t>
            </w:r>
          </w:p>
        </w:tc>
        <w:tc>
          <w:tcPr>
            <w:tcW w:w="376" w:type="pct"/>
            <w:tcBorders>
              <w:top w:val="single" w:sz="4" w:space="0" w:color="auto"/>
              <w:left w:val="single" w:sz="4" w:space="0" w:color="auto"/>
              <w:bottom w:val="single" w:sz="4" w:space="0" w:color="auto"/>
              <w:right w:val="single" w:sz="4" w:space="0" w:color="auto"/>
            </w:tcBorders>
            <w:hideMark/>
          </w:tcPr>
          <w:p w14:paraId="1A6D7A78" w14:textId="77777777" w:rsidR="00CD4D07" w:rsidRDefault="00CD4D07" w:rsidP="00CD4D07">
            <w:pPr>
              <w:keepNext/>
              <w:keepLines/>
              <w:spacing w:before="180"/>
              <w:jc w:val="center"/>
              <w:rPr>
                <w:rFonts w:ascii="Calibri" w:hAnsi="Calibri"/>
                <w:b/>
                <w:szCs w:val="20"/>
              </w:rPr>
            </w:pPr>
            <w:r>
              <w:rPr>
                <w:rFonts w:ascii="Calibri" w:hAnsi="Calibri"/>
                <w:b/>
                <w:szCs w:val="20"/>
              </w:rPr>
              <w:t>Jan–Jun</w:t>
            </w:r>
          </w:p>
          <w:p w14:paraId="750016A5" w14:textId="12927DEC" w:rsidR="00CD4D07" w:rsidRDefault="00CD4D07" w:rsidP="00CD4D07">
            <w:pPr>
              <w:keepNext/>
              <w:keepLines/>
              <w:jc w:val="center"/>
              <w:rPr>
                <w:rFonts w:ascii="Calibri" w:hAnsi="Calibri"/>
                <w:b/>
                <w:szCs w:val="20"/>
              </w:rPr>
            </w:pPr>
            <w:r>
              <w:rPr>
                <w:rFonts w:ascii="Calibri" w:hAnsi="Calibri"/>
                <w:b/>
                <w:szCs w:val="20"/>
              </w:rPr>
              <w:t>20</w:t>
            </w:r>
          </w:p>
        </w:tc>
      </w:tr>
      <w:tr w:rsidR="00CD4D07" w14:paraId="4BADE293" w14:textId="77777777" w:rsidTr="00CD4D07">
        <w:tc>
          <w:tcPr>
            <w:tcW w:w="673" w:type="pct"/>
            <w:tcBorders>
              <w:top w:val="single" w:sz="4" w:space="0" w:color="auto"/>
              <w:left w:val="single" w:sz="4" w:space="0" w:color="auto"/>
              <w:bottom w:val="single" w:sz="4" w:space="0" w:color="auto"/>
              <w:right w:val="single" w:sz="4" w:space="0" w:color="auto"/>
            </w:tcBorders>
            <w:vAlign w:val="center"/>
            <w:hideMark/>
          </w:tcPr>
          <w:p w14:paraId="6944CEAA" w14:textId="77777777" w:rsidR="00CD4D07" w:rsidRDefault="00CD4D07" w:rsidP="00CD4D07">
            <w:pPr>
              <w:keepNext/>
              <w:keepLines/>
              <w:spacing w:after="40"/>
              <w:jc w:val="left"/>
              <w:rPr>
                <w:rFonts w:ascii="Calibri" w:hAnsi="Calibri"/>
                <w:b/>
                <w:szCs w:val="20"/>
              </w:rPr>
            </w:pPr>
            <w:r>
              <w:rPr>
                <w:rFonts w:ascii="Calibri" w:hAnsi="Calibri"/>
                <w:b/>
                <w:szCs w:val="20"/>
              </w:rPr>
              <w:t>Number of complaints</w:t>
            </w:r>
          </w:p>
        </w:tc>
        <w:tc>
          <w:tcPr>
            <w:tcW w:w="385" w:type="pct"/>
            <w:tcBorders>
              <w:top w:val="single" w:sz="4" w:space="0" w:color="auto"/>
              <w:left w:val="single" w:sz="4" w:space="0" w:color="auto"/>
              <w:bottom w:val="single" w:sz="4" w:space="0" w:color="auto"/>
              <w:right w:val="single" w:sz="4" w:space="0" w:color="auto"/>
            </w:tcBorders>
            <w:vAlign w:val="center"/>
            <w:hideMark/>
          </w:tcPr>
          <w:p w14:paraId="0FB94B18" w14:textId="0A37913B" w:rsidR="00CD4D07" w:rsidRDefault="00CD4D07" w:rsidP="00CD4D07">
            <w:pPr>
              <w:keepNext/>
              <w:keepLines/>
              <w:jc w:val="center"/>
              <w:rPr>
                <w:rFonts w:ascii="Calibri" w:hAnsi="Calibri"/>
                <w:szCs w:val="20"/>
              </w:rPr>
            </w:pPr>
            <w:r>
              <w:rPr>
                <w:rFonts w:ascii="Calibri" w:hAnsi="Calibri"/>
                <w:szCs w:val="20"/>
              </w:rPr>
              <w:t>422</w:t>
            </w:r>
          </w:p>
        </w:tc>
        <w:tc>
          <w:tcPr>
            <w:tcW w:w="333" w:type="pct"/>
            <w:tcBorders>
              <w:top w:val="single" w:sz="4" w:space="0" w:color="auto"/>
              <w:left w:val="single" w:sz="4" w:space="0" w:color="auto"/>
              <w:bottom w:val="single" w:sz="4" w:space="0" w:color="auto"/>
              <w:right w:val="single" w:sz="4" w:space="0" w:color="auto"/>
            </w:tcBorders>
            <w:vAlign w:val="center"/>
            <w:hideMark/>
          </w:tcPr>
          <w:p w14:paraId="52828A72" w14:textId="5F9152CA" w:rsidR="00CD4D07" w:rsidRDefault="00CD4D07" w:rsidP="00CD4D07">
            <w:pPr>
              <w:keepNext/>
              <w:keepLines/>
              <w:jc w:val="center"/>
              <w:rPr>
                <w:rFonts w:ascii="Calibri" w:hAnsi="Calibri"/>
                <w:szCs w:val="20"/>
              </w:rPr>
            </w:pPr>
            <w:r>
              <w:rPr>
                <w:rFonts w:ascii="Calibri" w:hAnsi="Calibri"/>
                <w:szCs w:val="20"/>
              </w:rPr>
              <w:t>383</w:t>
            </w:r>
          </w:p>
        </w:tc>
        <w:tc>
          <w:tcPr>
            <w:tcW w:w="383" w:type="pct"/>
            <w:tcBorders>
              <w:top w:val="single" w:sz="4" w:space="0" w:color="auto"/>
              <w:left w:val="single" w:sz="4" w:space="0" w:color="auto"/>
              <w:bottom w:val="single" w:sz="4" w:space="0" w:color="auto"/>
              <w:right w:val="single" w:sz="4" w:space="0" w:color="auto"/>
            </w:tcBorders>
            <w:vAlign w:val="center"/>
            <w:hideMark/>
          </w:tcPr>
          <w:p w14:paraId="75061020" w14:textId="624D523F" w:rsidR="00CD4D07" w:rsidRDefault="00CD4D07" w:rsidP="00CD4D07">
            <w:pPr>
              <w:keepNext/>
              <w:keepLines/>
              <w:jc w:val="center"/>
              <w:rPr>
                <w:rFonts w:ascii="Calibri" w:hAnsi="Calibri"/>
                <w:szCs w:val="20"/>
              </w:rPr>
            </w:pPr>
            <w:r>
              <w:rPr>
                <w:rFonts w:ascii="Calibri" w:hAnsi="Calibri"/>
                <w:szCs w:val="20"/>
              </w:rPr>
              <w:t>386</w:t>
            </w:r>
          </w:p>
        </w:tc>
        <w:tc>
          <w:tcPr>
            <w:tcW w:w="384" w:type="pct"/>
            <w:tcBorders>
              <w:top w:val="single" w:sz="4" w:space="0" w:color="auto"/>
              <w:left w:val="single" w:sz="4" w:space="0" w:color="auto"/>
              <w:bottom w:val="single" w:sz="4" w:space="0" w:color="auto"/>
              <w:right w:val="single" w:sz="4" w:space="0" w:color="auto"/>
            </w:tcBorders>
            <w:vAlign w:val="center"/>
            <w:hideMark/>
          </w:tcPr>
          <w:p w14:paraId="04A59E3B" w14:textId="63460432" w:rsidR="00CD4D07" w:rsidRDefault="00CD4D07" w:rsidP="00CD4D07">
            <w:pPr>
              <w:keepNext/>
              <w:keepLines/>
              <w:jc w:val="center"/>
              <w:rPr>
                <w:rFonts w:ascii="Calibri" w:hAnsi="Calibri"/>
                <w:szCs w:val="20"/>
              </w:rPr>
            </w:pPr>
            <w:r>
              <w:rPr>
                <w:rFonts w:ascii="Calibri" w:hAnsi="Calibri"/>
                <w:szCs w:val="20"/>
              </w:rPr>
              <w:t>477</w:t>
            </w:r>
          </w:p>
        </w:tc>
        <w:tc>
          <w:tcPr>
            <w:tcW w:w="384" w:type="pct"/>
            <w:tcBorders>
              <w:top w:val="single" w:sz="4" w:space="0" w:color="auto"/>
              <w:left w:val="single" w:sz="4" w:space="0" w:color="auto"/>
              <w:bottom w:val="single" w:sz="4" w:space="0" w:color="auto"/>
              <w:right w:val="single" w:sz="4" w:space="0" w:color="auto"/>
            </w:tcBorders>
            <w:vAlign w:val="center"/>
            <w:hideMark/>
          </w:tcPr>
          <w:p w14:paraId="60B3E19F" w14:textId="17E67796" w:rsidR="00CD4D07" w:rsidRDefault="00CD4D07" w:rsidP="00CD4D07">
            <w:pPr>
              <w:keepNext/>
              <w:keepLines/>
              <w:jc w:val="center"/>
              <w:rPr>
                <w:rFonts w:ascii="Calibri" w:hAnsi="Calibri"/>
                <w:szCs w:val="20"/>
              </w:rPr>
            </w:pPr>
            <w:r>
              <w:rPr>
                <w:rFonts w:ascii="Calibri" w:hAnsi="Calibri"/>
                <w:szCs w:val="20"/>
              </w:rPr>
              <w:t>439</w:t>
            </w:r>
          </w:p>
        </w:tc>
        <w:tc>
          <w:tcPr>
            <w:tcW w:w="384" w:type="pct"/>
            <w:tcBorders>
              <w:top w:val="single" w:sz="4" w:space="0" w:color="auto"/>
              <w:left w:val="single" w:sz="4" w:space="0" w:color="auto"/>
              <w:bottom w:val="single" w:sz="4" w:space="0" w:color="auto"/>
              <w:right w:val="single" w:sz="4" w:space="0" w:color="auto"/>
            </w:tcBorders>
            <w:vAlign w:val="center"/>
            <w:hideMark/>
          </w:tcPr>
          <w:p w14:paraId="6FE386B2" w14:textId="5C532769" w:rsidR="00CD4D07" w:rsidRDefault="00CD4D07" w:rsidP="00CD4D07">
            <w:pPr>
              <w:keepNext/>
              <w:keepLines/>
              <w:jc w:val="center"/>
              <w:rPr>
                <w:rFonts w:ascii="Calibri" w:hAnsi="Calibri"/>
                <w:szCs w:val="20"/>
              </w:rPr>
            </w:pPr>
            <w:r>
              <w:rPr>
                <w:rFonts w:ascii="Calibri" w:hAnsi="Calibri"/>
                <w:szCs w:val="20"/>
              </w:rPr>
              <w:t>450</w:t>
            </w:r>
          </w:p>
        </w:tc>
        <w:tc>
          <w:tcPr>
            <w:tcW w:w="385" w:type="pct"/>
            <w:tcBorders>
              <w:top w:val="single" w:sz="4" w:space="0" w:color="auto"/>
              <w:left w:val="single" w:sz="4" w:space="0" w:color="auto"/>
              <w:bottom w:val="single" w:sz="4" w:space="0" w:color="auto"/>
              <w:right w:val="single" w:sz="4" w:space="0" w:color="auto"/>
            </w:tcBorders>
            <w:vAlign w:val="center"/>
            <w:hideMark/>
          </w:tcPr>
          <w:p w14:paraId="06B35720" w14:textId="2E6262BA" w:rsidR="00CD4D07" w:rsidRDefault="00CD4D07" w:rsidP="00CD4D07">
            <w:pPr>
              <w:keepNext/>
              <w:keepLines/>
              <w:jc w:val="center"/>
              <w:rPr>
                <w:rFonts w:ascii="Calibri" w:hAnsi="Calibri"/>
                <w:szCs w:val="20"/>
              </w:rPr>
            </w:pPr>
            <w:r>
              <w:rPr>
                <w:rFonts w:ascii="Calibri" w:hAnsi="Calibri"/>
                <w:szCs w:val="20"/>
              </w:rPr>
              <w:t>442</w:t>
            </w:r>
          </w:p>
        </w:tc>
        <w:tc>
          <w:tcPr>
            <w:tcW w:w="384" w:type="pct"/>
            <w:tcBorders>
              <w:top w:val="single" w:sz="4" w:space="0" w:color="auto"/>
              <w:left w:val="single" w:sz="4" w:space="0" w:color="auto"/>
              <w:bottom w:val="single" w:sz="4" w:space="0" w:color="auto"/>
              <w:right w:val="single" w:sz="4" w:space="0" w:color="auto"/>
            </w:tcBorders>
            <w:vAlign w:val="center"/>
            <w:hideMark/>
          </w:tcPr>
          <w:p w14:paraId="29220EDD" w14:textId="7471E64F" w:rsidR="00CD4D07" w:rsidRDefault="00CD4D07" w:rsidP="00CD4D07">
            <w:pPr>
              <w:keepNext/>
              <w:keepLines/>
              <w:jc w:val="center"/>
              <w:rPr>
                <w:rFonts w:ascii="Calibri" w:hAnsi="Calibri"/>
                <w:szCs w:val="20"/>
              </w:rPr>
            </w:pPr>
            <w:r>
              <w:rPr>
                <w:rFonts w:ascii="Calibri" w:hAnsi="Calibri"/>
                <w:szCs w:val="20"/>
              </w:rPr>
              <w:t>427</w:t>
            </w:r>
          </w:p>
        </w:tc>
        <w:tc>
          <w:tcPr>
            <w:tcW w:w="384" w:type="pct"/>
            <w:tcBorders>
              <w:top w:val="single" w:sz="4" w:space="0" w:color="auto"/>
              <w:left w:val="single" w:sz="4" w:space="0" w:color="auto"/>
              <w:bottom w:val="single" w:sz="4" w:space="0" w:color="auto"/>
              <w:right w:val="single" w:sz="4" w:space="0" w:color="auto"/>
            </w:tcBorders>
            <w:vAlign w:val="center"/>
            <w:hideMark/>
          </w:tcPr>
          <w:p w14:paraId="1AA0FC85" w14:textId="214303AA" w:rsidR="00CD4D07" w:rsidRDefault="00CD4D07" w:rsidP="00CD4D07">
            <w:pPr>
              <w:keepNext/>
              <w:keepLines/>
              <w:jc w:val="center"/>
              <w:rPr>
                <w:rFonts w:ascii="Calibri" w:hAnsi="Calibri"/>
                <w:szCs w:val="20"/>
              </w:rPr>
            </w:pPr>
            <w:r>
              <w:rPr>
                <w:rFonts w:ascii="Calibri" w:hAnsi="Calibri"/>
                <w:szCs w:val="20"/>
              </w:rPr>
              <w:t>471</w:t>
            </w:r>
          </w:p>
        </w:tc>
        <w:tc>
          <w:tcPr>
            <w:tcW w:w="545" w:type="pct"/>
            <w:tcBorders>
              <w:top w:val="single" w:sz="4" w:space="0" w:color="auto"/>
              <w:left w:val="single" w:sz="4" w:space="0" w:color="auto"/>
              <w:bottom w:val="single" w:sz="4" w:space="0" w:color="auto"/>
              <w:right w:val="single" w:sz="4" w:space="0" w:color="auto"/>
            </w:tcBorders>
            <w:vAlign w:val="center"/>
            <w:hideMark/>
          </w:tcPr>
          <w:p w14:paraId="2D0431B1" w14:textId="2FB34B2C" w:rsidR="00CD4D07" w:rsidRDefault="00CD4D07" w:rsidP="00CD4D07">
            <w:pPr>
              <w:keepNext/>
              <w:keepLines/>
              <w:jc w:val="center"/>
              <w:rPr>
                <w:rFonts w:ascii="Calibri" w:hAnsi="Calibri"/>
                <w:b/>
                <w:szCs w:val="20"/>
              </w:rPr>
            </w:pPr>
            <w:r>
              <w:rPr>
                <w:rFonts w:ascii="Calibri" w:hAnsi="Calibri"/>
                <w:b/>
                <w:szCs w:val="20"/>
              </w:rPr>
              <w:t>448</w:t>
            </w:r>
          </w:p>
        </w:tc>
        <w:tc>
          <w:tcPr>
            <w:tcW w:w="376" w:type="pct"/>
            <w:tcBorders>
              <w:top w:val="single" w:sz="4" w:space="0" w:color="auto"/>
              <w:left w:val="single" w:sz="4" w:space="0" w:color="auto"/>
              <w:bottom w:val="single" w:sz="4" w:space="0" w:color="auto"/>
              <w:right w:val="single" w:sz="4" w:space="0" w:color="auto"/>
            </w:tcBorders>
            <w:vAlign w:val="center"/>
            <w:hideMark/>
          </w:tcPr>
          <w:p w14:paraId="14F30FB2" w14:textId="5745FB3E" w:rsidR="00CD4D07" w:rsidRDefault="005F0555" w:rsidP="00CD4D07">
            <w:pPr>
              <w:keepNext/>
              <w:keepLines/>
              <w:jc w:val="center"/>
              <w:rPr>
                <w:rFonts w:ascii="Calibri" w:hAnsi="Calibri"/>
                <w:b/>
                <w:szCs w:val="20"/>
              </w:rPr>
            </w:pPr>
            <w:r>
              <w:rPr>
                <w:rFonts w:ascii="Calibri" w:hAnsi="Calibri"/>
                <w:b/>
                <w:szCs w:val="20"/>
              </w:rPr>
              <w:t>392</w:t>
            </w:r>
          </w:p>
        </w:tc>
      </w:tr>
    </w:tbl>
    <w:p w14:paraId="01D1250C" w14:textId="77777777" w:rsidR="00CD4D07" w:rsidRDefault="00CD4D07" w:rsidP="00841E1C">
      <w:pPr>
        <w:spacing w:after="60"/>
        <w:rPr>
          <w:b/>
        </w:rPr>
      </w:pPr>
    </w:p>
    <w:p w14:paraId="107BA2C6" w14:textId="698A5F95" w:rsidR="00841E1C" w:rsidRDefault="00841E1C" w:rsidP="0078382D">
      <w:pPr>
        <w:spacing w:before="240"/>
      </w:pPr>
      <w:r>
        <w:t xml:space="preserve">The total number of complaints received in </w:t>
      </w:r>
      <w:r w:rsidR="00CD4D07">
        <w:rPr>
          <w:lang w:eastAsia="en-NZ" w:bidi="ar-SA"/>
        </w:rPr>
        <w:t>Jan</w:t>
      </w:r>
      <w:r w:rsidR="00A25C1A">
        <w:rPr>
          <w:lang w:eastAsia="en-NZ" w:bidi="ar-SA"/>
        </w:rPr>
        <w:t>–</w:t>
      </w:r>
      <w:r w:rsidR="00CD4D07">
        <w:rPr>
          <w:lang w:eastAsia="en-NZ" w:bidi="ar-SA"/>
        </w:rPr>
        <w:t>Jun 2020</w:t>
      </w:r>
      <w:r>
        <w:rPr>
          <w:lang w:eastAsia="en-NZ" w:bidi="ar-SA"/>
        </w:rPr>
        <w:t xml:space="preserve"> </w:t>
      </w:r>
      <w:r w:rsidR="005F0555">
        <w:t>(392) shows a 13</w:t>
      </w:r>
      <w:r w:rsidR="00881270">
        <w:t>% de</w:t>
      </w:r>
      <w:r>
        <w:t>crease over the average number of complaints receiv</w:t>
      </w:r>
      <w:r w:rsidR="00881270">
        <w:t xml:space="preserve">ed in the previous four periods, and is the lowest number of complaints received about DHBs since 2016. This decrease </w:t>
      </w:r>
      <w:r w:rsidR="00B51DED">
        <w:t>is, at least in part,</w:t>
      </w:r>
      <w:r w:rsidR="00881270">
        <w:t xml:space="preserve"> attributable to COVID-19 restrictions and an associated decr</w:t>
      </w:r>
      <w:r w:rsidR="00B51DED">
        <w:t>ease in health service activity. This is supported by the fact that when the decline in inpatient discharges is taken into account, HDC received a similar rate of complaints in Jan–Jun 2020 as seen in previous periods.</w:t>
      </w:r>
    </w:p>
    <w:p w14:paraId="72204C49" w14:textId="77777777" w:rsidR="00841E1C" w:rsidRDefault="00841E1C" w:rsidP="00841E1C"/>
    <w:p w14:paraId="5C1B7BDD" w14:textId="7C81D90D" w:rsidR="00841E1C" w:rsidRDefault="00841E1C" w:rsidP="0078382D">
      <w:pPr>
        <w:spacing w:after="120"/>
      </w:pPr>
      <w:r>
        <w:t xml:space="preserve">The number of complaints received in </w:t>
      </w:r>
      <w:r w:rsidR="00881270">
        <w:rPr>
          <w:lang w:eastAsia="en-NZ" w:bidi="ar-SA"/>
        </w:rPr>
        <w:t>Jan</w:t>
      </w:r>
      <w:r w:rsidR="00A25C1A">
        <w:rPr>
          <w:lang w:eastAsia="en-NZ" w:bidi="ar-SA"/>
        </w:rPr>
        <w:t>–</w:t>
      </w:r>
      <w:r w:rsidR="00881270">
        <w:rPr>
          <w:lang w:eastAsia="en-NZ" w:bidi="ar-SA"/>
        </w:rPr>
        <w:t>Jun 2020</w:t>
      </w:r>
      <w:r>
        <w:rPr>
          <w:lang w:eastAsia="en-NZ" w:bidi="ar-SA"/>
        </w:rPr>
        <w:t xml:space="preserve"> </w:t>
      </w:r>
      <w:r>
        <w:t xml:space="preserve">and previous six-month periods </w:t>
      </w:r>
      <w:r w:rsidR="00E9355D">
        <w:t xml:space="preserve">is </w:t>
      </w:r>
      <w:r>
        <w:t xml:space="preserve">also displayed below in Figure 1. </w:t>
      </w:r>
    </w:p>
    <w:p w14:paraId="256BA421" w14:textId="77777777" w:rsidR="00841E1C" w:rsidRDefault="00841E1C" w:rsidP="00841E1C"/>
    <w:p w14:paraId="371E0744" w14:textId="6F1FF5B7" w:rsidR="00717512" w:rsidRPr="00717512" w:rsidRDefault="00841E1C" w:rsidP="00717512">
      <w:pPr>
        <w:spacing w:after="120"/>
      </w:pPr>
      <w:r>
        <w:rPr>
          <w:b/>
        </w:rPr>
        <w:t xml:space="preserve">Figure 1. </w:t>
      </w:r>
      <w:r>
        <w:t>Number of complaints received over the last five years</w:t>
      </w:r>
    </w:p>
    <w:p w14:paraId="674BF71D" w14:textId="5858961D" w:rsidR="00841E1C" w:rsidRDefault="00717512" w:rsidP="0078382D">
      <w:pPr>
        <w:spacing w:after="120"/>
        <w:jc w:val="left"/>
        <w:rPr>
          <w:b/>
        </w:rPr>
      </w:pPr>
      <w:r>
        <w:rPr>
          <w:noProof/>
          <w:lang w:eastAsia="en-NZ" w:bidi="ar-SA"/>
        </w:rPr>
        <w:drawing>
          <wp:inline distT="0" distB="0" distL="0" distR="0" wp14:anchorId="5983BBD6" wp14:editId="479BB6B0">
            <wp:extent cx="5143500" cy="26860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F9318CF" w14:textId="67BE3D40" w:rsidR="00A96DAD" w:rsidRDefault="00A96DAD" w:rsidP="00BB20D1">
      <w:bookmarkStart w:id="39" w:name="_Toc22101998"/>
      <w:bookmarkStart w:id="40" w:name="_Toc22018290"/>
    </w:p>
    <w:p w14:paraId="34AD0895" w14:textId="5D93B7F4" w:rsidR="008F797F" w:rsidRPr="00B800C1" w:rsidRDefault="008F797F" w:rsidP="008F797F">
      <w:pPr>
        <w:pStyle w:val="Heading3"/>
        <w:rPr>
          <w:b/>
          <w:i w:val="0"/>
          <w:sz w:val="28"/>
          <w:szCs w:val="28"/>
        </w:rPr>
      </w:pPr>
      <w:bookmarkStart w:id="41" w:name="_Toc58316484"/>
      <w:bookmarkEnd w:id="33"/>
      <w:bookmarkEnd w:id="34"/>
      <w:bookmarkEnd w:id="35"/>
      <w:bookmarkEnd w:id="39"/>
      <w:bookmarkEnd w:id="40"/>
      <w:r w:rsidRPr="00B800C1">
        <w:rPr>
          <w:b/>
          <w:i w:val="0"/>
          <w:sz w:val="28"/>
          <w:szCs w:val="28"/>
        </w:rPr>
        <w:lastRenderedPageBreak/>
        <w:t>1.2</w:t>
      </w:r>
      <w:r w:rsidRPr="00B800C1">
        <w:rPr>
          <w:b/>
          <w:i w:val="0"/>
          <w:sz w:val="28"/>
          <w:szCs w:val="28"/>
        </w:rPr>
        <w:tab/>
        <w:t>Rate of complaints received</w:t>
      </w:r>
      <w:bookmarkEnd w:id="41"/>
    </w:p>
    <w:p w14:paraId="19E4BE2F" w14:textId="77777777" w:rsidR="00841E1C" w:rsidRDefault="00841E1C" w:rsidP="00841E1C">
      <w:r>
        <w:t xml:space="preserve">When numbers of </w:t>
      </w:r>
      <w:r>
        <w:rPr>
          <w:rFonts w:cs="Calibri"/>
        </w:rPr>
        <w:t>complaints</w:t>
      </w:r>
      <w:r>
        <w:t xml:space="preserve"> to HDC are expressed as a rate per 100,000 discharges, comparisons can be made between DHBs and within DHBs over time, enabling any trends to be observed. </w:t>
      </w:r>
    </w:p>
    <w:p w14:paraId="7760D781" w14:textId="77777777" w:rsidR="00841E1C" w:rsidRDefault="00841E1C" w:rsidP="00841E1C"/>
    <w:p w14:paraId="5938662D" w14:textId="202EB2ED" w:rsidR="00841E1C" w:rsidRPr="005C5A48" w:rsidRDefault="00E9355D" w:rsidP="00841E1C">
      <w:pPr>
        <w:spacing w:after="360"/>
      </w:pPr>
      <w:r>
        <w:t>Complaint rate</w:t>
      </w:r>
      <w:r w:rsidR="00841E1C">
        <w:t xml:space="preserve"> calculations are </w:t>
      </w:r>
      <w:r w:rsidR="00841E1C" w:rsidRPr="005C5A48">
        <w:t xml:space="preserve">made using discharge data provided by the Ministry of Health. This data is provisional as at the date of extraction </w:t>
      </w:r>
      <w:r w:rsidR="00B47FE1" w:rsidRPr="00AF65A5">
        <w:t>(9 October</w:t>
      </w:r>
      <w:r w:rsidR="00841E1C" w:rsidRPr="00AF65A5">
        <w:t xml:space="preserve"> 2020)</w:t>
      </w:r>
      <w:r w:rsidR="00841E1C" w:rsidRPr="005C5A48">
        <w:t xml:space="preserve"> and is likely incomplete; it will be updated in the next six-monthly report. It should be noted that this discharge data excludes short-stay emergency department discharges and patients attending outpatient clinics. </w:t>
      </w:r>
    </w:p>
    <w:p w14:paraId="63B49EFE" w14:textId="71D66980" w:rsidR="00841E1C" w:rsidRDefault="00841E1C" w:rsidP="00841E1C">
      <w:pPr>
        <w:spacing w:after="120"/>
        <w:rPr>
          <w:lang w:eastAsia="en-NZ" w:bidi="ar-SA"/>
        </w:rPr>
      </w:pPr>
      <w:r w:rsidRPr="005C5A48">
        <w:rPr>
          <w:b/>
        </w:rPr>
        <w:t xml:space="preserve">Table 2. </w:t>
      </w:r>
      <w:r w:rsidRPr="005C5A48">
        <w:t xml:space="preserve">Rate of complaints received per 100,000 discharges </w:t>
      </w:r>
    </w:p>
    <w:tbl>
      <w:tblPr>
        <w:tblStyle w:val="TableGrid"/>
        <w:tblW w:w="0" w:type="auto"/>
        <w:tblLook w:val="04A0" w:firstRow="1" w:lastRow="0" w:firstColumn="1" w:lastColumn="0" w:noHBand="0" w:noVBand="1"/>
      </w:tblPr>
      <w:tblGrid>
        <w:gridCol w:w="3005"/>
        <w:gridCol w:w="3005"/>
        <w:gridCol w:w="3006"/>
      </w:tblGrid>
      <w:tr w:rsidR="00E6143A" w14:paraId="1457128A" w14:textId="77777777" w:rsidTr="00E541CF">
        <w:tc>
          <w:tcPr>
            <w:tcW w:w="3005" w:type="dxa"/>
            <w:shd w:val="clear" w:color="auto" w:fill="C00000"/>
          </w:tcPr>
          <w:p w14:paraId="14D7CD8D" w14:textId="1F62DD0C" w:rsidR="00E6143A" w:rsidRPr="008B1AF7" w:rsidRDefault="008B1AF7" w:rsidP="008B1AF7">
            <w:pPr>
              <w:spacing w:after="120"/>
              <w:jc w:val="center"/>
              <w:rPr>
                <w:rFonts w:asciiTheme="minorHAnsi" w:hAnsiTheme="minorHAnsi"/>
                <w:b/>
                <w:sz w:val="22"/>
                <w:szCs w:val="22"/>
              </w:rPr>
            </w:pPr>
            <w:r w:rsidRPr="008B1AF7">
              <w:rPr>
                <w:rFonts w:asciiTheme="minorHAnsi" w:hAnsiTheme="minorHAnsi"/>
                <w:b/>
                <w:sz w:val="22"/>
                <w:szCs w:val="22"/>
              </w:rPr>
              <w:t xml:space="preserve">Number of </w:t>
            </w:r>
            <w:r w:rsidR="00A25C1A">
              <w:rPr>
                <w:rFonts w:asciiTheme="minorHAnsi" w:hAnsiTheme="minorHAnsi"/>
                <w:b/>
                <w:sz w:val="22"/>
                <w:szCs w:val="22"/>
              </w:rPr>
              <w:br/>
            </w:r>
            <w:r w:rsidRPr="008B1AF7">
              <w:rPr>
                <w:rFonts w:asciiTheme="minorHAnsi" w:hAnsiTheme="minorHAnsi"/>
                <w:b/>
                <w:sz w:val="22"/>
                <w:szCs w:val="22"/>
              </w:rPr>
              <w:t>complaints received</w:t>
            </w:r>
          </w:p>
        </w:tc>
        <w:tc>
          <w:tcPr>
            <w:tcW w:w="3005" w:type="dxa"/>
            <w:shd w:val="clear" w:color="auto" w:fill="C00000"/>
          </w:tcPr>
          <w:p w14:paraId="35F544B5" w14:textId="09DFD468" w:rsidR="00E6143A" w:rsidRPr="008B1AF7" w:rsidRDefault="008B1AF7" w:rsidP="008B1AF7">
            <w:pPr>
              <w:spacing w:after="120"/>
              <w:jc w:val="center"/>
              <w:rPr>
                <w:rFonts w:asciiTheme="minorHAnsi" w:hAnsiTheme="minorHAnsi"/>
                <w:b/>
                <w:sz w:val="22"/>
                <w:szCs w:val="22"/>
              </w:rPr>
            </w:pPr>
            <w:r w:rsidRPr="008B1AF7">
              <w:rPr>
                <w:rFonts w:asciiTheme="minorHAnsi" w:hAnsiTheme="minorHAnsi"/>
                <w:b/>
                <w:sz w:val="22"/>
                <w:szCs w:val="22"/>
              </w:rPr>
              <w:t>Total number of discharges</w:t>
            </w:r>
          </w:p>
        </w:tc>
        <w:tc>
          <w:tcPr>
            <w:tcW w:w="3006" w:type="dxa"/>
            <w:shd w:val="clear" w:color="auto" w:fill="C00000"/>
          </w:tcPr>
          <w:p w14:paraId="1D59AD39" w14:textId="0B1438A0" w:rsidR="00E6143A" w:rsidRPr="008B1AF7" w:rsidRDefault="008B1AF7" w:rsidP="008B1AF7">
            <w:pPr>
              <w:spacing w:after="120"/>
              <w:jc w:val="center"/>
              <w:rPr>
                <w:rFonts w:asciiTheme="minorHAnsi" w:hAnsiTheme="minorHAnsi"/>
                <w:b/>
                <w:sz w:val="22"/>
                <w:szCs w:val="22"/>
              </w:rPr>
            </w:pPr>
            <w:r w:rsidRPr="008B1AF7">
              <w:rPr>
                <w:rFonts w:ascii="Calibri" w:hAnsi="Calibri"/>
                <w:b/>
                <w:sz w:val="22"/>
                <w:szCs w:val="22"/>
              </w:rPr>
              <w:t>Rate per 100,000 discharges</w:t>
            </w:r>
          </w:p>
        </w:tc>
      </w:tr>
      <w:tr w:rsidR="00E6143A" w14:paraId="1030DC11" w14:textId="77777777" w:rsidTr="00E6143A">
        <w:tc>
          <w:tcPr>
            <w:tcW w:w="3005" w:type="dxa"/>
          </w:tcPr>
          <w:p w14:paraId="6B6EFFC3" w14:textId="66AAD830" w:rsidR="00E6143A" w:rsidRPr="008B1AF7" w:rsidRDefault="00B47FE1" w:rsidP="008B1AF7">
            <w:pPr>
              <w:spacing w:after="120"/>
              <w:jc w:val="center"/>
              <w:rPr>
                <w:rFonts w:asciiTheme="minorHAnsi" w:hAnsiTheme="minorHAnsi"/>
                <w:b/>
                <w:sz w:val="22"/>
                <w:szCs w:val="22"/>
              </w:rPr>
            </w:pPr>
            <w:r>
              <w:rPr>
                <w:rFonts w:asciiTheme="minorHAnsi" w:hAnsiTheme="minorHAnsi"/>
                <w:b/>
                <w:sz w:val="22"/>
                <w:szCs w:val="22"/>
              </w:rPr>
              <w:t>392</w:t>
            </w:r>
          </w:p>
        </w:tc>
        <w:tc>
          <w:tcPr>
            <w:tcW w:w="3005" w:type="dxa"/>
          </w:tcPr>
          <w:p w14:paraId="1C56CE8F" w14:textId="480F1351" w:rsidR="00E6143A" w:rsidRPr="008B1AF7" w:rsidRDefault="00B47FE1" w:rsidP="008B1AF7">
            <w:pPr>
              <w:spacing w:after="120"/>
              <w:jc w:val="center"/>
              <w:rPr>
                <w:rFonts w:asciiTheme="minorHAnsi" w:hAnsiTheme="minorHAnsi"/>
                <w:b/>
                <w:sz w:val="22"/>
                <w:szCs w:val="22"/>
              </w:rPr>
            </w:pPr>
            <w:r>
              <w:rPr>
                <w:rFonts w:asciiTheme="minorHAnsi" w:hAnsiTheme="minorHAnsi"/>
                <w:b/>
                <w:sz w:val="22"/>
                <w:szCs w:val="22"/>
              </w:rPr>
              <w:t>433,718</w:t>
            </w:r>
          </w:p>
        </w:tc>
        <w:tc>
          <w:tcPr>
            <w:tcW w:w="3006" w:type="dxa"/>
          </w:tcPr>
          <w:p w14:paraId="493EFB05" w14:textId="798AE05C" w:rsidR="00E6143A" w:rsidRPr="008B1AF7" w:rsidRDefault="00B47FE1" w:rsidP="008B1AF7">
            <w:pPr>
              <w:spacing w:after="120"/>
              <w:jc w:val="center"/>
              <w:rPr>
                <w:rFonts w:asciiTheme="minorHAnsi" w:hAnsiTheme="minorHAnsi"/>
                <w:b/>
                <w:sz w:val="22"/>
                <w:szCs w:val="22"/>
              </w:rPr>
            </w:pPr>
            <w:r>
              <w:rPr>
                <w:rFonts w:asciiTheme="minorHAnsi" w:hAnsiTheme="minorHAnsi"/>
                <w:b/>
                <w:sz w:val="22"/>
                <w:szCs w:val="22"/>
              </w:rPr>
              <w:t>90.38</w:t>
            </w:r>
          </w:p>
        </w:tc>
      </w:tr>
    </w:tbl>
    <w:p w14:paraId="25A34C7A" w14:textId="4B284205" w:rsidR="00841E1C" w:rsidRDefault="00841E1C" w:rsidP="0078382D">
      <w:pPr>
        <w:spacing w:before="480" w:after="360"/>
        <w:rPr>
          <w:rFonts w:ascii="Calibri" w:hAnsi="Calibri"/>
          <w:szCs w:val="22"/>
          <w:lang w:eastAsia="en-NZ" w:bidi="ar-SA"/>
        </w:rPr>
      </w:pPr>
      <w:r>
        <w:rPr>
          <w:rFonts w:ascii="Calibri" w:hAnsi="Calibri"/>
          <w:szCs w:val="22"/>
          <w:lang w:eastAsia="en-NZ" w:bidi="ar-SA"/>
        </w:rPr>
        <w:t xml:space="preserve">Table 3 shows the </w:t>
      </w:r>
      <w:r>
        <w:rPr>
          <w:rFonts w:ascii="Calibri" w:hAnsi="Calibri" w:cs="Calibri"/>
          <w:szCs w:val="22"/>
        </w:rPr>
        <w:t>rate</w:t>
      </w:r>
      <w:r>
        <w:rPr>
          <w:rFonts w:ascii="Calibri" w:hAnsi="Calibri"/>
          <w:szCs w:val="22"/>
          <w:lang w:eastAsia="en-NZ" w:bidi="ar-SA"/>
        </w:rPr>
        <w:t xml:space="preserve"> of complaints received by HDC per 100,000 discharges, for </w:t>
      </w:r>
      <w:r w:rsidR="008B1AF7">
        <w:rPr>
          <w:lang w:eastAsia="en-NZ" w:bidi="ar-SA"/>
        </w:rPr>
        <w:t>Jan–Jun 2020</w:t>
      </w:r>
      <w:r>
        <w:rPr>
          <w:lang w:eastAsia="en-NZ" w:bidi="ar-SA"/>
        </w:rPr>
        <w:t xml:space="preserve"> </w:t>
      </w:r>
      <w:r>
        <w:rPr>
          <w:rFonts w:ascii="Calibri" w:hAnsi="Calibri"/>
          <w:szCs w:val="22"/>
          <w:lang w:eastAsia="en-NZ" w:bidi="ar-SA"/>
        </w:rPr>
        <w:t xml:space="preserve">and previous six-month periods. </w:t>
      </w:r>
    </w:p>
    <w:p w14:paraId="04B9A3F1" w14:textId="627996E0" w:rsidR="00841E1C" w:rsidRDefault="00841E1C" w:rsidP="0078382D">
      <w:pPr>
        <w:spacing w:after="120"/>
        <w:jc w:val="left"/>
        <w:rPr>
          <w:b/>
        </w:rPr>
      </w:pPr>
      <w:r>
        <w:rPr>
          <w:b/>
        </w:rPr>
        <w:t xml:space="preserve">Table 3. </w:t>
      </w:r>
      <w:r>
        <w:t>Rate of complaints received in the last five years</w:t>
      </w:r>
      <w:r>
        <w:rPr>
          <w:b/>
        </w:rPr>
        <w:t xml:space="preserve"> </w:t>
      </w:r>
    </w:p>
    <w:tbl>
      <w:tblPr>
        <w:tblStyle w:val="TableGrid"/>
        <w:tblpPr w:leftFromText="180" w:rightFromText="180" w:vertAnchor="text" w:horzAnchor="margin" w:tblpY="105"/>
        <w:tblW w:w="4900" w:type="pct"/>
        <w:tblLook w:val="04A0" w:firstRow="1" w:lastRow="0" w:firstColumn="1" w:lastColumn="0" w:noHBand="0" w:noVBand="1"/>
      </w:tblPr>
      <w:tblGrid>
        <w:gridCol w:w="1091"/>
        <w:gridCol w:w="673"/>
        <w:gridCol w:w="679"/>
        <w:gridCol w:w="677"/>
        <w:gridCol w:w="679"/>
        <w:gridCol w:w="679"/>
        <w:gridCol w:w="679"/>
        <w:gridCol w:w="680"/>
        <w:gridCol w:w="679"/>
        <w:gridCol w:w="680"/>
        <w:gridCol w:w="965"/>
        <w:gridCol w:w="675"/>
      </w:tblGrid>
      <w:tr w:rsidR="008B1AF7" w14:paraId="575B361C" w14:textId="77777777" w:rsidTr="0078382D">
        <w:tc>
          <w:tcPr>
            <w:tcW w:w="617" w:type="pct"/>
            <w:tcBorders>
              <w:top w:val="single" w:sz="4" w:space="0" w:color="auto"/>
              <w:left w:val="single" w:sz="4" w:space="0" w:color="auto"/>
              <w:bottom w:val="single" w:sz="4" w:space="0" w:color="auto"/>
              <w:right w:val="single" w:sz="4" w:space="0" w:color="auto"/>
            </w:tcBorders>
            <w:vAlign w:val="center"/>
          </w:tcPr>
          <w:p w14:paraId="6E0946C6" w14:textId="77777777" w:rsidR="008B1AF7" w:rsidRDefault="008B1AF7" w:rsidP="008B1AF7">
            <w:pPr>
              <w:keepNext/>
              <w:keepLines/>
              <w:jc w:val="left"/>
              <w:rPr>
                <w:rFonts w:ascii="Calibri" w:hAnsi="Calibri"/>
                <w:b/>
                <w:szCs w:val="20"/>
              </w:rPr>
            </w:pPr>
          </w:p>
          <w:p w14:paraId="74ED090C" w14:textId="77777777" w:rsidR="008B1AF7" w:rsidRDefault="008B1AF7" w:rsidP="008B1AF7">
            <w:pPr>
              <w:keepNext/>
              <w:keepLines/>
              <w:jc w:val="left"/>
              <w:rPr>
                <w:rFonts w:ascii="Calibri" w:hAnsi="Calibri"/>
                <w:b/>
                <w:szCs w:val="20"/>
              </w:rPr>
            </w:pPr>
          </w:p>
        </w:tc>
        <w:tc>
          <w:tcPr>
            <w:tcW w:w="381" w:type="pct"/>
            <w:tcBorders>
              <w:top w:val="single" w:sz="4" w:space="0" w:color="auto"/>
              <w:left w:val="single" w:sz="4" w:space="0" w:color="auto"/>
              <w:bottom w:val="single" w:sz="4" w:space="0" w:color="auto"/>
              <w:right w:val="single" w:sz="4" w:space="0" w:color="auto"/>
            </w:tcBorders>
            <w:vAlign w:val="center"/>
            <w:hideMark/>
          </w:tcPr>
          <w:p w14:paraId="4480F996" w14:textId="017A551E" w:rsidR="008B1AF7" w:rsidRDefault="008B1AF7" w:rsidP="008B1AF7">
            <w:pPr>
              <w:keepNext/>
              <w:keepLines/>
              <w:jc w:val="center"/>
              <w:rPr>
                <w:rFonts w:ascii="Calibri" w:hAnsi="Calibri"/>
                <w:b/>
                <w:szCs w:val="20"/>
              </w:rPr>
            </w:pPr>
            <w:r>
              <w:rPr>
                <w:rFonts w:ascii="Calibri" w:hAnsi="Calibri"/>
                <w:b/>
                <w:szCs w:val="20"/>
              </w:rPr>
              <w:t xml:space="preserve">Jul–Dec </w:t>
            </w:r>
            <w:r>
              <w:rPr>
                <w:rFonts w:ascii="Calibri" w:hAnsi="Calibri"/>
                <w:b/>
                <w:szCs w:val="20"/>
              </w:rPr>
              <w:br/>
              <w:t>15</w:t>
            </w:r>
          </w:p>
        </w:tc>
        <w:tc>
          <w:tcPr>
            <w:tcW w:w="384" w:type="pct"/>
            <w:tcBorders>
              <w:top w:val="single" w:sz="4" w:space="0" w:color="auto"/>
              <w:left w:val="single" w:sz="4" w:space="0" w:color="auto"/>
              <w:bottom w:val="single" w:sz="4" w:space="0" w:color="auto"/>
              <w:right w:val="single" w:sz="4" w:space="0" w:color="auto"/>
            </w:tcBorders>
            <w:vAlign w:val="center"/>
            <w:hideMark/>
          </w:tcPr>
          <w:p w14:paraId="22F3BC72" w14:textId="5B154D0A" w:rsidR="008B1AF7" w:rsidRDefault="008B1AF7" w:rsidP="008B1AF7">
            <w:pPr>
              <w:keepNext/>
              <w:keepLines/>
              <w:jc w:val="center"/>
              <w:rPr>
                <w:rFonts w:ascii="Calibri" w:hAnsi="Calibri"/>
                <w:b/>
                <w:szCs w:val="20"/>
              </w:rPr>
            </w:pPr>
            <w:r>
              <w:rPr>
                <w:rFonts w:ascii="Calibri" w:hAnsi="Calibri"/>
                <w:b/>
                <w:szCs w:val="20"/>
              </w:rPr>
              <w:t xml:space="preserve">Jan–Jun </w:t>
            </w:r>
            <w:r>
              <w:rPr>
                <w:rFonts w:ascii="Calibri" w:hAnsi="Calibri"/>
                <w:b/>
                <w:szCs w:val="20"/>
              </w:rPr>
              <w:br/>
              <w:t>16</w:t>
            </w:r>
          </w:p>
        </w:tc>
        <w:tc>
          <w:tcPr>
            <w:tcW w:w="383" w:type="pct"/>
            <w:tcBorders>
              <w:top w:val="single" w:sz="4" w:space="0" w:color="auto"/>
              <w:left w:val="single" w:sz="4" w:space="0" w:color="auto"/>
              <w:bottom w:val="single" w:sz="4" w:space="0" w:color="auto"/>
              <w:right w:val="single" w:sz="4" w:space="0" w:color="auto"/>
            </w:tcBorders>
            <w:hideMark/>
          </w:tcPr>
          <w:p w14:paraId="7B9129CB" w14:textId="694C8108" w:rsidR="008B1AF7" w:rsidRDefault="008B1AF7" w:rsidP="008B1AF7">
            <w:pPr>
              <w:keepNext/>
              <w:keepLines/>
              <w:spacing w:before="180"/>
              <w:jc w:val="center"/>
              <w:rPr>
                <w:rFonts w:ascii="Calibri" w:hAnsi="Calibri"/>
                <w:b/>
                <w:szCs w:val="20"/>
              </w:rPr>
            </w:pPr>
            <w:r>
              <w:rPr>
                <w:rFonts w:ascii="Calibri" w:hAnsi="Calibri"/>
                <w:b/>
                <w:szCs w:val="20"/>
              </w:rPr>
              <w:t xml:space="preserve">Jul–Dec </w:t>
            </w:r>
            <w:r>
              <w:rPr>
                <w:rFonts w:ascii="Calibri" w:hAnsi="Calibri"/>
                <w:b/>
                <w:szCs w:val="20"/>
              </w:rPr>
              <w:br/>
              <w:t>16</w:t>
            </w:r>
          </w:p>
        </w:tc>
        <w:tc>
          <w:tcPr>
            <w:tcW w:w="384" w:type="pct"/>
            <w:tcBorders>
              <w:top w:val="single" w:sz="4" w:space="0" w:color="auto"/>
              <w:left w:val="single" w:sz="4" w:space="0" w:color="auto"/>
              <w:bottom w:val="single" w:sz="4" w:space="0" w:color="auto"/>
              <w:right w:val="single" w:sz="4" w:space="0" w:color="auto"/>
            </w:tcBorders>
            <w:hideMark/>
          </w:tcPr>
          <w:p w14:paraId="0AFD3C6C" w14:textId="57A97672" w:rsidR="008B1AF7" w:rsidRDefault="008B1AF7" w:rsidP="008B1AF7">
            <w:pPr>
              <w:keepNext/>
              <w:keepLines/>
              <w:spacing w:before="180"/>
              <w:jc w:val="center"/>
              <w:rPr>
                <w:rFonts w:ascii="Calibri" w:hAnsi="Calibri"/>
                <w:b/>
                <w:szCs w:val="20"/>
              </w:rPr>
            </w:pPr>
            <w:r>
              <w:rPr>
                <w:rFonts w:ascii="Calibri" w:hAnsi="Calibri"/>
                <w:b/>
                <w:szCs w:val="20"/>
              </w:rPr>
              <w:t xml:space="preserve">Jan–Jun </w:t>
            </w:r>
            <w:r>
              <w:rPr>
                <w:rFonts w:ascii="Calibri" w:hAnsi="Calibri"/>
                <w:b/>
                <w:szCs w:val="20"/>
              </w:rPr>
              <w:br/>
              <w:t>17</w:t>
            </w:r>
          </w:p>
        </w:tc>
        <w:tc>
          <w:tcPr>
            <w:tcW w:w="384" w:type="pct"/>
            <w:tcBorders>
              <w:top w:val="single" w:sz="4" w:space="0" w:color="auto"/>
              <w:left w:val="single" w:sz="4" w:space="0" w:color="auto"/>
              <w:bottom w:val="single" w:sz="4" w:space="0" w:color="auto"/>
              <w:right w:val="single" w:sz="4" w:space="0" w:color="auto"/>
            </w:tcBorders>
            <w:hideMark/>
          </w:tcPr>
          <w:p w14:paraId="3003AF76" w14:textId="64D1F7C9" w:rsidR="008B1AF7" w:rsidRDefault="008B1AF7" w:rsidP="008B1AF7">
            <w:pPr>
              <w:keepNext/>
              <w:keepLines/>
              <w:spacing w:before="180"/>
              <w:jc w:val="center"/>
              <w:rPr>
                <w:rFonts w:ascii="Calibri" w:hAnsi="Calibri"/>
                <w:b/>
                <w:szCs w:val="20"/>
              </w:rPr>
            </w:pPr>
            <w:r>
              <w:rPr>
                <w:rFonts w:ascii="Calibri" w:hAnsi="Calibri"/>
                <w:b/>
                <w:szCs w:val="20"/>
              </w:rPr>
              <w:t xml:space="preserve">Jul–Dec </w:t>
            </w:r>
            <w:r>
              <w:rPr>
                <w:rFonts w:ascii="Calibri" w:hAnsi="Calibri"/>
                <w:b/>
                <w:szCs w:val="20"/>
              </w:rPr>
              <w:br/>
              <w:t>17</w:t>
            </w:r>
          </w:p>
        </w:tc>
        <w:tc>
          <w:tcPr>
            <w:tcW w:w="384" w:type="pct"/>
            <w:tcBorders>
              <w:top w:val="single" w:sz="4" w:space="0" w:color="auto"/>
              <w:left w:val="single" w:sz="4" w:space="0" w:color="auto"/>
              <w:bottom w:val="single" w:sz="4" w:space="0" w:color="auto"/>
              <w:right w:val="single" w:sz="4" w:space="0" w:color="auto"/>
            </w:tcBorders>
            <w:hideMark/>
          </w:tcPr>
          <w:p w14:paraId="186F0C80" w14:textId="412C9612" w:rsidR="008B1AF7" w:rsidRDefault="008B1AF7" w:rsidP="008B1AF7">
            <w:pPr>
              <w:keepNext/>
              <w:keepLines/>
              <w:spacing w:before="180"/>
              <w:jc w:val="center"/>
              <w:rPr>
                <w:rFonts w:ascii="Calibri" w:hAnsi="Calibri"/>
                <w:b/>
                <w:szCs w:val="20"/>
              </w:rPr>
            </w:pPr>
            <w:r>
              <w:rPr>
                <w:rFonts w:ascii="Calibri" w:hAnsi="Calibri"/>
                <w:b/>
                <w:szCs w:val="20"/>
              </w:rPr>
              <w:t xml:space="preserve">Jan–Jun </w:t>
            </w:r>
            <w:r>
              <w:rPr>
                <w:rFonts w:ascii="Calibri" w:hAnsi="Calibri"/>
                <w:b/>
                <w:szCs w:val="20"/>
              </w:rPr>
              <w:br/>
              <w:t>18</w:t>
            </w:r>
          </w:p>
        </w:tc>
        <w:tc>
          <w:tcPr>
            <w:tcW w:w="385" w:type="pct"/>
            <w:tcBorders>
              <w:top w:val="single" w:sz="4" w:space="0" w:color="auto"/>
              <w:left w:val="single" w:sz="4" w:space="0" w:color="auto"/>
              <w:bottom w:val="single" w:sz="4" w:space="0" w:color="auto"/>
              <w:right w:val="single" w:sz="4" w:space="0" w:color="auto"/>
            </w:tcBorders>
            <w:hideMark/>
          </w:tcPr>
          <w:p w14:paraId="773F3AAD" w14:textId="3DB96EE3" w:rsidR="008B1AF7" w:rsidRDefault="008B1AF7" w:rsidP="008B1AF7">
            <w:pPr>
              <w:keepNext/>
              <w:keepLines/>
              <w:spacing w:before="180"/>
              <w:jc w:val="center"/>
              <w:rPr>
                <w:rFonts w:ascii="Calibri" w:hAnsi="Calibri"/>
                <w:b/>
                <w:szCs w:val="20"/>
              </w:rPr>
            </w:pPr>
            <w:r>
              <w:rPr>
                <w:rFonts w:ascii="Calibri" w:hAnsi="Calibri"/>
                <w:b/>
                <w:szCs w:val="20"/>
              </w:rPr>
              <w:t xml:space="preserve">Jul–Dec </w:t>
            </w:r>
            <w:r>
              <w:rPr>
                <w:rFonts w:ascii="Calibri" w:hAnsi="Calibri"/>
                <w:b/>
                <w:szCs w:val="20"/>
              </w:rPr>
              <w:br/>
              <w:t>18</w:t>
            </w:r>
          </w:p>
        </w:tc>
        <w:tc>
          <w:tcPr>
            <w:tcW w:w="384" w:type="pct"/>
            <w:tcBorders>
              <w:top w:val="single" w:sz="4" w:space="0" w:color="auto"/>
              <w:left w:val="single" w:sz="4" w:space="0" w:color="auto"/>
              <w:bottom w:val="single" w:sz="4" w:space="0" w:color="auto"/>
              <w:right w:val="single" w:sz="4" w:space="0" w:color="auto"/>
            </w:tcBorders>
            <w:hideMark/>
          </w:tcPr>
          <w:p w14:paraId="4FBAF72F" w14:textId="07781623" w:rsidR="008B1AF7" w:rsidRDefault="008B1AF7" w:rsidP="008B1AF7">
            <w:pPr>
              <w:keepNext/>
              <w:keepLines/>
              <w:spacing w:before="180"/>
              <w:jc w:val="center"/>
              <w:rPr>
                <w:rFonts w:ascii="Calibri" w:hAnsi="Calibri"/>
                <w:b/>
                <w:szCs w:val="20"/>
              </w:rPr>
            </w:pPr>
            <w:r>
              <w:rPr>
                <w:rFonts w:ascii="Calibri" w:hAnsi="Calibri"/>
                <w:b/>
                <w:szCs w:val="20"/>
              </w:rPr>
              <w:t xml:space="preserve">Jan–Jun </w:t>
            </w:r>
            <w:r>
              <w:rPr>
                <w:rFonts w:ascii="Calibri" w:hAnsi="Calibri"/>
                <w:b/>
                <w:szCs w:val="20"/>
              </w:rPr>
              <w:br/>
              <w:t>19</w:t>
            </w:r>
          </w:p>
        </w:tc>
        <w:tc>
          <w:tcPr>
            <w:tcW w:w="385" w:type="pct"/>
            <w:tcBorders>
              <w:top w:val="single" w:sz="4" w:space="0" w:color="auto"/>
              <w:left w:val="single" w:sz="4" w:space="0" w:color="auto"/>
              <w:bottom w:val="single" w:sz="4" w:space="0" w:color="auto"/>
              <w:right w:val="single" w:sz="4" w:space="0" w:color="auto"/>
            </w:tcBorders>
            <w:hideMark/>
          </w:tcPr>
          <w:p w14:paraId="52A9951F" w14:textId="71208C47" w:rsidR="008B1AF7" w:rsidRDefault="008B1AF7" w:rsidP="008B1AF7">
            <w:pPr>
              <w:keepNext/>
              <w:keepLines/>
              <w:spacing w:before="180"/>
              <w:jc w:val="center"/>
              <w:rPr>
                <w:rFonts w:ascii="Calibri" w:hAnsi="Calibri"/>
                <w:b/>
                <w:szCs w:val="20"/>
              </w:rPr>
            </w:pPr>
            <w:r>
              <w:rPr>
                <w:rFonts w:ascii="Calibri" w:hAnsi="Calibri"/>
                <w:b/>
                <w:szCs w:val="20"/>
              </w:rPr>
              <w:t xml:space="preserve">Jul–Dec </w:t>
            </w:r>
            <w:r>
              <w:rPr>
                <w:rFonts w:ascii="Calibri" w:hAnsi="Calibri"/>
                <w:b/>
                <w:szCs w:val="20"/>
              </w:rPr>
              <w:br/>
              <w:t>19</w:t>
            </w:r>
            <w:r>
              <w:rPr>
                <w:rStyle w:val="FootnoteReference"/>
                <w:rFonts w:ascii="Calibri" w:hAnsi="Calibri"/>
                <w:szCs w:val="22"/>
                <w:lang w:bidi="ar-SA"/>
              </w:rPr>
              <w:footnoteReference w:id="2"/>
            </w:r>
          </w:p>
        </w:tc>
        <w:tc>
          <w:tcPr>
            <w:tcW w:w="546" w:type="pct"/>
            <w:tcBorders>
              <w:top w:val="single" w:sz="4" w:space="0" w:color="auto"/>
              <w:left w:val="single" w:sz="4" w:space="0" w:color="auto"/>
              <w:bottom w:val="single" w:sz="4" w:space="0" w:color="auto"/>
              <w:right w:val="single" w:sz="4" w:space="0" w:color="auto"/>
            </w:tcBorders>
            <w:hideMark/>
          </w:tcPr>
          <w:p w14:paraId="4ECAB84D" w14:textId="77777777" w:rsidR="008B1AF7" w:rsidRDefault="008B1AF7" w:rsidP="008B1AF7">
            <w:pPr>
              <w:keepNext/>
              <w:keepLines/>
              <w:spacing w:before="120"/>
              <w:jc w:val="center"/>
              <w:rPr>
                <w:rFonts w:ascii="Calibri" w:hAnsi="Calibri"/>
                <w:b/>
                <w:szCs w:val="20"/>
              </w:rPr>
            </w:pPr>
            <w:r>
              <w:rPr>
                <w:rFonts w:ascii="Calibri" w:hAnsi="Calibri"/>
                <w:b/>
                <w:szCs w:val="20"/>
              </w:rPr>
              <w:t xml:space="preserve">Average of last 4  </w:t>
            </w:r>
          </w:p>
          <w:p w14:paraId="520D4D58" w14:textId="77777777" w:rsidR="008B1AF7" w:rsidRDefault="008B1AF7" w:rsidP="008B1AF7">
            <w:pPr>
              <w:keepNext/>
              <w:keepLines/>
              <w:jc w:val="center"/>
              <w:rPr>
                <w:rFonts w:ascii="Calibri" w:hAnsi="Calibri"/>
                <w:b/>
                <w:szCs w:val="20"/>
              </w:rPr>
            </w:pPr>
            <w:r>
              <w:rPr>
                <w:rFonts w:ascii="Calibri" w:hAnsi="Calibri"/>
                <w:b/>
                <w:szCs w:val="20"/>
              </w:rPr>
              <w:t>6-month periods</w:t>
            </w:r>
          </w:p>
        </w:tc>
        <w:tc>
          <w:tcPr>
            <w:tcW w:w="382" w:type="pct"/>
            <w:tcBorders>
              <w:top w:val="single" w:sz="4" w:space="0" w:color="auto"/>
              <w:left w:val="single" w:sz="4" w:space="0" w:color="auto"/>
              <w:bottom w:val="single" w:sz="4" w:space="0" w:color="auto"/>
              <w:right w:val="single" w:sz="4" w:space="0" w:color="auto"/>
            </w:tcBorders>
            <w:hideMark/>
          </w:tcPr>
          <w:p w14:paraId="635D0DF8" w14:textId="77777777" w:rsidR="008B1AF7" w:rsidRDefault="008B1AF7" w:rsidP="008B1AF7">
            <w:pPr>
              <w:keepNext/>
              <w:keepLines/>
              <w:spacing w:before="180"/>
              <w:jc w:val="center"/>
              <w:rPr>
                <w:rFonts w:ascii="Calibri" w:hAnsi="Calibri"/>
                <w:b/>
                <w:szCs w:val="20"/>
              </w:rPr>
            </w:pPr>
            <w:r>
              <w:rPr>
                <w:rFonts w:ascii="Calibri" w:hAnsi="Calibri"/>
                <w:b/>
                <w:szCs w:val="20"/>
              </w:rPr>
              <w:t>Jan–Jun</w:t>
            </w:r>
          </w:p>
          <w:p w14:paraId="03EDDD9B" w14:textId="65C89604" w:rsidR="008B1AF7" w:rsidRDefault="008B1AF7" w:rsidP="008B1AF7">
            <w:pPr>
              <w:keepNext/>
              <w:keepLines/>
              <w:jc w:val="center"/>
              <w:rPr>
                <w:rFonts w:ascii="Calibri" w:hAnsi="Calibri"/>
                <w:b/>
                <w:szCs w:val="20"/>
              </w:rPr>
            </w:pPr>
            <w:r>
              <w:rPr>
                <w:rFonts w:ascii="Calibri" w:hAnsi="Calibri"/>
                <w:b/>
                <w:szCs w:val="20"/>
              </w:rPr>
              <w:t>20</w:t>
            </w:r>
          </w:p>
        </w:tc>
      </w:tr>
      <w:tr w:rsidR="008B1AF7" w14:paraId="199168E0" w14:textId="77777777" w:rsidTr="0078382D">
        <w:tc>
          <w:tcPr>
            <w:tcW w:w="617" w:type="pct"/>
            <w:tcBorders>
              <w:top w:val="single" w:sz="4" w:space="0" w:color="auto"/>
              <w:left w:val="single" w:sz="4" w:space="0" w:color="auto"/>
              <w:bottom w:val="single" w:sz="4" w:space="0" w:color="auto"/>
              <w:right w:val="single" w:sz="4" w:space="0" w:color="auto"/>
            </w:tcBorders>
            <w:vAlign w:val="center"/>
            <w:hideMark/>
          </w:tcPr>
          <w:p w14:paraId="6137AFDB" w14:textId="77777777" w:rsidR="008B1AF7" w:rsidRDefault="008B1AF7" w:rsidP="008B1AF7">
            <w:pPr>
              <w:keepNext/>
              <w:keepLines/>
              <w:spacing w:after="40"/>
              <w:jc w:val="left"/>
              <w:rPr>
                <w:rFonts w:ascii="Calibri" w:hAnsi="Calibri"/>
                <w:b/>
                <w:szCs w:val="20"/>
              </w:rPr>
            </w:pPr>
            <w:r>
              <w:rPr>
                <w:rFonts w:ascii="Calibri" w:hAnsi="Calibri"/>
                <w:b/>
                <w:szCs w:val="20"/>
              </w:rPr>
              <w:t>Rate per 100,000 discharges</w:t>
            </w:r>
          </w:p>
        </w:tc>
        <w:tc>
          <w:tcPr>
            <w:tcW w:w="381" w:type="pct"/>
            <w:tcBorders>
              <w:top w:val="single" w:sz="4" w:space="0" w:color="auto"/>
              <w:left w:val="single" w:sz="4" w:space="0" w:color="auto"/>
              <w:bottom w:val="single" w:sz="4" w:space="0" w:color="auto"/>
              <w:right w:val="single" w:sz="4" w:space="0" w:color="auto"/>
            </w:tcBorders>
            <w:vAlign w:val="center"/>
            <w:hideMark/>
          </w:tcPr>
          <w:p w14:paraId="30623CAD" w14:textId="639FB9A5" w:rsidR="008B1AF7" w:rsidRPr="00D12A0D" w:rsidRDefault="008B1AF7" w:rsidP="008B1AF7">
            <w:pPr>
              <w:keepNext/>
              <w:keepLines/>
              <w:jc w:val="center"/>
              <w:rPr>
                <w:rFonts w:ascii="Calibri" w:hAnsi="Calibri"/>
                <w:szCs w:val="20"/>
              </w:rPr>
            </w:pPr>
            <w:r>
              <w:rPr>
                <w:rFonts w:ascii="Calibri" w:hAnsi="Calibri"/>
                <w:szCs w:val="20"/>
              </w:rPr>
              <w:t>87.57</w:t>
            </w:r>
          </w:p>
        </w:tc>
        <w:tc>
          <w:tcPr>
            <w:tcW w:w="384" w:type="pct"/>
            <w:tcBorders>
              <w:top w:val="single" w:sz="4" w:space="0" w:color="auto"/>
              <w:left w:val="single" w:sz="4" w:space="0" w:color="auto"/>
              <w:bottom w:val="single" w:sz="4" w:space="0" w:color="auto"/>
              <w:right w:val="single" w:sz="4" w:space="0" w:color="auto"/>
            </w:tcBorders>
            <w:vAlign w:val="center"/>
            <w:hideMark/>
          </w:tcPr>
          <w:p w14:paraId="43BE83B3" w14:textId="3B826C5F" w:rsidR="008B1AF7" w:rsidRPr="00D12A0D" w:rsidRDefault="008B1AF7" w:rsidP="008B1AF7">
            <w:pPr>
              <w:keepNext/>
              <w:keepLines/>
              <w:jc w:val="center"/>
              <w:rPr>
                <w:rFonts w:ascii="Calibri" w:hAnsi="Calibri"/>
                <w:szCs w:val="20"/>
              </w:rPr>
            </w:pPr>
            <w:r>
              <w:rPr>
                <w:rFonts w:ascii="Calibri" w:hAnsi="Calibri"/>
                <w:szCs w:val="20"/>
              </w:rPr>
              <w:t>81</w:t>
            </w:r>
            <w:r w:rsidRPr="00D12A0D">
              <w:rPr>
                <w:rFonts w:ascii="Calibri" w:hAnsi="Calibri"/>
                <w:szCs w:val="20"/>
              </w:rPr>
              <w:t>.</w:t>
            </w:r>
            <w:r>
              <w:rPr>
                <w:rFonts w:ascii="Calibri" w:hAnsi="Calibri"/>
                <w:szCs w:val="20"/>
              </w:rPr>
              <w:t>44</w:t>
            </w:r>
          </w:p>
        </w:tc>
        <w:tc>
          <w:tcPr>
            <w:tcW w:w="383" w:type="pct"/>
            <w:tcBorders>
              <w:top w:val="single" w:sz="4" w:space="0" w:color="auto"/>
              <w:left w:val="single" w:sz="4" w:space="0" w:color="auto"/>
              <w:bottom w:val="single" w:sz="4" w:space="0" w:color="auto"/>
              <w:right w:val="single" w:sz="4" w:space="0" w:color="auto"/>
            </w:tcBorders>
            <w:vAlign w:val="center"/>
            <w:hideMark/>
          </w:tcPr>
          <w:p w14:paraId="7ECF5579" w14:textId="0FFEFC61" w:rsidR="008B1AF7" w:rsidRPr="00D12A0D" w:rsidRDefault="008B1AF7" w:rsidP="008B1AF7">
            <w:pPr>
              <w:keepNext/>
              <w:keepLines/>
              <w:jc w:val="center"/>
              <w:rPr>
                <w:rFonts w:ascii="Calibri" w:hAnsi="Calibri"/>
                <w:szCs w:val="20"/>
              </w:rPr>
            </w:pPr>
            <w:r>
              <w:rPr>
                <w:rFonts w:ascii="Calibri" w:hAnsi="Calibri"/>
                <w:szCs w:val="20"/>
              </w:rPr>
              <w:t>78.79</w:t>
            </w:r>
          </w:p>
        </w:tc>
        <w:tc>
          <w:tcPr>
            <w:tcW w:w="384" w:type="pct"/>
            <w:tcBorders>
              <w:top w:val="single" w:sz="4" w:space="0" w:color="auto"/>
              <w:left w:val="single" w:sz="4" w:space="0" w:color="auto"/>
              <w:bottom w:val="single" w:sz="4" w:space="0" w:color="auto"/>
              <w:right w:val="single" w:sz="4" w:space="0" w:color="auto"/>
            </w:tcBorders>
            <w:vAlign w:val="center"/>
            <w:hideMark/>
          </w:tcPr>
          <w:p w14:paraId="730EEEED" w14:textId="5F83CB84" w:rsidR="008B1AF7" w:rsidRPr="00D12A0D" w:rsidRDefault="008B1AF7" w:rsidP="008B1AF7">
            <w:pPr>
              <w:keepNext/>
              <w:keepLines/>
              <w:jc w:val="center"/>
              <w:rPr>
                <w:rFonts w:ascii="Calibri" w:hAnsi="Calibri"/>
                <w:szCs w:val="20"/>
              </w:rPr>
            </w:pPr>
            <w:r>
              <w:rPr>
                <w:rFonts w:ascii="Calibri" w:hAnsi="Calibri"/>
                <w:szCs w:val="20"/>
              </w:rPr>
              <w:t>99.08</w:t>
            </w:r>
          </w:p>
        </w:tc>
        <w:tc>
          <w:tcPr>
            <w:tcW w:w="384" w:type="pct"/>
            <w:tcBorders>
              <w:top w:val="single" w:sz="4" w:space="0" w:color="auto"/>
              <w:left w:val="single" w:sz="4" w:space="0" w:color="auto"/>
              <w:bottom w:val="single" w:sz="4" w:space="0" w:color="auto"/>
              <w:right w:val="single" w:sz="4" w:space="0" w:color="auto"/>
            </w:tcBorders>
            <w:vAlign w:val="center"/>
            <w:hideMark/>
          </w:tcPr>
          <w:p w14:paraId="1EF0F090" w14:textId="11B1D5FA" w:rsidR="008B1AF7" w:rsidRPr="00D12A0D" w:rsidRDefault="008B1AF7" w:rsidP="008B1AF7">
            <w:pPr>
              <w:keepNext/>
              <w:keepLines/>
              <w:jc w:val="center"/>
              <w:rPr>
                <w:rFonts w:ascii="Calibri" w:hAnsi="Calibri"/>
                <w:szCs w:val="20"/>
              </w:rPr>
            </w:pPr>
            <w:r>
              <w:rPr>
                <w:rFonts w:ascii="Calibri" w:hAnsi="Calibri"/>
                <w:szCs w:val="20"/>
              </w:rPr>
              <w:t>88.23</w:t>
            </w:r>
          </w:p>
        </w:tc>
        <w:tc>
          <w:tcPr>
            <w:tcW w:w="384" w:type="pct"/>
            <w:tcBorders>
              <w:top w:val="single" w:sz="4" w:space="0" w:color="auto"/>
              <w:left w:val="single" w:sz="4" w:space="0" w:color="auto"/>
              <w:bottom w:val="single" w:sz="4" w:space="0" w:color="auto"/>
              <w:right w:val="single" w:sz="4" w:space="0" w:color="auto"/>
            </w:tcBorders>
            <w:vAlign w:val="center"/>
            <w:hideMark/>
          </w:tcPr>
          <w:p w14:paraId="1C497E89" w14:textId="5769DF79" w:rsidR="008B1AF7" w:rsidRPr="00D12A0D" w:rsidRDefault="008B1AF7" w:rsidP="008B1AF7">
            <w:pPr>
              <w:keepNext/>
              <w:keepLines/>
              <w:jc w:val="center"/>
              <w:rPr>
                <w:rFonts w:ascii="Calibri" w:hAnsi="Calibri"/>
                <w:szCs w:val="20"/>
              </w:rPr>
            </w:pPr>
            <w:r>
              <w:rPr>
                <w:rFonts w:ascii="Calibri" w:hAnsi="Calibri"/>
                <w:szCs w:val="20"/>
              </w:rPr>
              <w:t>93.80</w:t>
            </w:r>
          </w:p>
        </w:tc>
        <w:tc>
          <w:tcPr>
            <w:tcW w:w="385" w:type="pct"/>
            <w:tcBorders>
              <w:top w:val="single" w:sz="4" w:space="0" w:color="auto"/>
              <w:left w:val="single" w:sz="4" w:space="0" w:color="auto"/>
              <w:bottom w:val="single" w:sz="4" w:space="0" w:color="auto"/>
              <w:right w:val="single" w:sz="4" w:space="0" w:color="auto"/>
            </w:tcBorders>
            <w:vAlign w:val="center"/>
            <w:hideMark/>
          </w:tcPr>
          <w:p w14:paraId="4A88066A" w14:textId="3B776986" w:rsidR="008B1AF7" w:rsidRPr="00D12A0D" w:rsidRDefault="008B1AF7" w:rsidP="008B1AF7">
            <w:pPr>
              <w:keepNext/>
              <w:keepLines/>
              <w:jc w:val="center"/>
              <w:rPr>
                <w:rFonts w:ascii="Calibri" w:hAnsi="Calibri"/>
                <w:szCs w:val="20"/>
              </w:rPr>
            </w:pPr>
            <w:r>
              <w:rPr>
                <w:rFonts w:ascii="Calibri" w:hAnsi="Calibri"/>
                <w:szCs w:val="20"/>
              </w:rPr>
              <w:t>88.47</w:t>
            </w:r>
          </w:p>
        </w:tc>
        <w:tc>
          <w:tcPr>
            <w:tcW w:w="384" w:type="pct"/>
            <w:tcBorders>
              <w:top w:val="single" w:sz="4" w:space="0" w:color="auto"/>
              <w:left w:val="single" w:sz="4" w:space="0" w:color="auto"/>
              <w:bottom w:val="single" w:sz="4" w:space="0" w:color="auto"/>
              <w:right w:val="single" w:sz="4" w:space="0" w:color="auto"/>
            </w:tcBorders>
            <w:vAlign w:val="center"/>
            <w:hideMark/>
          </w:tcPr>
          <w:p w14:paraId="5F6AF6A2" w14:textId="36AB7392" w:rsidR="008B1AF7" w:rsidRPr="00D12A0D" w:rsidRDefault="008B1AF7" w:rsidP="008B1AF7">
            <w:pPr>
              <w:keepNext/>
              <w:keepLines/>
              <w:jc w:val="center"/>
              <w:rPr>
                <w:rFonts w:ascii="Calibri" w:hAnsi="Calibri"/>
                <w:szCs w:val="20"/>
              </w:rPr>
            </w:pPr>
            <w:r>
              <w:rPr>
                <w:rFonts w:ascii="Calibri" w:hAnsi="Calibri"/>
                <w:szCs w:val="20"/>
              </w:rPr>
              <w:t>87.97</w:t>
            </w:r>
          </w:p>
        </w:tc>
        <w:tc>
          <w:tcPr>
            <w:tcW w:w="385" w:type="pct"/>
            <w:tcBorders>
              <w:top w:val="single" w:sz="4" w:space="0" w:color="auto"/>
              <w:left w:val="single" w:sz="4" w:space="0" w:color="auto"/>
              <w:bottom w:val="single" w:sz="4" w:space="0" w:color="auto"/>
              <w:right w:val="single" w:sz="4" w:space="0" w:color="auto"/>
            </w:tcBorders>
            <w:vAlign w:val="center"/>
            <w:hideMark/>
          </w:tcPr>
          <w:p w14:paraId="258494CC" w14:textId="2442D2A4" w:rsidR="008B1AF7" w:rsidRPr="008B1AF7" w:rsidRDefault="00B47FE1" w:rsidP="008B1AF7">
            <w:pPr>
              <w:keepNext/>
              <w:keepLines/>
              <w:jc w:val="center"/>
              <w:rPr>
                <w:rFonts w:ascii="Calibri" w:hAnsi="Calibri"/>
                <w:szCs w:val="20"/>
              </w:rPr>
            </w:pPr>
            <w:r>
              <w:rPr>
                <w:rFonts w:ascii="Calibri" w:hAnsi="Calibri"/>
                <w:szCs w:val="20"/>
              </w:rPr>
              <w:t>92.92</w:t>
            </w:r>
          </w:p>
        </w:tc>
        <w:tc>
          <w:tcPr>
            <w:tcW w:w="546" w:type="pct"/>
            <w:tcBorders>
              <w:top w:val="single" w:sz="4" w:space="0" w:color="auto"/>
              <w:left w:val="single" w:sz="4" w:space="0" w:color="auto"/>
              <w:bottom w:val="single" w:sz="4" w:space="0" w:color="auto"/>
              <w:right w:val="single" w:sz="4" w:space="0" w:color="auto"/>
            </w:tcBorders>
            <w:vAlign w:val="center"/>
            <w:hideMark/>
          </w:tcPr>
          <w:p w14:paraId="6A4D17D2" w14:textId="70CDDCD2" w:rsidR="008B1AF7" w:rsidRPr="00D12A0D" w:rsidRDefault="00BB20D1" w:rsidP="008B1AF7">
            <w:pPr>
              <w:keepNext/>
              <w:keepLines/>
              <w:jc w:val="center"/>
              <w:rPr>
                <w:rFonts w:ascii="Calibri" w:hAnsi="Calibri"/>
                <w:b/>
                <w:szCs w:val="20"/>
              </w:rPr>
            </w:pPr>
            <w:r>
              <w:rPr>
                <w:rFonts w:ascii="Calibri" w:hAnsi="Calibri"/>
                <w:b/>
                <w:szCs w:val="20"/>
              </w:rPr>
              <w:t>91.05</w:t>
            </w:r>
          </w:p>
        </w:tc>
        <w:tc>
          <w:tcPr>
            <w:tcW w:w="382" w:type="pct"/>
            <w:tcBorders>
              <w:top w:val="single" w:sz="4" w:space="0" w:color="auto"/>
              <w:left w:val="single" w:sz="4" w:space="0" w:color="auto"/>
              <w:bottom w:val="single" w:sz="4" w:space="0" w:color="auto"/>
              <w:right w:val="single" w:sz="4" w:space="0" w:color="auto"/>
            </w:tcBorders>
            <w:vAlign w:val="center"/>
            <w:hideMark/>
          </w:tcPr>
          <w:p w14:paraId="2A97B898" w14:textId="36F0B23B" w:rsidR="008B1AF7" w:rsidRPr="00D12A0D" w:rsidRDefault="00B47FE1" w:rsidP="008B1AF7">
            <w:pPr>
              <w:keepNext/>
              <w:keepLines/>
              <w:jc w:val="center"/>
              <w:rPr>
                <w:rFonts w:ascii="Calibri" w:hAnsi="Calibri"/>
                <w:b/>
                <w:szCs w:val="20"/>
              </w:rPr>
            </w:pPr>
            <w:r>
              <w:rPr>
                <w:rFonts w:ascii="Calibri" w:hAnsi="Calibri"/>
                <w:b/>
                <w:szCs w:val="20"/>
              </w:rPr>
              <w:t>90.38</w:t>
            </w:r>
          </w:p>
        </w:tc>
      </w:tr>
    </w:tbl>
    <w:p w14:paraId="5C8B9798" w14:textId="1C70C694" w:rsidR="00841E1C" w:rsidRDefault="00841E1C" w:rsidP="0078382D">
      <w:pPr>
        <w:spacing w:before="480"/>
      </w:pPr>
      <w:r>
        <w:rPr>
          <w:lang w:eastAsia="en-NZ" w:bidi="ar-SA"/>
        </w:rPr>
        <w:t>The rate o</w:t>
      </w:r>
      <w:r w:rsidR="00BB20D1">
        <w:rPr>
          <w:lang w:eastAsia="en-NZ" w:bidi="ar-SA"/>
        </w:rPr>
        <w:t>f complaints received during Jan</w:t>
      </w:r>
      <w:r w:rsidR="00A25C1A">
        <w:rPr>
          <w:lang w:eastAsia="en-NZ" w:bidi="ar-SA"/>
        </w:rPr>
        <w:t>–</w:t>
      </w:r>
      <w:r w:rsidR="00BB20D1">
        <w:rPr>
          <w:lang w:eastAsia="en-NZ" w:bidi="ar-SA"/>
        </w:rPr>
        <w:t>Jun 2020</w:t>
      </w:r>
      <w:r>
        <w:rPr>
          <w:lang w:eastAsia="en-NZ" w:bidi="ar-SA"/>
        </w:rPr>
        <w:t xml:space="preserve"> (</w:t>
      </w:r>
      <w:r w:rsidR="00B47FE1">
        <w:rPr>
          <w:lang w:eastAsia="en-NZ" w:bidi="ar-SA"/>
        </w:rPr>
        <w:t>90.38</w:t>
      </w:r>
      <w:r>
        <w:rPr>
          <w:lang w:eastAsia="en-NZ" w:bidi="ar-SA"/>
        </w:rPr>
        <w:t xml:space="preserve">) </w:t>
      </w:r>
      <w:r w:rsidR="00B47FE1">
        <w:rPr>
          <w:lang w:eastAsia="en-NZ" w:bidi="ar-SA"/>
        </w:rPr>
        <w:t>is very similar to</w:t>
      </w:r>
      <w:r>
        <w:rPr>
          <w:lang w:eastAsia="en-NZ" w:bidi="ar-SA"/>
        </w:rPr>
        <w:t xml:space="preserve"> the</w:t>
      </w:r>
      <w:r>
        <w:t xml:space="preserve"> average rate of complaints received for the previous four periods.</w:t>
      </w:r>
    </w:p>
    <w:p w14:paraId="62681D46" w14:textId="08614342" w:rsidR="00841E1C" w:rsidRDefault="00841E1C" w:rsidP="00D56B74">
      <w:pPr>
        <w:jc w:val="left"/>
        <w:rPr>
          <w:rFonts w:ascii="Calibri" w:hAnsi="Calibri"/>
          <w:szCs w:val="22"/>
        </w:rPr>
      </w:pPr>
      <w:r>
        <w:rPr>
          <w:lang w:eastAsia="en-NZ" w:bidi="ar-SA"/>
        </w:rPr>
        <w:br/>
      </w:r>
      <w:r>
        <w:rPr>
          <w:rFonts w:ascii="Calibri" w:hAnsi="Calibri"/>
          <w:szCs w:val="22"/>
        </w:rPr>
        <w:t>Table 4 shows the number and rate of complaints received by HDC for each DHB.</w:t>
      </w:r>
      <w:r w:rsidRPr="003E5338">
        <w:rPr>
          <w:rStyle w:val="FootnoteReference"/>
        </w:rPr>
        <w:footnoteReference w:id="3"/>
      </w:r>
    </w:p>
    <w:p w14:paraId="165E01DD" w14:textId="171C6892" w:rsidR="00D56B74" w:rsidRDefault="00D56B74" w:rsidP="00D56B74">
      <w:pPr>
        <w:jc w:val="left"/>
        <w:rPr>
          <w:rFonts w:ascii="Calibri" w:hAnsi="Calibri"/>
          <w:szCs w:val="22"/>
        </w:rPr>
      </w:pPr>
    </w:p>
    <w:p w14:paraId="37E47757" w14:textId="63E03D37" w:rsidR="00D56B74" w:rsidRDefault="00D56B74" w:rsidP="00D56B74">
      <w:pPr>
        <w:jc w:val="left"/>
        <w:rPr>
          <w:rFonts w:ascii="Calibri" w:hAnsi="Calibri"/>
          <w:szCs w:val="22"/>
        </w:rPr>
      </w:pPr>
    </w:p>
    <w:p w14:paraId="2C995175" w14:textId="3490FCD5" w:rsidR="00D56B74" w:rsidRDefault="00D56B74" w:rsidP="00D56B74">
      <w:pPr>
        <w:jc w:val="left"/>
        <w:rPr>
          <w:rFonts w:ascii="Calibri" w:hAnsi="Calibri"/>
          <w:szCs w:val="22"/>
        </w:rPr>
      </w:pPr>
    </w:p>
    <w:p w14:paraId="39404634" w14:textId="63D63F32" w:rsidR="00D56B74" w:rsidRDefault="00D56B74" w:rsidP="00D56B74">
      <w:pPr>
        <w:jc w:val="left"/>
        <w:rPr>
          <w:rFonts w:ascii="Calibri" w:hAnsi="Calibri"/>
          <w:szCs w:val="22"/>
        </w:rPr>
      </w:pPr>
    </w:p>
    <w:p w14:paraId="2D435CA6" w14:textId="762E2872" w:rsidR="00D56B74" w:rsidRDefault="00D56B74" w:rsidP="00D56B74">
      <w:pPr>
        <w:jc w:val="left"/>
        <w:rPr>
          <w:rFonts w:ascii="Calibri" w:hAnsi="Calibri"/>
          <w:szCs w:val="22"/>
        </w:rPr>
      </w:pPr>
    </w:p>
    <w:p w14:paraId="63D28377" w14:textId="666D52C0" w:rsidR="00D56B74" w:rsidRDefault="00D56B74" w:rsidP="00D56B74">
      <w:pPr>
        <w:jc w:val="left"/>
        <w:rPr>
          <w:rFonts w:ascii="Calibri" w:hAnsi="Calibri"/>
          <w:szCs w:val="22"/>
        </w:rPr>
      </w:pPr>
    </w:p>
    <w:p w14:paraId="0B0C72E2" w14:textId="5ED48B08" w:rsidR="00D56B74" w:rsidRDefault="00D56B74" w:rsidP="00D56B74">
      <w:pPr>
        <w:jc w:val="left"/>
        <w:rPr>
          <w:rFonts w:ascii="Calibri" w:hAnsi="Calibri"/>
          <w:szCs w:val="22"/>
        </w:rPr>
      </w:pPr>
    </w:p>
    <w:p w14:paraId="1AE69198" w14:textId="1D65FB89" w:rsidR="00D56B74" w:rsidRDefault="00D56B74" w:rsidP="00D56B74">
      <w:pPr>
        <w:jc w:val="left"/>
        <w:rPr>
          <w:rFonts w:ascii="Calibri" w:hAnsi="Calibri"/>
          <w:szCs w:val="22"/>
        </w:rPr>
      </w:pPr>
    </w:p>
    <w:p w14:paraId="6C6F69F1" w14:textId="2D5935B9" w:rsidR="00D56B74" w:rsidRDefault="00D56B74" w:rsidP="00D56B74">
      <w:pPr>
        <w:jc w:val="left"/>
        <w:rPr>
          <w:rFonts w:ascii="Calibri" w:hAnsi="Calibri"/>
          <w:szCs w:val="22"/>
        </w:rPr>
      </w:pPr>
    </w:p>
    <w:p w14:paraId="526ED279" w14:textId="4F2B634B" w:rsidR="00D56B74" w:rsidRDefault="00D56B74" w:rsidP="00D56B74">
      <w:pPr>
        <w:jc w:val="left"/>
        <w:rPr>
          <w:rFonts w:ascii="Calibri" w:hAnsi="Calibri"/>
          <w:szCs w:val="22"/>
        </w:rPr>
      </w:pPr>
    </w:p>
    <w:p w14:paraId="4E8D0372" w14:textId="77777777" w:rsidR="00D56B74" w:rsidRDefault="00D56B74" w:rsidP="00D56B74">
      <w:pPr>
        <w:jc w:val="left"/>
        <w:rPr>
          <w:rFonts w:ascii="Calibri" w:hAnsi="Calibri"/>
          <w:szCs w:val="22"/>
        </w:rPr>
      </w:pPr>
    </w:p>
    <w:p w14:paraId="7345E050" w14:textId="735A3D0C" w:rsidR="00D56B74" w:rsidRDefault="00D56B74" w:rsidP="00D56B74">
      <w:pPr>
        <w:jc w:val="left"/>
        <w:rPr>
          <w:rFonts w:ascii="Calibri" w:hAnsi="Calibri"/>
          <w:szCs w:val="22"/>
        </w:rPr>
      </w:pPr>
    </w:p>
    <w:p w14:paraId="67E4F82F" w14:textId="77777777" w:rsidR="0086165A" w:rsidRPr="00D56B74" w:rsidRDefault="0086165A" w:rsidP="00D56B74">
      <w:pPr>
        <w:jc w:val="left"/>
        <w:rPr>
          <w:rFonts w:ascii="Calibri" w:hAnsi="Calibri"/>
          <w:szCs w:val="22"/>
        </w:rPr>
      </w:pPr>
    </w:p>
    <w:p w14:paraId="4F37FD57" w14:textId="2D7EE32C" w:rsidR="00841E1C" w:rsidRDefault="00841E1C" w:rsidP="0078382D">
      <w:pPr>
        <w:keepNext/>
        <w:keepLines/>
        <w:spacing w:after="120"/>
        <w:rPr>
          <w:szCs w:val="22"/>
        </w:rPr>
      </w:pPr>
      <w:r w:rsidRPr="00C97276">
        <w:rPr>
          <w:b/>
          <w:szCs w:val="22"/>
        </w:rPr>
        <w:lastRenderedPageBreak/>
        <w:t>Table 4.</w:t>
      </w:r>
      <w:r w:rsidRPr="00C97276">
        <w:rPr>
          <w:szCs w:val="22"/>
        </w:rPr>
        <w:t xml:space="preserve"> Number </w:t>
      </w:r>
      <w:r>
        <w:rPr>
          <w:szCs w:val="22"/>
        </w:rPr>
        <w:t xml:space="preserve">and </w:t>
      </w:r>
      <w:r w:rsidRPr="00C97276">
        <w:rPr>
          <w:szCs w:val="22"/>
        </w:rPr>
        <w:t>rate of complai</w:t>
      </w:r>
      <w:r w:rsidR="00BB20D1">
        <w:rPr>
          <w:szCs w:val="22"/>
        </w:rPr>
        <w:t>nts received for each DHB in Jan</w:t>
      </w:r>
      <w:r w:rsidR="00A25C1A">
        <w:rPr>
          <w:szCs w:val="22"/>
        </w:rPr>
        <w:t>–</w:t>
      </w:r>
      <w:r w:rsidR="00BB20D1">
        <w:rPr>
          <w:szCs w:val="22"/>
        </w:rPr>
        <w:t>Jun 2020</w:t>
      </w:r>
    </w:p>
    <w:tbl>
      <w:tblPr>
        <w:tblStyle w:val="TableGrid"/>
        <w:tblW w:w="0" w:type="auto"/>
        <w:tblLook w:val="04A0" w:firstRow="1" w:lastRow="0" w:firstColumn="1" w:lastColumn="0" w:noHBand="0" w:noVBand="1"/>
      </w:tblPr>
      <w:tblGrid>
        <w:gridCol w:w="2261"/>
        <w:gridCol w:w="2252"/>
        <w:gridCol w:w="2250"/>
        <w:gridCol w:w="2253"/>
      </w:tblGrid>
      <w:tr w:rsidR="00BB20D1" w:rsidRPr="00D12A0D" w14:paraId="64AF3259" w14:textId="77777777" w:rsidTr="0086165A">
        <w:tc>
          <w:tcPr>
            <w:tcW w:w="2261" w:type="dxa"/>
            <w:tcBorders>
              <w:top w:val="single" w:sz="4" w:space="0" w:color="auto"/>
              <w:left w:val="single" w:sz="4" w:space="0" w:color="auto"/>
              <w:bottom w:val="single" w:sz="4" w:space="0" w:color="auto"/>
              <w:right w:val="single" w:sz="4" w:space="0" w:color="auto"/>
            </w:tcBorders>
            <w:shd w:val="clear" w:color="auto" w:fill="C00000"/>
            <w:hideMark/>
          </w:tcPr>
          <w:p w14:paraId="6838E1F5" w14:textId="77777777" w:rsidR="00BB20D1" w:rsidRPr="00BB20D1" w:rsidRDefault="00BB20D1" w:rsidP="0078382D">
            <w:pPr>
              <w:keepNext/>
              <w:keepLines/>
              <w:spacing w:after="120"/>
              <w:jc w:val="center"/>
              <w:rPr>
                <w:rFonts w:asciiTheme="minorHAnsi" w:hAnsiTheme="minorHAnsi"/>
                <w:b/>
                <w:sz w:val="22"/>
                <w:szCs w:val="22"/>
              </w:rPr>
            </w:pPr>
            <w:r w:rsidRPr="00BB20D1">
              <w:rPr>
                <w:rFonts w:asciiTheme="minorHAnsi" w:hAnsiTheme="minorHAnsi"/>
                <w:b/>
                <w:sz w:val="22"/>
                <w:szCs w:val="22"/>
              </w:rPr>
              <w:t>DHB</w:t>
            </w:r>
          </w:p>
        </w:tc>
        <w:tc>
          <w:tcPr>
            <w:tcW w:w="2252" w:type="dxa"/>
            <w:tcBorders>
              <w:top w:val="single" w:sz="4" w:space="0" w:color="auto"/>
              <w:left w:val="single" w:sz="4" w:space="0" w:color="auto"/>
              <w:bottom w:val="single" w:sz="4" w:space="0" w:color="auto"/>
              <w:right w:val="single" w:sz="4" w:space="0" w:color="auto"/>
            </w:tcBorders>
            <w:shd w:val="clear" w:color="auto" w:fill="C00000"/>
            <w:hideMark/>
          </w:tcPr>
          <w:p w14:paraId="694171E2" w14:textId="77777777" w:rsidR="00BB20D1" w:rsidRPr="00BB20D1" w:rsidRDefault="00BB20D1" w:rsidP="0078382D">
            <w:pPr>
              <w:keepNext/>
              <w:keepLines/>
              <w:spacing w:after="120"/>
              <w:jc w:val="center"/>
              <w:rPr>
                <w:rFonts w:asciiTheme="minorHAnsi" w:hAnsiTheme="minorHAnsi"/>
                <w:b/>
                <w:sz w:val="22"/>
                <w:szCs w:val="22"/>
              </w:rPr>
            </w:pPr>
            <w:r w:rsidRPr="00BB20D1">
              <w:rPr>
                <w:rFonts w:asciiTheme="minorHAnsi" w:hAnsiTheme="minorHAnsi"/>
                <w:b/>
                <w:sz w:val="22"/>
                <w:szCs w:val="22"/>
              </w:rPr>
              <w:t>Number of complaints received</w:t>
            </w:r>
          </w:p>
        </w:tc>
        <w:tc>
          <w:tcPr>
            <w:tcW w:w="2250" w:type="dxa"/>
            <w:tcBorders>
              <w:top w:val="single" w:sz="4" w:space="0" w:color="auto"/>
              <w:left w:val="single" w:sz="4" w:space="0" w:color="auto"/>
              <w:bottom w:val="single" w:sz="4" w:space="0" w:color="auto"/>
              <w:right w:val="single" w:sz="4" w:space="0" w:color="auto"/>
            </w:tcBorders>
            <w:shd w:val="clear" w:color="auto" w:fill="C00000"/>
            <w:hideMark/>
          </w:tcPr>
          <w:p w14:paraId="0EBACAF0" w14:textId="77777777" w:rsidR="00BB20D1" w:rsidRPr="00BB20D1" w:rsidRDefault="00BB20D1" w:rsidP="0078382D">
            <w:pPr>
              <w:keepNext/>
              <w:keepLines/>
              <w:spacing w:after="120"/>
              <w:jc w:val="center"/>
              <w:rPr>
                <w:rFonts w:asciiTheme="minorHAnsi" w:hAnsiTheme="minorHAnsi"/>
                <w:b/>
                <w:sz w:val="22"/>
                <w:szCs w:val="22"/>
              </w:rPr>
            </w:pPr>
            <w:r w:rsidRPr="00BB20D1">
              <w:rPr>
                <w:rFonts w:asciiTheme="minorHAnsi" w:hAnsiTheme="minorHAnsi"/>
                <w:b/>
                <w:sz w:val="22"/>
                <w:szCs w:val="22"/>
              </w:rPr>
              <w:t>Number of discharges</w:t>
            </w:r>
          </w:p>
        </w:tc>
        <w:tc>
          <w:tcPr>
            <w:tcW w:w="2253" w:type="dxa"/>
            <w:tcBorders>
              <w:top w:val="single" w:sz="4" w:space="0" w:color="auto"/>
              <w:left w:val="single" w:sz="4" w:space="0" w:color="auto"/>
              <w:bottom w:val="single" w:sz="4" w:space="0" w:color="auto"/>
              <w:right w:val="single" w:sz="4" w:space="0" w:color="auto"/>
            </w:tcBorders>
            <w:shd w:val="clear" w:color="auto" w:fill="C00000"/>
            <w:hideMark/>
          </w:tcPr>
          <w:p w14:paraId="2F0818E1" w14:textId="77777777" w:rsidR="00BB20D1" w:rsidRPr="00BB20D1" w:rsidRDefault="00BB20D1" w:rsidP="0078382D">
            <w:pPr>
              <w:keepNext/>
              <w:keepLines/>
              <w:spacing w:after="120"/>
              <w:jc w:val="center"/>
              <w:rPr>
                <w:rFonts w:asciiTheme="minorHAnsi" w:hAnsiTheme="minorHAnsi"/>
                <w:b/>
                <w:sz w:val="22"/>
                <w:szCs w:val="22"/>
              </w:rPr>
            </w:pPr>
            <w:r w:rsidRPr="00BB20D1">
              <w:rPr>
                <w:rFonts w:asciiTheme="minorHAnsi" w:hAnsiTheme="minorHAnsi"/>
                <w:b/>
                <w:sz w:val="22"/>
                <w:szCs w:val="22"/>
              </w:rPr>
              <w:t>Rate of complaints to HDC per 100,000 discharges</w:t>
            </w:r>
          </w:p>
        </w:tc>
      </w:tr>
      <w:tr w:rsidR="007C4F33" w:rsidRPr="00D12A0D" w14:paraId="386EBE06" w14:textId="77777777" w:rsidTr="007C4F33">
        <w:tc>
          <w:tcPr>
            <w:tcW w:w="2261" w:type="dxa"/>
            <w:tcBorders>
              <w:top w:val="single" w:sz="4" w:space="0" w:color="auto"/>
              <w:left w:val="single" w:sz="4" w:space="0" w:color="auto"/>
              <w:bottom w:val="single" w:sz="4" w:space="0" w:color="auto"/>
              <w:right w:val="single" w:sz="4" w:space="0" w:color="auto"/>
            </w:tcBorders>
            <w:hideMark/>
          </w:tcPr>
          <w:p w14:paraId="302B6C88" w14:textId="77777777" w:rsidR="007C4F33" w:rsidRPr="007C4F33" w:rsidRDefault="007C4F33" w:rsidP="007C4F33">
            <w:pPr>
              <w:rPr>
                <w:rFonts w:asciiTheme="minorHAnsi" w:hAnsiTheme="minorHAnsi"/>
                <w:sz w:val="22"/>
                <w:szCs w:val="22"/>
              </w:rPr>
            </w:pPr>
            <w:r w:rsidRPr="007C4F33">
              <w:rPr>
                <w:rFonts w:asciiTheme="minorHAnsi" w:hAnsiTheme="minorHAnsi"/>
                <w:sz w:val="22"/>
                <w:szCs w:val="22"/>
              </w:rPr>
              <w:t>Auckland</w:t>
            </w:r>
          </w:p>
        </w:tc>
        <w:tc>
          <w:tcPr>
            <w:tcW w:w="2252" w:type="dxa"/>
            <w:tcBorders>
              <w:top w:val="single" w:sz="4" w:space="0" w:color="auto"/>
              <w:left w:val="single" w:sz="4" w:space="0" w:color="auto"/>
              <w:bottom w:val="single" w:sz="4" w:space="0" w:color="auto"/>
              <w:right w:val="single" w:sz="4" w:space="0" w:color="auto"/>
            </w:tcBorders>
            <w:vAlign w:val="bottom"/>
          </w:tcPr>
          <w:p w14:paraId="0CEF5BFA" w14:textId="657CE937"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57</w:t>
            </w:r>
          </w:p>
        </w:tc>
        <w:tc>
          <w:tcPr>
            <w:tcW w:w="2250" w:type="dxa"/>
            <w:tcBorders>
              <w:top w:val="single" w:sz="4" w:space="0" w:color="auto"/>
              <w:left w:val="single" w:sz="4" w:space="0" w:color="auto"/>
              <w:bottom w:val="single" w:sz="4" w:space="0" w:color="auto"/>
              <w:right w:val="single" w:sz="4" w:space="0" w:color="auto"/>
            </w:tcBorders>
            <w:vAlign w:val="bottom"/>
          </w:tcPr>
          <w:p w14:paraId="55A82CA2" w14:textId="4B1D221B"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53476</w:t>
            </w:r>
          </w:p>
        </w:tc>
        <w:tc>
          <w:tcPr>
            <w:tcW w:w="2253" w:type="dxa"/>
            <w:tcBorders>
              <w:top w:val="single" w:sz="4" w:space="0" w:color="auto"/>
              <w:left w:val="single" w:sz="4" w:space="0" w:color="auto"/>
              <w:bottom w:val="single" w:sz="4" w:space="0" w:color="auto"/>
              <w:right w:val="single" w:sz="4" w:space="0" w:color="auto"/>
            </w:tcBorders>
            <w:vAlign w:val="bottom"/>
          </w:tcPr>
          <w:p w14:paraId="2FC52023" w14:textId="37B23130"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106.59</w:t>
            </w:r>
          </w:p>
        </w:tc>
      </w:tr>
      <w:tr w:rsidR="007C4F33" w:rsidRPr="00D12A0D" w14:paraId="0F122CA4" w14:textId="77777777" w:rsidTr="007C4F33">
        <w:tc>
          <w:tcPr>
            <w:tcW w:w="2261" w:type="dxa"/>
            <w:tcBorders>
              <w:top w:val="single" w:sz="4" w:space="0" w:color="auto"/>
              <w:left w:val="single" w:sz="4" w:space="0" w:color="auto"/>
              <w:bottom w:val="single" w:sz="4" w:space="0" w:color="auto"/>
              <w:right w:val="single" w:sz="4" w:space="0" w:color="auto"/>
            </w:tcBorders>
            <w:hideMark/>
          </w:tcPr>
          <w:p w14:paraId="0B7CC7D2" w14:textId="77777777" w:rsidR="007C4F33" w:rsidRPr="007C4F33" w:rsidRDefault="007C4F33" w:rsidP="007C4F33">
            <w:pPr>
              <w:rPr>
                <w:rFonts w:asciiTheme="minorHAnsi" w:hAnsiTheme="minorHAnsi"/>
                <w:sz w:val="22"/>
                <w:szCs w:val="22"/>
              </w:rPr>
            </w:pPr>
            <w:r w:rsidRPr="007C4F33">
              <w:rPr>
                <w:rFonts w:asciiTheme="minorHAnsi" w:hAnsiTheme="minorHAnsi"/>
                <w:sz w:val="22"/>
                <w:szCs w:val="22"/>
              </w:rPr>
              <w:t>Bay of Plenty</w:t>
            </w:r>
          </w:p>
        </w:tc>
        <w:tc>
          <w:tcPr>
            <w:tcW w:w="2252" w:type="dxa"/>
            <w:tcBorders>
              <w:top w:val="single" w:sz="4" w:space="0" w:color="auto"/>
              <w:left w:val="single" w:sz="4" w:space="0" w:color="auto"/>
              <w:bottom w:val="single" w:sz="4" w:space="0" w:color="auto"/>
              <w:right w:val="single" w:sz="4" w:space="0" w:color="auto"/>
            </w:tcBorders>
            <w:vAlign w:val="bottom"/>
          </w:tcPr>
          <w:p w14:paraId="4D0A7C62" w14:textId="040BD9E5"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12</w:t>
            </w:r>
          </w:p>
        </w:tc>
        <w:tc>
          <w:tcPr>
            <w:tcW w:w="2250" w:type="dxa"/>
            <w:tcBorders>
              <w:top w:val="single" w:sz="4" w:space="0" w:color="auto"/>
              <w:left w:val="single" w:sz="4" w:space="0" w:color="auto"/>
              <w:bottom w:val="single" w:sz="4" w:space="0" w:color="auto"/>
              <w:right w:val="single" w:sz="4" w:space="0" w:color="auto"/>
            </w:tcBorders>
            <w:vAlign w:val="bottom"/>
          </w:tcPr>
          <w:p w14:paraId="2652A52D" w14:textId="4A15CDF0"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24187</w:t>
            </w:r>
          </w:p>
        </w:tc>
        <w:tc>
          <w:tcPr>
            <w:tcW w:w="2253" w:type="dxa"/>
            <w:tcBorders>
              <w:top w:val="single" w:sz="4" w:space="0" w:color="auto"/>
              <w:left w:val="single" w:sz="4" w:space="0" w:color="auto"/>
              <w:bottom w:val="single" w:sz="4" w:space="0" w:color="auto"/>
              <w:right w:val="single" w:sz="4" w:space="0" w:color="auto"/>
            </w:tcBorders>
            <w:vAlign w:val="bottom"/>
          </w:tcPr>
          <w:p w14:paraId="4B978690" w14:textId="418A3F50"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49.61</w:t>
            </w:r>
          </w:p>
        </w:tc>
      </w:tr>
      <w:tr w:rsidR="007C4F33" w:rsidRPr="00D12A0D" w14:paraId="5F302887" w14:textId="77777777" w:rsidTr="007C4F33">
        <w:tc>
          <w:tcPr>
            <w:tcW w:w="2261" w:type="dxa"/>
            <w:tcBorders>
              <w:top w:val="single" w:sz="4" w:space="0" w:color="auto"/>
              <w:left w:val="single" w:sz="4" w:space="0" w:color="auto"/>
              <w:bottom w:val="single" w:sz="4" w:space="0" w:color="auto"/>
              <w:right w:val="single" w:sz="4" w:space="0" w:color="auto"/>
            </w:tcBorders>
            <w:hideMark/>
          </w:tcPr>
          <w:p w14:paraId="47473963" w14:textId="77777777" w:rsidR="007C4F33" w:rsidRPr="007C4F33" w:rsidRDefault="007C4F33" w:rsidP="007C4F33">
            <w:pPr>
              <w:rPr>
                <w:rFonts w:asciiTheme="minorHAnsi" w:hAnsiTheme="minorHAnsi"/>
                <w:sz w:val="22"/>
                <w:szCs w:val="22"/>
              </w:rPr>
            </w:pPr>
            <w:r w:rsidRPr="007C4F33">
              <w:rPr>
                <w:rFonts w:asciiTheme="minorHAnsi" w:hAnsiTheme="minorHAnsi"/>
                <w:sz w:val="22"/>
                <w:szCs w:val="22"/>
              </w:rPr>
              <w:t>Canterbury</w:t>
            </w:r>
          </w:p>
        </w:tc>
        <w:tc>
          <w:tcPr>
            <w:tcW w:w="2252" w:type="dxa"/>
            <w:tcBorders>
              <w:top w:val="single" w:sz="4" w:space="0" w:color="auto"/>
              <w:left w:val="single" w:sz="4" w:space="0" w:color="auto"/>
              <w:bottom w:val="single" w:sz="4" w:space="0" w:color="auto"/>
              <w:right w:val="single" w:sz="4" w:space="0" w:color="auto"/>
            </w:tcBorders>
            <w:vAlign w:val="bottom"/>
          </w:tcPr>
          <w:p w14:paraId="12717272" w14:textId="55B2E3C8"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47</w:t>
            </w:r>
          </w:p>
        </w:tc>
        <w:tc>
          <w:tcPr>
            <w:tcW w:w="2250" w:type="dxa"/>
            <w:tcBorders>
              <w:top w:val="single" w:sz="4" w:space="0" w:color="auto"/>
              <w:left w:val="single" w:sz="4" w:space="0" w:color="auto"/>
              <w:bottom w:val="single" w:sz="4" w:space="0" w:color="auto"/>
              <w:right w:val="single" w:sz="4" w:space="0" w:color="auto"/>
            </w:tcBorders>
            <w:vAlign w:val="bottom"/>
          </w:tcPr>
          <w:p w14:paraId="25402CF9" w14:textId="6FABB2B5"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50260</w:t>
            </w:r>
          </w:p>
        </w:tc>
        <w:tc>
          <w:tcPr>
            <w:tcW w:w="2253" w:type="dxa"/>
            <w:tcBorders>
              <w:top w:val="single" w:sz="4" w:space="0" w:color="auto"/>
              <w:left w:val="single" w:sz="4" w:space="0" w:color="auto"/>
              <w:bottom w:val="single" w:sz="4" w:space="0" w:color="auto"/>
              <w:right w:val="single" w:sz="4" w:space="0" w:color="auto"/>
            </w:tcBorders>
            <w:vAlign w:val="bottom"/>
          </w:tcPr>
          <w:p w14:paraId="2A0A10B8" w14:textId="28F3B102"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93.51</w:t>
            </w:r>
          </w:p>
        </w:tc>
      </w:tr>
      <w:tr w:rsidR="007C4F33" w:rsidRPr="00D12A0D" w14:paraId="041264B0" w14:textId="77777777" w:rsidTr="007C4F33">
        <w:tc>
          <w:tcPr>
            <w:tcW w:w="2261" w:type="dxa"/>
            <w:tcBorders>
              <w:top w:val="single" w:sz="4" w:space="0" w:color="auto"/>
              <w:left w:val="single" w:sz="4" w:space="0" w:color="auto"/>
              <w:bottom w:val="single" w:sz="4" w:space="0" w:color="auto"/>
              <w:right w:val="single" w:sz="4" w:space="0" w:color="auto"/>
            </w:tcBorders>
            <w:hideMark/>
          </w:tcPr>
          <w:p w14:paraId="558F9A09" w14:textId="77777777" w:rsidR="007C4F33" w:rsidRPr="007C4F33" w:rsidRDefault="007C4F33" w:rsidP="007C4F33">
            <w:pPr>
              <w:rPr>
                <w:rFonts w:asciiTheme="minorHAnsi" w:hAnsiTheme="minorHAnsi"/>
                <w:sz w:val="22"/>
                <w:szCs w:val="22"/>
              </w:rPr>
            </w:pPr>
            <w:r w:rsidRPr="007C4F33">
              <w:rPr>
                <w:rFonts w:asciiTheme="minorHAnsi" w:hAnsiTheme="minorHAnsi"/>
                <w:sz w:val="22"/>
                <w:szCs w:val="22"/>
              </w:rPr>
              <w:t>Capital and Coast</w:t>
            </w:r>
          </w:p>
        </w:tc>
        <w:tc>
          <w:tcPr>
            <w:tcW w:w="2252" w:type="dxa"/>
            <w:tcBorders>
              <w:top w:val="single" w:sz="4" w:space="0" w:color="auto"/>
              <w:left w:val="single" w:sz="4" w:space="0" w:color="auto"/>
              <w:bottom w:val="single" w:sz="4" w:space="0" w:color="auto"/>
              <w:right w:val="single" w:sz="4" w:space="0" w:color="auto"/>
            </w:tcBorders>
            <w:vAlign w:val="bottom"/>
          </w:tcPr>
          <w:p w14:paraId="011520B1" w14:textId="4AD95555"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27</w:t>
            </w:r>
          </w:p>
        </w:tc>
        <w:tc>
          <w:tcPr>
            <w:tcW w:w="2250" w:type="dxa"/>
            <w:tcBorders>
              <w:top w:val="single" w:sz="4" w:space="0" w:color="auto"/>
              <w:left w:val="single" w:sz="4" w:space="0" w:color="auto"/>
              <w:bottom w:val="single" w:sz="4" w:space="0" w:color="auto"/>
              <w:right w:val="single" w:sz="4" w:space="0" w:color="auto"/>
            </w:tcBorders>
            <w:vAlign w:val="bottom"/>
          </w:tcPr>
          <w:p w14:paraId="2293DC7A" w14:textId="27DA58E5"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26186</w:t>
            </w:r>
          </w:p>
        </w:tc>
        <w:tc>
          <w:tcPr>
            <w:tcW w:w="2253" w:type="dxa"/>
            <w:tcBorders>
              <w:top w:val="single" w:sz="4" w:space="0" w:color="auto"/>
              <w:left w:val="single" w:sz="4" w:space="0" w:color="auto"/>
              <w:bottom w:val="single" w:sz="4" w:space="0" w:color="auto"/>
              <w:right w:val="single" w:sz="4" w:space="0" w:color="auto"/>
            </w:tcBorders>
            <w:vAlign w:val="bottom"/>
          </w:tcPr>
          <w:p w14:paraId="1D7DF450" w14:textId="7E910162"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103.11</w:t>
            </w:r>
          </w:p>
        </w:tc>
      </w:tr>
      <w:tr w:rsidR="007C4F33" w:rsidRPr="00D12A0D" w14:paraId="416E180C" w14:textId="77777777" w:rsidTr="007C4F33">
        <w:tc>
          <w:tcPr>
            <w:tcW w:w="2261" w:type="dxa"/>
            <w:tcBorders>
              <w:top w:val="single" w:sz="4" w:space="0" w:color="auto"/>
              <w:left w:val="single" w:sz="4" w:space="0" w:color="auto"/>
              <w:bottom w:val="single" w:sz="4" w:space="0" w:color="auto"/>
              <w:right w:val="single" w:sz="4" w:space="0" w:color="auto"/>
            </w:tcBorders>
            <w:hideMark/>
          </w:tcPr>
          <w:p w14:paraId="50AD77EF" w14:textId="77777777" w:rsidR="007C4F33" w:rsidRPr="007C4F33" w:rsidRDefault="007C4F33" w:rsidP="007C4F33">
            <w:pPr>
              <w:rPr>
                <w:rFonts w:asciiTheme="minorHAnsi" w:hAnsiTheme="minorHAnsi"/>
                <w:sz w:val="22"/>
                <w:szCs w:val="22"/>
              </w:rPr>
            </w:pPr>
            <w:r w:rsidRPr="007C4F33">
              <w:rPr>
                <w:rFonts w:asciiTheme="minorHAnsi" w:hAnsiTheme="minorHAnsi"/>
                <w:sz w:val="22"/>
                <w:szCs w:val="22"/>
              </w:rPr>
              <w:t>Counties Manukau</w:t>
            </w:r>
          </w:p>
        </w:tc>
        <w:tc>
          <w:tcPr>
            <w:tcW w:w="2252" w:type="dxa"/>
            <w:tcBorders>
              <w:top w:val="single" w:sz="4" w:space="0" w:color="auto"/>
              <w:left w:val="single" w:sz="4" w:space="0" w:color="auto"/>
              <w:bottom w:val="single" w:sz="4" w:space="0" w:color="auto"/>
              <w:right w:val="single" w:sz="4" w:space="0" w:color="auto"/>
            </w:tcBorders>
            <w:vAlign w:val="bottom"/>
          </w:tcPr>
          <w:p w14:paraId="29DEF2AA" w14:textId="0EAB8A61"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38</w:t>
            </w:r>
          </w:p>
        </w:tc>
        <w:tc>
          <w:tcPr>
            <w:tcW w:w="2250" w:type="dxa"/>
            <w:tcBorders>
              <w:top w:val="single" w:sz="4" w:space="0" w:color="auto"/>
              <w:left w:val="single" w:sz="4" w:space="0" w:color="auto"/>
              <w:bottom w:val="single" w:sz="4" w:space="0" w:color="auto"/>
              <w:right w:val="single" w:sz="4" w:space="0" w:color="auto"/>
            </w:tcBorders>
            <w:vAlign w:val="bottom"/>
          </w:tcPr>
          <w:p w14:paraId="69103607" w14:textId="1BEF15A6"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44603</w:t>
            </w:r>
          </w:p>
        </w:tc>
        <w:tc>
          <w:tcPr>
            <w:tcW w:w="2253" w:type="dxa"/>
            <w:tcBorders>
              <w:top w:val="single" w:sz="4" w:space="0" w:color="auto"/>
              <w:left w:val="single" w:sz="4" w:space="0" w:color="auto"/>
              <w:bottom w:val="single" w:sz="4" w:space="0" w:color="auto"/>
              <w:right w:val="single" w:sz="4" w:space="0" w:color="auto"/>
            </w:tcBorders>
            <w:vAlign w:val="bottom"/>
          </w:tcPr>
          <w:p w14:paraId="2DF59551" w14:textId="3E1E3D53"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85.20</w:t>
            </w:r>
          </w:p>
        </w:tc>
      </w:tr>
      <w:tr w:rsidR="007C4F33" w:rsidRPr="00D12A0D" w14:paraId="0EB49938" w14:textId="77777777" w:rsidTr="007C4F33">
        <w:tc>
          <w:tcPr>
            <w:tcW w:w="2261" w:type="dxa"/>
            <w:tcBorders>
              <w:top w:val="single" w:sz="4" w:space="0" w:color="auto"/>
              <w:left w:val="single" w:sz="4" w:space="0" w:color="auto"/>
              <w:bottom w:val="single" w:sz="4" w:space="0" w:color="auto"/>
              <w:right w:val="single" w:sz="4" w:space="0" w:color="auto"/>
            </w:tcBorders>
          </w:tcPr>
          <w:p w14:paraId="528A1D9E" w14:textId="6EDCECDD" w:rsidR="007C4F33" w:rsidRPr="007C4F33" w:rsidRDefault="007C4F33" w:rsidP="007C4F33">
            <w:pPr>
              <w:rPr>
                <w:rFonts w:asciiTheme="minorHAnsi" w:hAnsiTheme="minorHAnsi"/>
                <w:sz w:val="22"/>
                <w:szCs w:val="22"/>
              </w:rPr>
            </w:pPr>
            <w:r w:rsidRPr="007C4F33">
              <w:rPr>
                <w:rFonts w:asciiTheme="minorHAnsi" w:hAnsiTheme="minorHAnsi"/>
                <w:sz w:val="22"/>
                <w:szCs w:val="22"/>
              </w:rPr>
              <w:t>Hauora Tairāwhiti</w:t>
            </w:r>
          </w:p>
        </w:tc>
        <w:tc>
          <w:tcPr>
            <w:tcW w:w="2252" w:type="dxa"/>
            <w:tcBorders>
              <w:top w:val="single" w:sz="4" w:space="0" w:color="auto"/>
              <w:left w:val="single" w:sz="4" w:space="0" w:color="auto"/>
              <w:bottom w:val="single" w:sz="4" w:space="0" w:color="auto"/>
              <w:right w:val="single" w:sz="4" w:space="0" w:color="auto"/>
            </w:tcBorders>
            <w:vAlign w:val="bottom"/>
          </w:tcPr>
          <w:p w14:paraId="179F060D" w14:textId="65E85F50"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4</w:t>
            </w:r>
          </w:p>
        </w:tc>
        <w:tc>
          <w:tcPr>
            <w:tcW w:w="2250" w:type="dxa"/>
            <w:tcBorders>
              <w:top w:val="single" w:sz="4" w:space="0" w:color="auto"/>
              <w:left w:val="single" w:sz="4" w:space="0" w:color="auto"/>
              <w:bottom w:val="single" w:sz="4" w:space="0" w:color="auto"/>
              <w:right w:val="single" w:sz="4" w:space="0" w:color="auto"/>
            </w:tcBorders>
            <w:vAlign w:val="bottom"/>
          </w:tcPr>
          <w:p w14:paraId="4AB7D76C" w14:textId="29235F96"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4491</w:t>
            </w:r>
          </w:p>
        </w:tc>
        <w:tc>
          <w:tcPr>
            <w:tcW w:w="2253" w:type="dxa"/>
            <w:tcBorders>
              <w:top w:val="single" w:sz="4" w:space="0" w:color="auto"/>
              <w:left w:val="single" w:sz="4" w:space="0" w:color="auto"/>
              <w:bottom w:val="single" w:sz="4" w:space="0" w:color="auto"/>
              <w:right w:val="single" w:sz="4" w:space="0" w:color="auto"/>
            </w:tcBorders>
            <w:vAlign w:val="bottom"/>
          </w:tcPr>
          <w:p w14:paraId="09D014A4" w14:textId="4D16CD71"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89.07</w:t>
            </w:r>
          </w:p>
        </w:tc>
      </w:tr>
      <w:tr w:rsidR="007C4F33" w:rsidRPr="00D12A0D" w14:paraId="2B9838BA" w14:textId="77777777" w:rsidTr="007C4F33">
        <w:tc>
          <w:tcPr>
            <w:tcW w:w="2261" w:type="dxa"/>
            <w:tcBorders>
              <w:top w:val="single" w:sz="4" w:space="0" w:color="auto"/>
              <w:left w:val="single" w:sz="4" w:space="0" w:color="auto"/>
              <w:bottom w:val="single" w:sz="4" w:space="0" w:color="auto"/>
              <w:right w:val="single" w:sz="4" w:space="0" w:color="auto"/>
            </w:tcBorders>
            <w:hideMark/>
          </w:tcPr>
          <w:p w14:paraId="379D531C" w14:textId="77777777" w:rsidR="007C4F33" w:rsidRPr="007C4F33" w:rsidRDefault="007C4F33" w:rsidP="007C4F33">
            <w:pPr>
              <w:rPr>
                <w:rFonts w:asciiTheme="minorHAnsi" w:hAnsiTheme="minorHAnsi"/>
                <w:sz w:val="22"/>
                <w:szCs w:val="22"/>
              </w:rPr>
            </w:pPr>
            <w:r w:rsidRPr="007C4F33">
              <w:rPr>
                <w:rFonts w:asciiTheme="minorHAnsi" w:hAnsiTheme="minorHAnsi"/>
                <w:sz w:val="22"/>
                <w:szCs w:val="22"/>
              </w:rPr>
              <w:t>Hawke’s Bay</w:t>
            </w:r>
          </w:p>
        </w:tc>
        <w:tc>
          <w:tcPr>
            <w:tcW w:w="2252" w:type="dxa"/>
            <w:tcBorders>
              <w:top w:val="single" w:sz="4" w:space="0" w:color="auto"/>
              <w:left w:val="single" w:sz="4" w:space="0" w:color="auto"/>
              <w:bottom w:val="single" w:sz="4" w:space="0" w:color="auto"/>
              <w:right w:val="single" w:sz="4" w:space="0" w:color="auto"/>
            </w:tcBorders>
            <w:vAlign w:val="bottom"/>
          </w:tcPr>
          <w:p w14:paraId="298A2F57" w14:textId="1E9D631F"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9</w:t>
            </w:r>
          </w:p>
        </w:tc>
        <w:tc>
          <w:tcPr>
            <w:tcW w:w="2250" w:type="dxa"/>
            <w:tcBorders>
              <w:top w:val="single" w:sz="4" w:space="0" w:color="auto"/>
              <w:left w:val="single" w:sz="4" w:space="0" w:color="auto"/>
              <w:bottom w:val="single" w:sz="4" w:space="0" w:color="auto"/>
              <w:right w:val="single" w:sz="4" w:space="0" w:color="auto"/>
            </w:tcBorders>
            <w:vAlign w:val="bottom"/>
          </w:tcPr>
          <w:p w14:paraId="3546F21A" w14:textId="7ED43A9E"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15733</w:t>
            </w:r>
          </w:p>
        </w:tc>
        <w:tc>
          <w:tcPr>
            <w:tcW w:w="2253" w:type="dxa"/>
            <w:tcBorders>
              <w:top w:val="single" w:sz="4" w:space="0" w:color="auto"/>
              <w:left w:val="single" w:sz="4" w:space="0" w:color="auto"/>
              <w:bottom w:val="single" w:sz="4" w:space="0" w:color="auto"/>
              <w:right w:val="single" w:sz="4" w:space="0" w:color="auto"/>
            </w:tcBorders>
            <w:vAlign w:val="bottom"/>
          </w:tcPr>
          <w:p w14:paraId="7DC28C95" w14:textId="2ED9C60C"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57.20</w:t>
            </w:r>
          </w:p>
        </w:tc>
      </w:tr>
      <w:tr w:rsidR="007C4F33" w:rsidRPr="00D12A0D" w14:paraId="1EE33C97" w14:textId="77777777" w:rsidTr="007C4F33">
        <w:tc>
          <w:tcPr>
            <w:tcW w:w="2261" w:type="dxa"/>
            <w:tcBorders>
              <w:top w:val="single" w:sz="4" w:space="0" w:color="auto"/>
              <w:left w:val="single" w:sz="4" w:space="0" w:color="auto"/>
              <w:bottom w:val="single" w:sz="4" w:space="0" w:color="auto"/>
              <w:right w:val="single" w:sz="4" w:space="0" w:color="auto"/>
            </w:tcBorders>
            <w:hideMark/>
          </w:tcPr>
          <w:p w14:paraId="09C4F025" w14:textId="77777777" w:rsidR="007C4F33" w:rsidRPr="007C4F33" w:rsidRDefault="007C4F33" w:rsidP="007C4F33">
            <w:pPr>
              <w:rPr>
                <w:rFonts w:asciiTheme="minorHAnsi" w:hAnsiTheme="minorHAnsi"/>
                <w:sz w:val="22"/>
                <w:szCs w:val="22"/>
              </w:rPr>
            </w:pPr>
            <w:r w:rsidRPr="007C4F33">
              <w:rPr>
                <w:rFonts w:asciiTheme="minorHAnsi" w:hAnsiTheme="minorHAnsi"/>
                <w:sz w:val="22"/>
                <w:szCs w:val="22"/>
              </w:rPr>
              <w:t>Hutt Valley</w:t>
            </w:r>
          </w:p>
        </w:tc>
        <w:tc>
          <w:tcPr>
            <w:tcW w:w="2252" w:type="dxa"/>
            <w:tcBorders>
              <w:top w:val="single" w:sz="4" w:space="0" w:color="auto"/>
              <w:left w:val="single" w:sz="4" w:space="0" w:color="auto"/>
              <w:bottom w:val="single" w:sz="4" w:space="0" w:color="auto"/>
              <w:right w:val="single" w:sz="4" w:space="0" w:color="auto"/>
            </w:tcBorders>
            <w:vAlign w:val="bottom"/>
          </w:tcPr>
          <w:p w14:paraId="633D743C" w14:textId="16F054B0"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12</w:t>
            </w:r>
          </w:p>
        </w:tc>
        <w:tc>
          <w:tcPr>
            <w:tcW w:w="2250" w:type="dxa"/>
            <w:tcBorders>
              <w:top w:val="single" w:sz="4" w:space="0" w:color="auto"/>
              <w:left w:val="single" w:sz="4" w:space="0" w:color="auto"/>
              <w:bottom w:val="single" w:sz="4" w:space="0" w:color="auto"/>
              <w:right w:val="single" w:sz="4" w:space="0" w:color="auto"/>
            </w:tcBorders>
            <w:vAlign w:val="bottom"/>
          </w:tcPr>
          <w:p w14:paraId="47A115DC" w14:textId="738F7D91"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15128</w:t>
            </w:r>
          </w:p>
        </w:tc>
        <w:tc>
          <w:tcPr>
            <w:tcW w:w="2253" w:type="dxa"/>
            <w:tcBorders>
              <w:top w:val="single" w:sz="4" w:space="0" w:color="auto"/>
              <w:left w:val="single" w:sz="4" w:space="0" w:color="auto"/>
              <w:bottom w:val="single" w:sz="4" w:space="0" w:color="auto"/>
              <w:right w:val="single" w:sz="4" w:space="0" w:color="auto"/>
            </w:tcBorders>
            <w:vAlign w:val="bottom"/>
          </w:tcPr>
          <w:p w14:paraId="09D080A0" w14:textId="62D12141"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79.32</w:t>
            </w:r>
          </w:p>
        </w:tc>
      </w:tr>
      <w:tr w:rsidR="007C4F33" w:rsidRPr="00D12A0D" w14:paraId="73BA89DC" w14:textId="77777777" w:rsidTr="007C4F33">
        <w:tc>
          <w:tcPr>
            <w:tcW w:w="2261" w:type="dxa"/>
            <w:tcBorders>
              <w:top w:val="single" w:sz="4" w:space="0" w:color="auto"/>
              <w:left w:val="single" w:sz="4" w:space="0" w:color="auto"/>
              <w:bottom w:val="single" w:sz="4" w:space="0" w:color="auto"/>
              <w:right w:val="single" w:sz="4" w:space="0" w:color="auto"/>
            </w:tcBorders>
            <w:hideMark/>
          </w:tcPr>
          <w:p w14:paraId="0E9824C1" w14:textId="77777777" w:rsidR="007C4F33" w:rsidRPr="007C4F33" w:rsidRDefault="007C4F33" w:rsidP="007C4F33">
            <w:pPr>
              <w:rPr>
                <w:rFonts w:asciiTheme="minorHAnsi" w:hAnsiTheme="minorHAnsi"/>
                <w:sz w:val="22"/>
                <w:szCs w:val="22"/>
              </w:rPr>
            </w:pPr>
            <w:r w:rsidRPr="007C4F33">
              <w:rPr>
                <w:rFonts w:asciiTheme="minorHAnsi" w:hAnsiTheme="minorHAnsi"/>
                <w:sz w:val="22"/>
                <w:szCs w:val="22"/>
              </w:rPr>
              <w:t>Lakes</w:t>
            </w:r>
          </w:p>
        </w:tc>
        <w:tc>
          <w:tcPr>
            <w:tcW w:w="2252" w:type="dxa"/>
            <w:tcBorders>
              <w:top w:val="single" w:sz="4" w:space="0" w:color="auto"/>
              <w:left w:val="single" w:sz="4" w:space="0" w:color="auto"/>
              <w:bottom w:val="single" w:sz="4" w:space="0" w:color="auto"/>
              <w:right w:val="single" w:sz="4" w:space="0" w:color="auto"/>
            </w:tcBorders>
            <w:vAlign w:val="bottom"/>
          </w:tcPr>
          <w:p w14:paraId="7DC6C6EB" w14:textId="1CED8ECD"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5</w:t>
            </w:r>
          </w:p>
        </w:tc>
        <w:tc>
          <w:tcPr>
            <w:tcW w:w="2250" w:type="dxa"/>
            <w:tcBorders>
              <w:top w:val="single" w:sz="4" w:space="0" w:color="auto"/>
              <w:left w:val="single" w:sz="4" w:space="0" w:color="auto"/>
              <w:bottom w:val="single" w:sz="4" w:space="0" w:color="auto"/>
              <w:right w:val="single" w:sz="4" w:space="0" w:color="auto"/>
            </w:tcBorders>
            <w:vAlign w:val="bottom"/>
          </w:tcPr>
          <w:p w14:paraId="4DCA1829" w14:textId="0BF5A4F1"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10492</w:t>
            </w:r>
          </w:p>
        </w:tc>
        <w:tc>
          <w:tcPr>
            <w:tcW w:w="2253" w:type="dxa"/>
            <w:tcBorders>
              <w:top w:val="single" w:sz="4" w:space="0" w:color="auto"/>
              <w:left w:val="single" w:sz="4" w:space="0" w:color="auto"/>
              <w:bottom w:val="single" w:sz="4" w:space="0" w:color="auto"/>
              <w:right w:val="single" w:sz="4" w:space="0" w:color="auto"/>
            </w:tcBorders>
            <w:vAlign w:val="bottom"/>
          </w:tcPr>
          <w:p w14:paraId="5D0DC139" w14:textId="69C55B5C"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47.66</w:t>
            </w:r>
          </w:p>
        </w:tc>
      </w:tr>
      <w:tr w:rsidR="007C4F33" w:rsidRPr="00D12A0D" w14:paraId="78F4066E" w14:textId="77777777" w:rsidTr="007C4F33">
        <w:tc>
          <w:tcPr>
            <w:tcW w:w="2261" w:type="dxa"/>
            <w:tcBorders>
              <w:top w:val="single" w:sz="4" w:space="0" w:color="auto"/>
              <w:left w:val="single" w:sz="4" w:space="0" w:color="auto"/>
              <w:bottom w:val="single" w:sz="4" w:space="0" w:color="auto"/>
              <w:right w:val="single" w:sz="4" w:space="0" w:color="auto"/>
            </w:tcBorders>
            <w:hideMark/>
          </w:tcPr>
          <w:p w14:paraId="5647BB2D" w14:textId="77777777" w:rsidR="007C4F33" w:rsidRPr="007C4F33" w:rsidRDefault="007C4F33" w:rsidP="007C4F33">
            <w:pPr>
              <w:rPr>
                <w:rFonts w:asciiTheme="minorHAnsi" w:hAnsiTheme="minorHAnsi"/>
                <w:sz w:val="22"/>
                <w:szCs w:val="22"/>
              </w:rPr>
            </w:pPr>
            <w:r w:rsidRPr="007C4F33">
              <w:rPr>
                <w:rFonts w:asciiTheme="minorHAnsi" w:hAnsiTheme="minorHAnsi"/>
                <w:sz w:val="22"/>
                <w:szCs w:val="22"/>
              </w:rPr>
              <w:t>MidCentral</w:t>
            </w:r>
          </w:p>
        </w:tc>
        <w:tc>
          <w:tcPr>
            <w:tcW w:w="2252" w:type="dxa"/>
            <w:tcBorders>
              <w:top w:val="single" w:sz="4" w:space="0" w:color="auto"/>
              <w:left w:val="single" w:sz="4" w:space="0" w:color="auto"/>
              <w:bottom w:val="single" w:sz="4" w:space="0" w:color="auto"/>
              <w:right w:val="single" w:sz="4" w:space="0" w:color="auto"/>
            </w:tcBorders>
            <w:vAlign w:val="bottom"/>
          </w:tcPr>
          <w:p w14:paraId="18E489BD" w14:textId="608BFE0D"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21</w:t>
            </w:r>
          </w:p>
        </w:tc>
        <w:tc>
          <w:tcPr>
            <w:tcW w:w="2250" w:type="dxa"/>
            <w:tcBorders>
              <w:top w:val="single" w:sz="4" w:space="0" w:color="auto"/>
              <w:left w:val="single" w:sz="4" w:space="0" w:color="auto"/>
              <w:bottom w:val="single" w:sz="4" w:space="0" w:color="auto"/>
              <w:right w:val="single" w:sz="4" w:space="0" w:color="auto"/>
            </w:tcBorders>
            <w:vAlign w:val="bottom"/>
          </w:tcPr>
          <w:p w14:paraId="1284C9B7" w14:textId="7B51896C" w:rsidR="007C4F33" w:rsidRPr="007C4F33" w:rsidRDefault="0078382D" w:rsidP="007C4F33">
            <w:pPr>
              <w:jc w:val="center"/>
              <w:rPr>
                <w:rFonts w:asciiTheme="minorHAnsi" w:hAnsiTheme="minorHAnsi"/>
                <w:color w:val="000000"/>
                <w:sz w:val="22"/>
                <w:szCs w:val="22"/>
              </w:rPr>
            </w:pPr>
            <w:r>
              <w:rPr>
                <w:rFonts w:asciiTheme="minorHAnsi" w:hAnsiTheme="minorHAnsi" w:cs="Arial"/>
                <w:color w:val="000000"/>
                <w:sz w:val="22"/>
                <w:szCs w:val="22"/>
              </w:rPr>
              <w:t>13902</w:t>
            </w:r>
          </w:p>
        </w:tc>
        <w:tc>
          <w:tcPr>
            <w:tcW w:w="2253" w:type="dxa"/>
            <w:tcBorders>
              <w:top w:val="single" w:sz="4" w:space="0" w:color="auto"/>
              <w:left w:val="single" w:sz="4" w:space="0" w:color="auto"/>
              <w:bottom w:val="single" w:sz="4" w:space="0" w:color="auto"/>
              <w:right w:val="single" w:sz="4" w:space="0" w:color="auto"/>
            </w:tcBorders>
            <w:vAlign w:val="bottom"/>
          </w:tcPr>
          <w:p w14:paraId="0B3B31D9" w14:textId="21C6B0CC" w:rsidR="007C4F33" w:rsidRPr="007C4F33" w:rsidRDefault="0078382D" w:rsidP="007C4F33">
            <w:pPr>
              <w:jc w:val="center"/>
              <w:rPr>
                <w:rFonts w:asciiTheme="minorHAnsi" w:hAnsiTheme="minorHAnsi"/>
                <w:color w:val="000000"/>
                <w:sz w:val="22"/>
                <w:szCs w:val="22"/>
              </w:rPr>
            </w:pPr>
            <w:r>
              <w:rPr>
                <w:rFonts w:asciiTheme="minorHAnsi" w:hAnsiTheme="minorHAnsi" w:cs="Arial"/>
                <w:color w:val="000000"/>
                <w:sz w:val="22"/>
                <w:szCs w:val="22"/>
              </w:rPr>
              <w:t>151.06</w:t>
            </w:r>
          </w:p>
        </w:tc>
      </w:tr>
      <w:tr w:rsidR="007C4F33" w:rsidRPr="00D12A0D" w14:paraId="77271EF0" w14:textId="77777777" w:rsidTr="007C4F33">
        <w:tc>
          <w:tcPr>
            <w:tcW w:w="2261" w:type="dxa"/>
            <w:tcBorders>
              <w:top w:val="single" w:sz="4" w:space="0" w:color="auto"/>
              <w:left w:val="single" w:sz="4" w:space="0" w:color="auto"/>
              <w:bottom w:val="single" w:sz="4" w:space="0" w:color="auto"/>
              <w:right w:val="single" w:sz="4" w:space="0" w:color="auto"/>
            </w:tcBorders>
            <w:hideMark/>
          </w:tcPr>
          <w:p w14:paraId="44A7976E" w14:textId="77777777" w:rsidR="007C4F33" w:rsidRPr="007C4F33" w:rsidRDefault="007C4F33" w:rsidP="007C4F33">
            <w:pPr>
              <w:rPr>
                <w:rFonts w:asciiTheme="minorHAnsi" w:hAnsiTheme="minorHAnsi"/>
                <w:sz w:val="22"/>
                <w:szCs w:val="22"/>
              </w:rPr>
            </w:pPr>
            <w:r w:rsidRPr="007C4F33">
              <w:rPr>
                <w:rFonts w:asciiTheme="minorHAnsi" w:hAnsiTheme="minorHAnsi"/>
                <w:sz w:val="22"/>
                <w:szCs w:val="22"/>
              </w:rPr>
              <w:t>Nelson Marlborough</w:t>
            </w:r>
          </w:p>
        </w:tc>
        <w:tc>
          <w:tcPr>
            <w:tcW w:w="2252" w:type="dxa"/>
            <w:tcBorders>
              <w:top w:val="single" w:sz="4" w:space="0" w:color="auto"/>
              <w:left w:val="single" w:sz="4" w:space="0" w:color="auto"/>
              <w:bottom w:val="single" w:sz="4" w:space="0" w:color="auto"/>
              <w:right w:val="single" w:sz="4" w:space="0" w:color="auto"/>
            </w:tcBorders>
            <w:vAlign w:val="bottom"/>
          </w:tcPr>
          <w:p w14:paraId="6C693F55" w14:textId="759E1FAC"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11</w:t>
            </w:r>
          </w:p>
        </w:tc>
        <w:tc>
          <w:tcPr>
            <w:tcW w:w="2250" w:type="dxa"/>
            <w:tcBorders>
              <w:top w:val="single" w:sz="4" w:space="0" w:color="auto"/>
              <w:left w:val="single" w:sz="4" w:space="0" w:color="auto"/>
              <w:bottom w:val="single" w:sz="4" w:space="0" w:color="auto"/>
              <w:right w:val="single" w:sz="4" w:space="0" w:color="auto"/>
            </w:tcBorders>
            <w:vAlign w:val="bottom"/>
          </w:tcPr>
          <w:p w14:paraId="1CAFA10F" w14:textId="0D464295"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11471</w:t>
            </w:r>
          </w:p>
        </w:tc>
        <w:tc>
          <w:tcPr>
            <w:tcW w:w="2253" w:type="dxa"/>
            <w:tcBorders>
              <w:top w:val="single" w:sz="4" w:space="0" w:color="auto"/>
              <w:left w:val="single" w:sz="4" w:space="0" w:color="auto"/>
              <w:bottom w:val="single" w:sz="4" w:space="0" w:color="auto"/>
              <w:right w:val="single" w:sz="4" w:space="0" w:color="auto"/>
            </w:tcBorders>
            <w:vAlign w:val="bottom"/>
          </w:tcPr>
          <w:p w14:paraId="18C2759F" w14:textId="5B7513D0"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95.89</w:t>
            </w:r>
          </w:p>
        </w:tc>
      </w:tr>
      <w:tr w:rsidR="007C4F33" w:rsidRPr="00D12A0D" w14:paraId="2156E255" w14:textId="77777777" w:rsidTr="007C4F33">
        <w:tc>
          <w:tcPr>
            <w:tcW w:w="2261" w:type="dxa"/>
            <w:tcBorders>
              <w:top w:val="single" w:sz="4" w:space="0" w:color="auto"/>
              <w:left w:val="single" w:sz="4" w:space="0" w:color="auto"/>
              <w:bottom w:val="single" w:sz="4" w:space="0" w:color="auto"/>
              <w:right w:val="single" w:sz="4" w:space="0" w:color="auto"/>
            </w:tcBorders>
            <w:hideMark/>
          </w:tcPr>
          <w:p w14:paraId="32DAD6A6" w14:textId="77777777" w:rsidR="007C4F33" w:rsidRPr="007C4F33" w:rsidRDefault="007C4F33" w:rsidP="007C4F33">
            <w:pPr>
              <w:rPr>
                <w:rFonts w:asciiTheme="minorHAnsi" w:hAnsiTheme="minorHAnsi"/>
                <w:sz w:val="22"/>
                <w:szCs w:val="22"/>
              </w:rPr>
            </w:pPr>
            <w:r w:rsidRPr="007C4F33">
              <w:rPr>
                <w:rFonts w:asciiTheme="minorHAnsi" w:hAnsiTheme="minorHAnsi"/>
                <w:sz w:val="22"/>
                <w:szCs w:val="22"/>
              </w:rPr>
              <w:t>Northland</w:t>
            </w:r>
          </w:p>
        </w:tc>
        <w:tc>
          <w:tcPr>
            <w:tcW w:w="2252" w:type="dxa"/>
            <w:tcBorders>
              <w:top w:val="single" w:sz="4" w:space="0" w:color="auto"/>
              <w:left w:val="single" w:sz="4" w:space="0" w:color="auto"/>
              <w:bottom w:val="single" w:sz="4" w:space="0" w:color="auto"/>
              <w:right w:val="single" w:sz="4" w:space="0" w:color="auto"/>
            </w:tcBorders>
            <w:vAlign w:val="bottom"/>
          </w:tcPr>
          <w:p w14:paraId="106962B8" w14:textId="4E31F95A"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20</w:t>
            </w:r>
          </w:p>
        </w:tc>
        <w:tc>
          <w:tcPr>
            <w:tcW w:w="2250" w:type="dxa"/>
            <w:tcBorders>
              <w:top w:val="single" w:sz="4" w:space="0" w:color="auto"/>
              <w:left w:val="single" w:sz="4" w:space="0" w:color="auto"/>
              <w:bottom w:val="single" w:sz="4" w:space="0" w:color="auto"/>
              <w:right w:val="single" w:sz="4" w:space="0" w:color="auto"/>
            </w:tcBorders>
            <w:vAlign w:val="bottom"/>
          </w:tcPr>
          <w:p w14:paraId="35FCDA1A" w14:textId="3585E98E"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18904</w:t>
            </w:r>
          </w:p>
        </w:tc>
        <w:tc>
          <w:tcPr>
            <w:tcW w:w="2253" w:type="dxa"/>
            <w:tcBorders>
              <w:top w:val="single" w:sz="4" w:space="0" w:color="auto"/>
              <w:left w:val="single" w:sz="4" w:space="0" w:color="auto"/>
              <w:bottom w:val="single" w:sz="4" w:space="0" w:color="auto"/>
              <w:right w:val="single" w:sz="4" w:space="0" w:color="auto"/>
            </w:tcBorders>
            <w:vAlign w:val="bottom"/>
          </w:tcPr>
          <w:p w14:paraId="4047E632" w14:textId="6D5DC200"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105.80</w:t>
            </w:r>
          </w:p>
        </w:tc>
      </w:tr>
      <w:tr w:rsidR="007C4F33" w:rsidRPr="00D12A0D" w14:paraId="45D2D184" w14:textId="77777777" w:rsidTr="007C4F33">
        <w:tc>
          <w:tcPr>
            <w:tcW w:w="2261" w:type="dxa"/>
            <w:tcBorders>
              <w:top w:val="single" w:sz="4" w:space="0" w:color="auto"/>
              <w:left w:val="single" w:sz="4" w:space="0" w:color="auto"/>
              <w:bottom w:val="single" w:sz="4" w:space="0" w:color="auto"/>
              <w:right w:val="single" w:sz="4" w:space="0" w:color="auto"/>
            </w:tcBorders>
            <w:hideMark/>
          </w:tcPr>
          <w:p w14:paraId="1D35AC60" w14:textId="77777777" w:rsidR="007C4F33" w:rsidRPr="007C4F33" w:rsidRDefault="007C4F33" w:rsidP="007C4F33">
            <w:pPr>
              <w:rPr>
                <w:rFonts w:asciiTheme="minorHAnsi" w:hAnsiTheme="minorHAnsi"/>
                <w:sz w:val="22"/>
                <w:szCs w:val="22"/>
              </w:rPr>
            </w:pPr>
            <w:r w:rsidRPr="007C4F33">
              <w:rPr>
                <w:rFonts w:asciiTheme="minorHAnsi" w:hAnsiTheme="minorHAnsi"/>
                <w:sz w:val="22"/>
                <w:szCs w:val="22"/>
              </w:rPr>
              <w:t>South Canterbury</w:t>
            </w:r>
          </w:p>
        </w:tc>
        <w:tc>
          <w:tcPr>
            <w:tcW w:w="2252" w:type="dxa"/>
            <w:tcBorders>
              <w:top w:val="single" w:sz="4" w:space="0" w:color="auto"/>
              <w:left w:val="single" w:sz="4" w:space="0" w:color="auto"/>
              <w:bottom w:val="single" w:sz="4" w:space="0" w:color="auto"/>
              <w:right w:val="single" w:sz="4" w:space="0" w:color="auto"/>
            </w:tcBorders>
            <w:vAlign w:val="bottom"/>
          </w:tcPr>
          <w:p w14:paraId="2F229C05" w14:textId="6E37D2E0"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7</w:t>
            </w:r>
          </w:p>
        </w:tc>
        <w:tc>
          <w:tcPr>
            <w:tcW w:w="2250" w:type="dxa"/>
            <w:tcBorders>
              <w:top w:val="single" w:sz="4" w:space="0" w:color="auto"/>
              <w:left w:val="single" w:sz="4" w:space="0" w:color="auto"/>
              <w:bottom w:val="single" w:sz="4" w:space="0" w:color="auto"/>
              <w:right w:val="single" w:sz="4" w:space="0" w:color="auto"/>
            </w:tcBorders>
            <w:vAlign w:val="bottom"/>
          </w:tcPr>
          <w:p w14:paraId="5DC827AF" w14:textId="40E87CE6"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5310</w:t>
            </w:r>
          </w:p>
        </w:tc>
        <w:tc>
          <w:tcPr>
            <w:tcW w:w="2253" w:type="dxa"/>
            <w:tcBorders>
              <w:top w:val="single" w:sz="4" w:space="0" w:color="auto"/>
              <w:left w:val="single" w:sz="4" w:space="0" w:color="auto"/>
              <w:bottom w:val="single" w:sz="4" w:space="0" w:color="auto"/>
              <w:right w:val="single" w:sz="4" w:space="0" w:color="auto"/>
            </w:tcBorders>
            <w:vAlign w:val="bottom"/>
          </w:tcPr>
          <w:p w14:paraId="62A7436F" w14:textId="320C69FC"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131.83</w:t>
            </w:r>
          </w:p>
        </w:tc>
      </w:tr>
      <w:tr w:rsidR="007C4F33" w:rsidRPr="00D12A0D" w14:paraId="4C5E8AF2" w14:textId="77777777" w:rsidTr="007C4F33">
        <w:tc>
          <w:tcPr>
            <w:tcW w:w="2261" w:type="dxa"/>
            <w:tcBorders>
              <w:top w:val="single" w:sz="4" w:space="0" w:color="auto"/>
              <w:left w:val="single" w:sz="4" w:space="0" w:color="auto"/>
              <w:bottom w:val="single" w:sz="4" w:space="0" w:color="auto"/>
              <w:right w:val="single" w:sz="4" w:space="0" w:color="auto"/>
            </w:tcBorders>
            <w:hideMark/>
          </w:tcPr>
          <w:p w14:paraId="43BC86C6" w14:textId="77777777" w:rsidR="007C4F33" w:rsidRPr="007C4F33" w:rsidRDefault="007C4F33" w:rsidP="007C4F33">
            <w:pPr>
              <w:rPr>
                <w:rFonts w:asciiTheme="minorHAnsi" w:hAnsiTheme="minorHAnsi"/>
                <w:sz w:val="22"/>
                <w:szCs w:val="22"/>
              </w:rPr>
            </w:pPr>
            <w:r w:rsidRPr="007C4F33">
              <w:rPr>
                <w:rFonts w:asciiTheme="minorHAnsi" w:hAnsiTheme="minorHAnsi"/>
                <w:sz w:val="22"/>
                <w:szCs w:val="22"/>
              </w:rPr>
              <w:t>Southern</w:t>
            </w:r>
          </w:p>
        </w:tc>
        <w:tc>
          <w:tcPr>
            <w:tcW w:w="2252" w:type="dxa"/>
            <w:tcBorders>
              <w:top w:val="single" w:sz="4" w:space="0" w:color="auto"/>
              <w:left w:val="single" w:sz="4" w:space="0" w:color="auto"/>
              <w:bottom w:val="single" w:sz="4" w:space="0" w:color="auto"/>
              <w:right w:val="single" w:sz="4" w:space="0" w:color="auto"/>
            </w:tcBorders>
            <w:vAlign w:val="bottom"/>
          </w:tcPr>
          <w:p w14:paraId="328B4142" w14:textId="6EA1CBC4"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39</w:t>
            </w:r>
          </w:p>
        </w:tc>
        <w:tc>
          <w:tcPr>
            <w:tcW w:w="2250" w:type="dxa"/>
            <w:tcBorders>
              <w:top w:val="single" w:sz="4" w:space="0" w:color="auto"/>
              <w:left w:val="single" w:sz="4" w:space="0" w:color="auto"/>
              <w:bottom w:val="single" w:sz="4" w:space="0" w:color="auto"/>
              <w:right w:val="single" w:sz="4" w:space="0" w:color="auto"/>
            </w:tcBorders>
            <w:vAlign w:val="bottom"/>
          </w:tcPr>
          <w:p w14:paraId="235346F6" w14:textId="214AA7A4"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23290</w:t>
            </w:r>
          </w:p>
        </w:tc>
        <w:tc>
          <w:tcPr>
            <w:tcW w:w="2253" w:type="dxa"/>
            <w:tcBorders>
              <w:top w:val="single" w:sz="4" w:space="0" w:color="auto"/>
              <w:left w:val="single" w:sz="4" w:space="0" w:color="auto"/>
              <w:bottom w:val="single" w:sz="4" w:space="0" w:color="auto"/>
              <w:right w:val="single" w:sz="4" w:space="0" w:color="auto"/>
            </w:tcBorders>
            <w:vAlign w:val="bottom"/>
          </w:tcPr>
          <w:p w14:paraId="4CD617DE" w14:textId="480DEFCE"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167.45</w:t>
            </w:r>
          </w:p>
        </w:tc>
      </w:tr>
      <w:tr w:rsidR="007C4F33" w:rsidRPr="00D12A0D" w14:paraId="02BD88B2" w14:textId="77777777" w:rsidTr="007C4F33">
        <w:tc>
          <w:tcPr>
            <w:tcW w:w="2261" w:type="dxa"/>
            <w:tcBorders>
              <w:top w:val="single" w:sz="4" w:space="0" w:color="auto"/>
              <w:left w:val="single" w:sz="4" w:space="0" w:color="auto"/>
              <w:bottom w:val="single" w:sz="4" w:space="0" w:color="auto"/>
              <w:right w:val="single" w:sz="4" w:space="0" w:color="auto"/>
            </w:tcBorders>
            <w:hideMark/>
          </w:tcPr>
          <w:p w14:paraId="11DCC356" w14:textId="77777777" w:rsidR="007C4F33" w:rsidRPr="007C4F33" w:rsidRDefault="007C4F33" w:rsidP="007C4F33">
            <w:pPr>
              <w:rPr>
                <w:rFonts w:asciiTheme="minorHAnsi" w:hAnsiTheme="minorHAnsi"/>
                <w:sz w:val="22"/>
                <w:szCs w:val="22"/>
              </w:rPr>
            </w:pPr>
            <w:r w:rsidRPr="007C4F33">
              <w:rPr>
                <w:rFonts w:asciiTheme="minorHAnsi" w:hAnsiTheme="minorHAnsi"/>
                <w:sz w:val="22"/>
                <w:szCs w:val="22"/>
              </w:rPr>
              <w:t>Taranaki</w:t>
            </w:r>
          </w:p>
        </w:tc>
        <w:tc>
          <w:tcPr>
            <w:tcW w:w="2252" w:type="dxa"/>
            <w:tcBorders>
              <w:top w:val="single" w:sz="4" w:space="0" w:color="auto"/>
              <w:left w:val="single" w:sz="4" w:space="0" w:color="auto"/>
              <w:bottom w:val="single" w:sz="4" w:space="0" w:color="auto"/>
              <w:right w:val="single" w:sz="4" w:space="0" w:color="auto"/>
            </w:tcBorders>
            <w:vAlign w:val="bottom"/>
          </w:tcPr>
          <w:p w14:paraId="5D3E6AF2" w14:textId="501309B9"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11</w:t>
            </w:r>
          </w:p>
        </w:tc>
        <w:tc>
          <w:tcPr>
            <w:tcW w:w="2250" w:type="dxa"/>
            <w:tcBorders>
              <w:top w:val="single" w:sz="4" w:space="0" w:color="auto"/>
              <w:left w:val="single" w:sz="4" w:space="0" w:color="auto"/>
              <w:bottom w:val="single" w:sz="4" w:space="0" w:color="auto"/>
              <w:right w:val="single" w:sz="4" w:space="0" w:color="auto"/>
            </w:tcBorders>
            <w:vAlign w:val="bottom"/>
          </w:tcPr>
          <w:p w14:paraId="3E99A24D" w14:textId="59B598A3"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12113</w:t>
            </w:r>
          </w:p>
        </w:tc>
        <w:tc>
          <w:tcPr>
            <w:tcW w:w="2253" w:type="dxa"/>
            <w:tcBorders>
              <w:top w:val="single" w:sz="4" w:space="0" w:color="auto"/>
              <w:left w:val="single" w:sz="4" w:space="0" w:color="auto"/>
              <w:bottom w:val="single" w:sz="4" w:space="0" w:color="auto"/>
              <w:right w:val="single" w:sz="4" w:space="0" w:color="auto"/>
            </w:tcBorders>
            <w:vAlign w:val="bottom"/>
          </w:tcPr>
          <w:p w14:paraId="26F43C64" w14:textId="26AD8726"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90.81</w:t>
            </w:r>
          </w:p>
        </w:tc>
      </w:tr>
      <w:tr w:rsidR="007C4F33" w:rsidRPr="00D12A0D" w14:paraId="64DCCB0E" w14:textId="77777777" w:rsidTr="007C4F33">
        <w:tc>
          <w:tcPr>
            <w:tcW w:w="2261" w:type="dxa"/>
            <w:tcBorders>
              <w:top w:val="single" w:sz="4" w:space="0" w:color="auto"/>
              <w:left w:val="single" w:sz="4" w:space="0" w:color="auto"/>
              <w:bottom w:val="single" w:sz="4" w:space="0" w:color="auto"/>
              <w:right w:val="single" w:sz="4" w:space="0" w:color="auto"/>
            </w:tcBorders>
            <w:hideMark/>
          </w:tcPr>
          <w:p w14:paraId="3C31C944" w14:textId="77777777" w:rsidR="007C4F33" w:rsidRPr="007C4F33" w:rsidRDefault="007C4F33" w:rsidP="007C4F33">
            <w:pPr>
              <w:rPr>
                <w:rFonts w:asciiTheme="minorHAnsi" w:hAnsiTheme="minorHAnsi"/>
                <w:sz w:val="22"/>
                <w:szCs w:val="22"/>
              </w:rPr>
            </w:pPr>
            <w:r w:rsidRPr="007C4F33">
              <w:rPr>
                <w:rFonts w:asciiTheme="minorHAnsi" w:hAnsiTheme="minorHAnsi"/>
                <w:sz w:val="22"/>
                <w:szCs w:val="22"/>
              </w:rPr>
              <w:t>Waikato</w:t>
            </w:r>
          </w:p>
        </w:tc>
        <w:tc>
          <w:tcPr>
            <w:tcW w:w="2252" w:type="dxa"/>
            <w:tcBorders>
              <w:top w:val="single" w:sz="4" w:space="0" w:color="auto"/>
              <w:left w:val="single" w:sz="4" w:space="0" w:color="auto"/>
              <w:bottom w:val="single" w:sz="4" w:space="0" w:color="auto"/>
              <w:right w:val="single" w:sz="4" w:space="0" w:color="auto"/>
            </w:tcBorders>
            <w:vAlign w:val="bottom"/>
          </w:tcPr>
          <w:p w14:paraId="5D02FCD0" w14:textId="0568F13A"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20</w:t>
            </w:r>
          </w:p>
        </w:tc>
        <w:tc>
          <w:tcPr>
            <w:tcW w:w="2250" w:type="dxa"/>
            <w:tcBorders>
              <w:top w:val="single" w:sz="4" w:space="0" w:color="auto"/>
              <w:left w:val="single" w:sz="4" w:space="0" w:color="auto"/>
              <w:bottom w:val="single" w:sz="4" w:space="0" w:color="auto"/>
              <w:right w:val="single" w:sz="4" w:space="0" w:color="auto"/>
            </w:tcBorders>
            <w:vAlign w:val="bottom"/>
          </w:tcPr>
          <w:p w14:paraId="56A99080" w14:textId="6A267FCA"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44287</w:t>
            </w:r>
          </w:p>
        </w:tc>
        <w:tc>
          <w:tcPr>
            <w:tcW w:w="2253" w:type="dxa"/>
            <w:tcBorders>
              <w:top w:val="single" w:sz="4" w:space="0" w:color="auto"/>
              <w:left w:val="single" w:sz="4" w:space="0" w:color="auto"/>
              <w:bottom w:val="single" w:sz="4" w:space="0" w:color="auto"/>
              <w:right w:val="single" w:sz="4" w:space="0" w:color="auto"/>
            </w:tcBorders>
            <w:vAlign w:val="bottom"/>
          </w:tcPr>
          <w:p w14:paraId="42196FA4" w14:textId="6201510E"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45.16</w:t>
            </w:r>
          </w:p>
        </w:tc>
      </w:tr>
      <w:tr w:rsidR="007C4F33" w:rsidRPr="00D12A0D" w14:paraId="777BC8C6" w14:textId="77777777" w:rsidTr="007C4F33">
        <w:tc>
          <w:tcPr>
            <w:tcW w:w="2261" w:type="dxa"/>
            <w:tcBorders>
              <w:top w:val="single" w:sz="4" w:space="0" w:color="auto"/>
              <w:left w:val="single" w:sz="4" w:space="0" w:color="auto"/>
              <w:bottom w:val="single" w:sz="4" w:space="0" w:color="auto"/>
              <w:right w:val="single" w:sz="4" w:space="0" w:color="auto"/>
            </w:tcBorders>
            <w:hideMark/>
          </w:tcPr>
          <w:p w14:paraId="0566C82F" w14:textId="77777777" w:rsidR="007C4F33" w:rsidRPr="007C4F33" w:rsidRDefault="007C4F33" w:rsidP="007C4F33">
            <w:pPr>
              <w:rPr>
                <w:rFonts w:asciiTheme="minorHAnsi" w:hAnsiTheme="minorHAnsi"/>
                <w:sz w:val="22"/>
                <w:szCs w:val="22"/>
              </w:rPr>
            </w:pPr>
            <w:r w:rsidRPr="007C4F33">
              <w:rPr>
                <w:rFonts w:asciiTheme="minorHAnsi" w:hAnsiTheme="minorHAnsi"/>
                <w:sz w:val="22"/>
                <w:szCs w:val="22"/>
              </w:rPr>
              <w:t>Wairarapa</w:t>
            </w:r>
          </w:p>
        </w:tc>
        <w:tc>
          <w:tcPr>
            <w:tcW w:w="2252" w:type="dxa"/>
            <w:tcBorders>
              <w:top w:val="single" w:sz="4" w:space="0" w:color="auto"/>
              <w:left w:val="single" w:sz="4" w:space="0" w:color="auto"/>
              <w:bottom w:val="single" w:sz="4" w:space="0" w:color="auto"/>
              <w:right w:val="single" w:sz="4" w:space="0" w:color="auto"/>
            </w:tcBorders>
            <w:vAlign w:val="bottom"/>
          </w:tcPr>
          <w:p w14:paraId="531A5C5C" w14:textId="25FAEA94"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2</w:t>
            </w:r>
          </w:p>
        </w:tc>
        <w:tc>
          <w:tcPr>
            <w:tcW w:w="2250" w:type="dxa"/>
            <w:tcBorders>
              <w:top w:val="single" w:sz="4" w:space="0" w:color="auto"/>
              <w:left w:val="single" w:sz="4" w:space="0" w:color="auto"/>
              <w:bottom w:val="single" w:sz="4" w:space="0" w:color="auto"/>
              <w:right w:val="single" w:sz="4" w:space="0" w:color="auto"/>
            </w:tcBorders>
            <w:vAlign w:val="bottom"/>
          </w:tcPr>
          <w:p w14:paraId="3556127C" w14:textId="678F7CC5"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3928</w:t>
            </w:r>
          </w:p>
        </w:tc>
        <w:tc>
          <w:tcPr>
            <w:tcW w:w="2253" w:type="dxa"/>
            <w:tcBorders>
              <w:top w:val="single" w:sz="4" w:space="0" w:color="auto"/>
              <w:left w:val="single" w:sz="4" w:space="0" w:color="auto"/>
              <w:bottom w:val="single" w:sz="4" w:space="0" w:color="auto"/>
              <w:right w:val="single" w:sz="4" w:space="0" w:color="auto"/>
            </w:tcBorders>
            <w:vAlign w:val="bottom"/>
          </w:tcPr>
          <w:p w14:paraId="420FE973" w14:textId="06B286FC"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50.92</w:t>
            </w:r>
          </w:p>
        </w:tc>
      </w:tr>
      <w:tr w:rsidR="007C4F33" w:rsidRPr="00D12A0D" w14:paraId="442376E0" w14:textId="77777777" w:rsidTr="007C4F33">
        <w:tc>
          <w:tcPr>
            <w:tcW w:w="2261" w:type="dxa"/>
            <w:tcBorders>
              <w:top w:val="single" w:sz="4" w:space="0" w:color="auto"/>
              <w:left w:val="single" w:sz="4" w:space="0" w:color="auto"/>
              <w:bottom w:val="single" w:sz="4" w:space="0" w:color="auto"/>
              <w:right w:val="single" w:sz="4" w:space="0" w:color="auto"/>
            </w:tcBorders>
            <w:hideMark/>
          </w:tcPr>
          <w:p w14:paraId="62D258A0" w14:textId="77DDECCB" w:rsidR="007C4F33" w:rsidRPr="007C4F33" w:rsidRDefault="007C4F33" w:rsidP="00CC0F87">
            <w:pPr>
              <w:rPr>
                <w:rFonts w:asciiTheme="minorHAnsi" w:hAnsiTheme="minorHAnsi"/>
                <w:sz w:val="22"/>
                <w:szCs w:val="22"/>
              </w:rPr>
            </w:pPr>
            <w:r w:rsidRPr="007C4F33">
              <w:rPr>
                <w:rFonts w:asciiTheme="minorHAnsi" w:hAnsiTheme="minorHAnsi"/>
                <w:sz w:val="22"/>
                <w:szCs w:val="22"/>
              </w:rPr>
              <w:t>Waitemat</w:t>
            </w:r>
            <w:r w:rsidR="00A25C1A">
              <w:rPr>
                <w:rFonts w:asciiTheme="minorHAnsi" w:hAnsiTheme="minorHAnsi"/>
                <w:sz w:val="22"/>
                <w:szCs w:val="22"/>
              </w:rPr>
              <w:t>ā</w:t>
            </w:r>
          </w:p>
        </w:tc>
        <w:tc>
          <w:tcPr>
            <w:tcW w:w="2252" w:type="dxa"/>
            <w:tcBorders>
              <w:top w:val="single" w:sz="4" w:space="0" w:color="auto"/>
              <w:left w:val="single" w:sz="4" w:space="0" w:color="auto"/>
              <w:bottom w:val="single" w:sz="4" w:space="0" w:color="auto"/>
              <w:right w:val="single" w:sz="4" w:space="0" w:color="auto"/>
            </w:tcBorders>
            <w:vAlign w:val="bottom"/>
          </w:tcPr>
          <w:p w14:paraId="3A9EE657" w14:textId="2606058F"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45</w:t>
            </w:r>
          </w:p>
        </w:tc>
        <w:tc>
          <w:tcPr>
            <w:tcW w:w="2250" w:type="dxa"/>
            <w:tcBorders>
              <w:top w:val="single" w:sz="4" w:space="0" w:color="auto"/>
              <w:left w:val="single" w:sz="4" w:space="0" w:color="auto"/>
              <w:bottom w:val="single" w:sz="4" w:space="0" w:color="auto"/>
              <w:right w:val="single" w:sz="4" w:space="0" w:color="auto"/>
            </w:tcBorders>
            <w:vAlign w:val="bottom"/>
          </w:tcPr>
          <w:p w14:paraId="7CF766E0" w14:textId="09F116DD"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46799</w:t>
            </w:r>
          </w:p>
        </w:tc>
        <w:tc>
          <w:tcPr>
            <w:tcW w:w="2253" w:type="dxa"/>
            <w:tcBorders>
              <w:top w:val="single" w:sz="4" w:space="0" w:color="auto"/>
              <w:left w:val="single" w:sz="4" w:space="0" w:color="auto"/>
              <w:bottom w:val="single" w:sz="4" w:space="0" w:color="auto"/>
              <w:right w:val="single" w:sz="4" w:space="0" w:color="auto"/>
            </w:tcBorders>
            <w:vAlign w:val="bottom"/>
          </w:tcPr>
          <w:p w14:paraId="3A32A652" w14:textId="0106E14C"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96.16</w:t>
            </w:r>
          </w:p>
        </w:tc>
      </w:tr>
      <w:tr w:rsidR="007C4F33" w:rsidRPr="00D12A0D" w14:paraId="6202AE94" w14:textId="77777777" w:rsidTr="007C4F33">
        <w:tc>
          <w:tcPr>
            <w:tcW w:w="2261" w:type="dxa"/>
            <w:tcBorders>
              <w:top w:val="single" w:sz="4" w:space="0" w:color="auto"/>
              <w:left w:val="single" w:sz="4" w:space="0" w:color="auto"/>
              <w:bottom w:val="single" w:sz="4" w:space="0" w:color="auto"/>
              <w:right w:val="single" w:sz="4" w:space="0" w:color="auto"/>
            </w:tcBorders>
            <w:hideMark/>
          </w:tcPr>
          <w:p w14:paraId="1F94361C" w14:textId="77777777" w:rsidR="007C4F33" w:rsidRPr="007C4F33" w:rsidRDefault="007C4F33" w:rsidP="007C4F33">
            <w:pPr>
              <w:rPr>
                <w:rFonts w:asciiTheme="minorHAnsi" w:hAnsiTheme="minorHAnsi"/>
                <w:sz w:val="22"/>
                <w:szCs w:val="22"/>
              </w:rPr>
            </w:pPr>
            <w:r w:rsidRPr="007C4F33">
              <w:rPr>
                <w:rFonts w:asciiTheme="minorHAnsi" w:hAnsiTheme="minorHAnsi"/>
                <w:sz w:val="22"/>
                <w:szCs w:val="22"/>
              </w:rPr>
              <w:t>West Coast</w:t>
            </w:r>
          </w:p>
        </w:tc>
        <w:tc>
          <w:tcPr>
            <w:tcW w:w="2252" w:type="dxa"/>
            <w:tcBorders>
              <w:top w:val="single" w:sz="4" w:space="0" w:color="auto"/>
              <w:left w:val="single" w:sz="4" w:space="0" w:color="auto"/>
              <w:bottom w:val="single" w:sz="4" w:space="0" w:color="auto"/>
              <w:right w:val="single" w:sz="4" w:space="0" w:color="auto"/>
            </w:tcBorders>
            <w:vAlign w:val="bottom"/>
          </w:tcPr>
          <w:p w14:paraId="13EC95A2" w14:textId="501017F7"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6</w:t>
            </w:r>
          </w:p>
        </w:tc>
        <w:tc>
          <w:tcPr>
            <w:tcW w:w="2250" w:type="dxa"/>
            <w:tcBorders>
              <w:top w:val="single" w:sz="4" w:space="0" w:color="auto"/>
              <w:left w:val="single" w:sz="4" w:space="0" w:color="auto"/>
              <w:bottom w:val="single" w:sz="4" w:space="0" w:color="auto"/>
              <w:right w:val="single" w:sz="4" w:space="0" w:color="auto"/>
            </w:tcBorders>
            <w:vAlign w:val="bottom"/>
          </w:tcPr>
          <w:p w14:paraId="763529EF" w14:textId="7FFDDF3F"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2830</w:t>
            </w:r>
          </w:p>
        </w:tc>
        <w:tc>
          <w:tcPr>
            <w:tcW w:w="2253" w:type="dxa"/>
            <w:tcBorders>
              <w:top w:val="single" w:sz="4" w:space="0" w:color="auto"/>
              <w:left w:val="single" w:sz="4" w:space="0" w:color="auto"/>
              <w:bottom w:val="single" w:sz="4" w:space="0" w:color="auto"/>
              <w:right w:val="single" w:sz="4" w:space="0" w:color="auto"/>
            </w:tcBorders>
            <w:vAlign w:val="bottom"/>
          </w:tcPr>
          <w:p w14:paraId="7096BDF7" w14:textId="496A6E65"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212.01</w:t>
            </w:r>
          </w:p>
        </w:tc>
      </w:tr>
      <w:tr w:rsidR="007C4F33" w14:paraId="09B50974" w14:textId="77777777" w:rsidTr="007C4F33">
        <w:tc>
          <w:tcPr>
            <w:tcW w:w="2261" w:type="dxa"/>
            <w:tcBorders>
              <w:top w:val="single" w:sz="4" w:space="0" w:color="auto"/>
              <w:left w:val="single" w:sz="4" w:space="0" w:color="auto"/>
              <w:bottom w:val="single" w:sz="4" w:space="0" w:color="auto"/>
              <w:right w:val="single" w:sz="4" w:space="0" w:color="auto"/>
            </w:tcBorders>
            <w:hideMark/>
          </w:tcPr>
          <w:p w14:paraId="1BF05BBA" w14:textId="77777777" w:rsidR="007C4F33" w:rsidRPr="007C4F33" w:rsidRDefault="007C4F33" w:rsidP="007C4F33">
            <w:pPr>
              <w:rPr>
                <w:rFonts w:asciiTheme="minorHAnsi" w:hAnsiTheme="minorHAnsi"/>
                <w:sz w:val="22"/>
                <w:szCs w:val="22"/>
              </w:rPr>
            </w:pPr>
            <w:r w:rsidRPr="007C4F33">
              <w:rPr>
                <w:rFonts w:asciiTheme="minorHAnsi" w:hAnsiTheme="minorHAnsi"/>
                <w:sz w:val="22"/>
                <w:szCs w:val="22"/>
              </w:rPr>
              <w:t>Whanganui</w:t>
            </w:r>
          </w:p>
        </w:tc>
        <w:tc>
          <w:tcPr>
            <w:tcW w:w="2252" w:type="dxa"/>
            <w:tcBorders>
              <w:top w:val="single" w:sz="4" w:space="0" w:color="auto"/>
              <w:left w:val="single" w:sz="4" w:space="0" w:color="auto"/>
              <w:bottom w:val="single" w:sz="4" w:space="0" w:color="auto"/>
              <w:right w:val="single" w:sz="4" w:space="0" w:color="auto"/>
            </w:tcBorders>
            <w:vAlign w:val="bottom"/>
          </w:tcPr>
          <w:p w14:paraId="6EFBC0FD" w14:textId="1474307B"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8</w:t>
            </w:r>
          </w:p>
        </w:tc>
        <w:tc>
          <w:tcPr>
            <w:tcW w:w="2250" w:type="dxa"/>
            <w:tcBorders>
              <w:top w:val="single" w:sz="4" w:space="0" w:color="auto"/>
              <w:left w:val="single" w:sz="4" w:space="0" w:color="auto"/>
              <w:bottom w:val="single" w:sz="4" w:space="0" w:color="auto"/>
              <w:right w:val="single" w:sz="4" w:space="0" w:color="auto"/>
            </w:tcBorders>
            <w:vAlign w:val="bottom"/>
          </w:tcPr>
          <w:p w14:paraId="4B27A29F" w14:textId="1319FD79"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6238</w:t>
            </w:r>
          </w:p>
        </w:tc>
        <w:tc>
          <w:tcPr>
            <w:tcW w:w="2253" w:type="dxa"/>
            <w:tcBorders>
              <w:top w:val="single" w:sz="4" w:space="0" w:color="auto"/>
              <w:left w:val="single" w:sz="4" w:space="0" w:color="auto"/>
              <w:bottom w:val="single" w:sz="4" w:space="0" w:color="auto"/>
              <w:right w:val="single" w:sz="4" w:space="0" w:color="auto"/>
            </w:tcBorders>
            <w:vAlign w:val="bottom"/>
          </w:tcPr>
          <w:p w14:paraId="4A967937" w14:textId="671DCA32" w:rsidR="007C4F33" w:rsidRPr="007C4F33" w:rsidRDefault="007C4F33" w:rsidP="007C4F33">
            <w:pPr>
              <w:jc w:val="center"/>
              <w:rPr>
                <w:rFonts w:asciiTheme="minorHAnsi" w:hAnsiTheme="minorHAnsi"/>
                <w:color w:val="000000"/>
                <w:sz w:val="22"/>
                <w:szCs w:val="22"/>
              </w:rPr>
            </w:pPr>
            <w:r w:rsidRPr="007C4F33">
              <w:rPr>
                <w:rFonts w:asciiTheme="minorHAnsi" w:hAnsiTheme="minorHAnsi" w:cs="Arial"/>
                <w:color w:val="000000"/>
                <w:sz w:val="22"/>
                <w:szCs w:val="22"/>
              </w:rPr>
              <w:t>128.25</w:t>
            </w:r>
          </w:p>
        </w:tc>
      </w:tr>
    </w:tbl>
    <w:p w14:paraId="452CF17B" w14:textId="65F65CBF" w:rsidR="00BB20D1" w:rsidRPr="00484564" w:rsidRDefault="00BB20D1" w:rsidP="0078382D">
      <w:pPr>
        <w:spacing w:after="600"/>
        <w:rPr>
          <w:b/>
        </w:rPr>
      </w:pPr>
    </w:p>
    <w:tbl>
      <w:tblPr>
        <w:tblStyle w:val="TableGrid"/>
        <w:tblW w:w="0" w:type="auto"/>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8980"/>
      </w:tblGrid>
      <w:tr w:rsidR="008F797F" w14:paraId="3ABADA26" w14:textId="77777777" w:rsidTr="008F797F">
        <w:tc>
          <w:tcPr>
            <w:tcW w:w="9016" w:type="dxa"/>
          </w:tcPr>
          <w:p w14:paraId="4EC3915A" w14:textId="77777777" w:rsidR="008F797F" w:rsidRPr="008F797F" w:rsidRDefault="008F797F" w:rsidP="0078382D">
            <w:pPr>
              <w:spacing w:before="240"/>
              <w:jc w:val="left"/>
              <w:rPr>
                <w:rFonts w:asciiTheme="minorHAnsi" w:hAnsiTheme="minorHAnsi"/>
                <w:b/>
                <w:sz w:val="24"/>
              </w:rPr>
            </w:pPr>
            <w:bookmarkStart w:id="42" w:name="_Toc426462630"/>
            <w:bookmarkStart w:id="43" w:name="_Toc443992225"/>
            <w:bookmarkStart w:id="44" w:name="_Toc445910049"/>
            <w:bookmarkStart w:id="45" w:name="_Toc447291333"/>
            <w:bookmarkStart w:id="46" w:name="_Toc447291471"/>
            <w:bookmarkStart w:id="47" w:name="_Toc447527528"/>
            <w:bookmarkStart w:id="48" w:name="_Toc493684126"/>
            <w:r w:rsidRPr="008F797F">
              <w:rPr>
                <w:rFonts w:asciiTheme="minorHAnsi" w:hAnsiTheme="minorHAnsi"/>
                <w:b/>
                <w:sz w:val="24"/>
              </w:rPr>
              <w:t>Notes on DHB’s number and rate of complaints</w:t>
            </w:r>
          </w:p>
          <w:p w14:paraId="3FABFF44" w14:textId="77777777" w:rsidR="008F797F" w:rsidRPr="00091B1A" w:rsidRDefault="008F797F" w:rsidP="008F797F">
            <w:pPr>
              <w:jc w:val="left"/>
              <w:rPr>
                <w:rFonts w:asciiTheme="minorHAnsi" w:hAnsiTheme="minorHAnsi"/>
                <w:b/>
                <w:sz w:val="22"/>
                <w:szCs w:val="22"/>
              </w:rPr>
            </w:pPr>
          </w:p>
          <w:p w14:paraId="446C97D0" w14:textId="048D0249" w:rsidR="008F797F" w:rsidRDefault="008F797F" w:rsidP="008F797F">
            <w:pPr>
              <w:rPr>
                <w:rFonts w:asciiTheme="minorHAnsi" w:hAnsiTheme="minorHAnsi"/>
                <w:sz w:val="22"/>
                <w:szCs w:val="22"/>
                <w:lang w:bidi="ar-SA"/>
              </w:rPr>
            </w:pPr>
            <w:r w:rsidRPr="00091B1A">
              <w:rPr>
                <w:rFonts w:asciiTheme="minorHAnsi" w:hAnsiTheme="minorHAnsi"/>
                <w:sz w:val="22"/>
                <w:szCs w:val="22"/>
                <w:lang w:bidi="ar-SA"/>
              </w:rPr>
              <w:t>It should be not</w:t>
            </w:r>
            <w:r>
              <w:rPr>
                <w:rFonts w:asciiTheme="minorHAnsi" w:hAnsiTheme="minorHAnsi"/>
                <w:sz w:val="22"/>
                <w:szCs w:val="22"/>
                <w:lang w:bidi="ar-SA"/>
              </w:rPr>
              <w:t>ed that a</w:t>
            </w:r>
            <w:r w:rsidRPr="00091B1A">
              <w:rPr>
                <w:rFonts w:asciiTheme="minorHAnsi" w:hAnsiTheme="minorHAnsi"/>
                <w:sz w:val="22"/>
                <w:szCs w:val="22"/>
                <w:lang w:bidi="ar-SA"/>
              </w:rPr>
              <w:t xml:space="preserve"> DHB’s number and rate of complaints can vary considerably from one six-month period to the next. Therefore, care should be taken before drawing conclusions on the basis of one six-month period. Further, for smaller DHBs, a very small absolute increase or decrease in the number of complaints received can dramatically affect the rate of complaints. Accordingly, </w:t>
            </w:r>
            <w:r w:rsidRPr="00091B1A">
              <w:rPr>
                <w:rFonts w:asciiTheme="minorHAnsi" w:hAnsiTheme="minorHAnsi"/>
                <w:sz w:val="22"/>
                <w:szCs w:val="22"/>
              </w:rPr>
              <w:t>much of the value in this data lies in how it changes over time, as such analysis allows trends to emerge that may point to areas that require further attention.</w:t>
            </w:r>
          </w:p>
          <w:p w14:paraId="36293151" w14:textId="77777777" w:rsidR="008F797F" w:rsidRPr="00091B1A" w:rsidRDefault="008F797F" w:rsidP="008F797F">
            <w:pPr>
              <w:rPr>
                <w:rFonts w:asciiTheme="minorHAnsi" w:hAnsiTheme="minorHAnsi"/>
                <w:sz w:val="22"/>
                <w:szCs w:val="22"/>
              </w:rPr>
            </w:pPr>
          </w:p>
          <w:p w14:paraId="0B1A086B" w14:textId="77777777" w:rsidR="008F797F" w:rsidRDefault="008F797F" w:rsidP="008F797F">
            <w:pPr>
              <w:spacing w:after="120"/>
              <w:rPr>
                <w:rFonts w:asciiTheme="minorHAnsi" w:hAnsiTheme="minorHAnsi"/>
                <w:sz w:val="22"/>
                <w:szCs w:val="22"/>
                <w:lang w:bidi="ar-SA"/>
              </w:rPr>
            </w:pPr>
            <w:r w:rsidRPr="00091B1A">
              <w:rPr>
                <w:rFonts w:asciiTheme="minorHAnsi" w:hAnsiTheme="minorHAnsi"/>
                <w:sz w:val="22"/>
                <w:szCs w:val="22"/>
                <w:lang w:bidi="ar-SA"/>
              </w:rPr>
              <w:t xml:space="preserve">It is also important to note that </w:t>
            </w:r>
            <w:r w:rsidR="0001347E">
              <w:rPr>
                <w:rFonts w:asciiTheme="minorHAnsi" w:hAnsiTheme="minorHAnsi"/>
                <w:sz w:val="22"/>
                <w:szCs w:val="22"/>
                <w:lang w:bidi="ar-SA"/>
              </w:rPr>
              <w:t xml:space="preserve">the </w:t>
            </w:r>
            <w:r w:rsidRPr="00091B1A">
              <w:rPr>
                <w:rFonts w:asciiTheme="minorHAnsi" w:hAnsiTheme="minorHAnsi"/>
                <w:sz w:val="22"/>
                <w:szCs w:val="22"/>
                <w:lang w:bidi="ar-SA"/>
              </w:rPr>
              <w:t>number of complaints received by HDC is not always a good proxy for quality of care provided, and may instead, for example, be an indicator of the effectiveness of a DHB’s complaints system or features of the services provided by a particular DHB.  Additionally, complaints received within a single six-month period will sometimes relate to care provided within quite a different time period. From time to time, some DHBs may also be the subject of a number of complaints from a single complainant within one reporting period. This is important context that is taken into account by DHBs when considering their own complaint patterns.</w:t>
            </w:r>
          </w:p>
          <w:p w14:paraId="6E908E95" w14:textId="4C704BD5" w:rsidR="00A25C1A" w:rsidRPr="0078382D" w:rsidRDefault="00A25C1A" w:rsidP="008F797F">
            <w:pPr>
              <w:spacing w:after="120"/>
              <w:rPr>
                <w:rFonts w:asciiTheme="minorHAnsi" w:hAnsiTheme="minorHAnsi"/>
                <w:sz w:val="12"/>
                <w:szCs w:val="12"/>
              </w:rPr>
            </w:pPr>
          </w:p>
        </w:tc>
      </w:tr>
    </w:tbl>
    <w:p w14:paraId="2E9358F8" w14:textId="7C3A5014" w:rsidR="00ED7A15" w:rsidRDefault="00ED7A15" w:rsidP="00841E1C"/>
    <w:p w14:paraId="641F0BA5" w14:textId="4B69201E" w:rsidR="008F797F" w:rsidRDefault="008F797F" w:rsidP="00841E1C"/>
    <w:p w14:paraId="1B01F751" w14:textId="77777777" w:rsidR="008F797F" w:rsidRDefault="008F797F" w:rsidP="00841E1C"/>
    <w:p w14:paraId="676DB469" w14:textId="38C12F57" w:rsidR="00ED7A15" w:rsidRDefault="00ED7A15" w:rsidP="00841E1C"/>
    <w:p w14:paraId="062B207C" w14:textId="1BB9499E" w:rsidR="008F797F" w:rsidRPr="00666BAC" w:rsidRDefault="008F797F" w:rsidP="008F797F">
      <w:pPr>
        <w:pStyle w:val="Heading2"/>
        <w:spacing w:before="360" w:after="240"/>
        <w:rPr>
          <w:sz w:val="36"/>
          <w:szCs w:val="36"/>
        </w:rPr>
      </w:pPr>
      <w:bookmarkStart w:id="49" w:name="_Toc404344428"/>
      <w:bookmarkStart w:id="50" w:name="_Toc506278067"/>
      <w:bookmarkStart w:id="51" w:name="_Toc58316485"/>
      <w:bookmarkEnd w:id="42"/>
      <w:bookmarkEnd w:id="43"/>
      <w:bookmarkEnd w:id="44"/>
      <w:bookmarkEnd w:id="45"/>
      <w:bookmarkEnd w:id="46"/>
      <w:bookmarkEnd w:id="47"/>
      <w:bookmarkEnd w:id="48"/>
      <w:r w:rsidRPr="00666BAC">
        <w:rPr>
          <w:sz w:val="36"/>
          <w:szCs w:val="36"/>
        </w:rPr>
        <w:lastRenderedPageBreak/>
        <w:t>2.</w:t>
      </w:r>
      <w:r w:rsidRPr="00666BAC">
        <w:rPr>
          <w:sz w:val="36"/>
          <w:szCs w:val="36"/>
        </w:rPr>
        <w:tab/>
        <w:t>Which DHB services were complained about?</w:t>
      </w:r>
      <w:bookmarkEnd w:id="49"/>
      <w:bookmarkEnd w:id="50"/>
      <w:bookmarkEnd w:id="51"/>
      <w:r w:rsidRPr="00666BAC">
        <w:rPr>
          <w:sz w:val="36"/>
          <w:szCs w:val="36"/>
        </w:rPr>
        <w:t xml:space="preserve"> </w:t>
      </w:r>
    </w:p>
    <w:p w14:paraId="3F89EE5E" w14:textId="66C90EFC" w:rsidR="008F797F" w:rsidRPr="00E62B9F" w:rsidRDefault="008F797F" w:rsidP="008F797F">
      <w:pPr>
        <w:pStyle w:val="Heading3"/>
        <w:spacing w:after="120"/>
        <w:rPr>
          <w:b/>
          <w:i w:val="0"/>
          <w:sz w:val="28"/>
          <w:szCs w:val="28"/>
        </w:rPr>
      </w:pPr>
      <w:bookmarkStart w:id="52" w:name="_Toc398125958"/>
      <w:bookmarkStart w:id="53" w:name="_Toc404344429"/>
      <w:bookmarkStart w:id="54" w:name="_Toc506278068"/>
      <w:bookmarkStart w:id="55" w:name="_Toc58316486"/>
      <w:r w:rsidRPr="00666BAC">
        <w:rPr>
          <w:b/>
          <w:i w:val="0"/>
          <w:sz w:val="28"/>
          <w:szCs w:val="28"/>
        </w:rPr>
        <w:t>2.1</w:t>
      </w:r>
      <w:r w:rsidRPr="00666BAC">
        <w:rPr>
          <w:b/>
          <w:i w:val="0"/>
          <w:sz w:val="28"/>
          <w:szCs w:val="28"/>
        </w:rPr>
        <w:tab/>
      </w:r>
      <w:r w:rsidRPr="00666BAC">
        <w:rPr>
          <w:b/>
          <w:i w:val="0"/>
          <w:sz w:val="28"/>
          <w:szCs w:val="28"/>
        </w:rPr>
        <w:tab/>
        <w:t>DHB service types complained about</w:t>
      </w:r>
      <w:bookmarkEnd w:id="52"/>
      <w:bookmarkEnd w:id="53"/>
      <w:bookmarkEnd w:id="54"/>
      <w:bookmarkEnd w:id="55"/>
    </w:p>
    <w:p w14:paraId="277AEA7A" w14:textId="07C12C09" w:rsidR="00841E1C" w:rsidRDefault="00841E1C" w:rsidP="00613DE1">
      <w:pPr>
        <w:spacing w:before="120"/>
      </w:pPr>
      <w:r>
        <w:t>Please note that some complaints involve more than one DHB and/or more than one service or hospital; th</w:t>
      </w:r>
      <w:r w:rsidR="005F0555">
        <w:t>erefore, although there were 392</w:t>
      </w:r>
      <w:r w:rsidR="000B5E05">
        <w:t xml:space="preserve"> complaints about DHB</w:t>
      </w:r>
      <w:r w:rsidR="005F0555">
        <w:t>s, 409</w:t>
      </w:r>
      <w:r>
        <w:t xml:space="preserve"> services were complained about.</w:t>
      </w:r>
      <w:r w:rsidR="008F797F">
        <w:t xml:space="preserve"> Figure 2 below shows the most commonly complained about service types in Jan–Jun 2020</w:t>
      </w:r>
      <w:r w:rsidR="00613DE1">
        <w:t xml:space="preserve">. </w:t>
      </w:r>
      <w:r w:rsidR="00613DE1" w:rsidRPr="00666BAC">
        <w:t>A more nuanced picture of service types complained about, including individual surgical and medicine service categ</w:t>
      </w:r>
      <w:r w:rsidR="00613DE1">
        <w:t>ories, is provided in Table 5</w:t>
      </w:r>
      <w:r w:rsidR="00613DE1" w:rsidRPr="00666BAC">
        <w:t xml:space="preserve">. </w:t>
      </w:r>
    </w:p>
    <w:p w14:paraId="7B95B1E6" w14:textId="38D6ACC8" w:rsidR="00934DBE" w:rsidRDefault="00934DBE" w:rsidP="00841E1C"/>
    <w:p w14:paraId="54541934" w14:textId="70F50DD2" w:rsidR="00934DBE" w:rsidRDefault="000B5E05" w:rsidP="00934DBE">
      <w:r>
        <w:t>Surgical services (31</w:t>
      </w:r>
      <w:r w:rsidR="00934DBE">
        <w:t>%) received the grea</w:t>
      </w:r>
      <w:r w:rsidR="008C3C3D">
        <w:t>t</w:t>
      </w:r>
      <w:r w:rsidR="0086165A">
        <w:t>est number of complaints in Jan–</w:t>
      </w:r>
      <w:r w:rsidR="008C3C3D">
        <w:t>Jun 2020</w:t>
      </w:r>
      <w:r w:rsidR="00934DBE">
        <w:t xml:space="preserve">, with </w:t>
      </w:r>
      <w:r w:rsidR="0043728B">
        <w:t>general surgery (8</w:t>
      </w:r>
      <w:r w:rsidR="008C3C3D">
        <w:t xml:space="preserve">%), </w:t>
      </w:r>
      <w:r w:rsidR="00934DBE">
        <w:t>orthopaedics (</w:t>
      </w:r>
      <w:r>
        <w:t>5%) and gynaecology (5</w:t>
      </w:r>
      <w:r w:rsidR="00934DBE">
        <w:t xml:space="preserve">%) being the surgical specialties most commonly complained about. </w:t>
      </w:r>
      <w:r w:rsidR="008C3C3D">
        <w:t>This is similar to what was seen in the previous period, although complaints about orthopaedics decreased from 10% of all services complained about in Jul</w:t>
      </w:r>
      <w:r w:rsidR="00CC0F87">
        <w:t>–</w:t>
      </w:r>
      <w:r w:rsidR="008C3C3D">
        <w:t>Dec 2019 to 5% of services in Jan</w:t>
      </w:r>
      <w:r w:rsidR="00CC0F87">
        <w:t>–</w:t>
      </w:r>
      <w:r w:rsidR="008C3C3D">
        <w:t>Jun 2020.</w:t>
      </w:r>
    </w:p>
    <w:p w14:paraId="77E9F0AB" w14:textId="77777777" w:rsidR="00934DBE" w:rsidRDefault="00934DBE" w:rsidP="00934DBE"/>
    <w:p w14:paraId="7C4C4238" w14:textId="6F0FF62B" w:rsidR="00613DE1" w:rsidRDefault="00934DBE" w:rsidP="0078382D">
      <w:pPr>
        <w:spacing w:after="360"/>
      </w:pPr>
      <w:r>
        <w:t>Other commonly complained about ser</w:t>
      </w:r>
      <w:r w:rsidR="008C3C3D">
        <w:t xml:space="preserve">vices included mental </w:t>
      </w:r>
      <w:r w:rsidR="000B5E05">
        <w:t>health (22%), medicine (18</w:t>
      </w:r>
      <w:r w:rsidR="00CF6D9B">
        <w:t>%)</w:t>
      </w:r>
      <w:r w:rsidR="00CC0F87">
        <w:t>,</w:t>
      </w:r>
      <w:r w:rsidR="00CF6D9B">
        <w:t xml:space="preserve"> and emergency department (11</w:t>
      </w:r>
      <w:r w:rsidR="007F3BA5">
        <w:t xml:space="preserve">%) services. </w:t>
      </w:r>
    </w:p>
    <w:p w14:paraId="655B8DB6" w14:textId="77777777" w:rsidR="007F3BA5" w:rsidRDefault="007F3BA5" w:rsidP="007F3BA5"/>
    <w:p w14:paraId="2925D885" w14:textId="77777777" w:rsidR="00613DE1" w:rsidRDefault="00613DE1">
      <w:pPr>
        <w:spacing w:after="200" w:line="276" w:lineRule="auto"/>
        <w:jc w:val="left"/>
      </w:pPr>
      <w:r w:rsidRPr="00613DE1">
        <w:rPr>
          <w:b/>
        </w:rPr>
        <w:t>Figure 2.</w:t>
      </w:r>
      <w:r>
        <w:t xml:space="preserve"> Service types complained about</w:t>
      </w:r>
    </w:p>
    <w:p w14:paraId="5EBE066E" w14:textId="31285678" w:rsidR="00613DE1" w:rsidRDefault="00613DE1" w:rsidP="0078382D">
      <w:pPr>
        <w:spacing w:after="200" w:line="276" w:lineRule="auto"/>
        <w:jc w:val="left"/>
      </w:pPr>
      <w:r w:rsidRPr="00613DE1">
        <w:rPr>
          <w:noProof/>
          <w:color w:val="C00000"/>
          <w:lang w:eastAsia="en-NZ" w:bidi="ar-SA"/>
        </w:rPr>
        <w:drawing>
          <wp:inline distT="0" distB="0" distL="0" distR="0" wp14:anchorId="5F06B063" wp14:editId="23A62384">
            <wp:extent cx="5457825" cy="3524250"/>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934DBE">
        <w:br w:type="page"/>
      </w:r>
    </w:p>
    <w:p w14:paraId="65A70D9D" w14:textId="77777777" w:rsidR="00841E1C" w:rsidRDefault="00841E1C" w:rsidP="00841E1C">
      <w:pPr>
        <w:spacing w:after="120"/>
        <w:rPr>
          <w:b/>
        </w:rPr>
      </w:pPr>
      <w:r>
        <w:rPr>
          <w:b/>
        </w:rPr>
        <w:lastRenderedPageBreak/>
        <w:t xml:space="preserve">Table 5. </w:t>
      </w:r>
      <w:r w:rsidRPr="000E51FB">
        <w:t>Service types complained about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4"/>
        <w:gridCol w:w="2263"/>
        <w:gridCol w:w="1981"/>
      </w:tblGrid>
      <w:tr w:rsidR="00BB20D1" w14:paraId="71EEF629" w14:textId="77777777" w:rsidTr="0078382D">
        <w:trPr>
          <w:trHeight w:val="467"/>
          <w:tblHeader/>
        </w:trPr>
        <w:tc>
          <w:tcPr>
            <w:tcW w:w="4664" w:type="dxa"/>
            <w:tcBorders>
              <w:top w:val="single" w:sz="4" w:space="0" w:color="auto"/>
              <w:left w:val="single" w:sz="4" w:space="0" w:color="auto"/>
              <w:bottom w:val="single" w:sz="4" w:space="0" w:color="auto"/>
              <w:right w:val="single" w:sz="4" w:space="0" w:color="auto"/>
            </w:tcBorders>
            <w:shd w:val="clear" w:color="auto" w:fill="C00000"/>
            <w:hideMark/>
          </w:tcPr>
          <w:p w14:paraId="636B2D6F" w14:textId="77777777" w:rsidR="00BB20D1" w:rsidRDefault="00BB20D1" w:rsidP="00BB20D1">
            <w:pPr>
              <w:tabs>
                <w:tab w:val="left" w:pos="1440"/>
                <w:tab w:val="decimal" w:pos="4320"/>
              </w:tabs>
              <w:spacing w:before="120" w:after="120"/>
              <w:jc w:val="center"/>
              <w:outlineLvl w:val="0"/>
              <w:rPr>
                <w:rFonts w:ascii="Calibri" w:hAnsi="Calibri"/>
                <w:b/>
                <w:szCs w:val="22"/>
                <w:vertAlign w:val="superscript"/>
              </w:rPr>
            </w:pPr>
            <w:bookmarkStart w:id="56" w:name="_Toc426462632"/>
            <w:r>
              <w:rPr>
                <w:rFonts w:ascii="Calibri" w:hAnsi="Calibri"/>
                <w:b/>
                <w:szCs w:val="22"/>
              </w:rPr>
              <w:t>Service type</w:t>
            </w:r>
          </w:p>
        </w:tc>
        <w:tc>
          <w:tcPr>
            <w:tcW w:w="2263" w:type="dxa"/>
            <w:tcBorders>
              <w:top w:val="single" w:sz="4" w:space="0" w:color="auto"/>
              <w:left w:val="single" w:sz="4" w:space="0" w:color="auto"/>
              <w:bottom w:val="single" w:sz="4" w:space="0" w:color="auto"/>
              <w:right w:val="single" w:sz="4" w:space="0" w:color="auto"/>
            </w:tcBorders>
            <w:shd w:val="clear" w:color="auto" w:fill="C00000"/>
            <w:hideMark/>
          </w:tcPr>
          <w:p w14:paraId="21BAD444" w14:textId="77777777" w:rsidR="00BB20D1" w:rsidRDefault="00BB20D1" w:rsidP="00BB20D1">
            <w:pPr>
              <w:tabs>
                <w:tab w:val="left" w:pos="1440"/>
                <w:tab w:val="decimal" w:pos="4320"/>
              </w:tabs>
              <w:spacing w:before="120" w:after="120"/>
              <w:jc w:val="center"/>
              <w:outlineLvl w:val="0"/>
              <w:rPr>
                <w:rFonts w:ascii="Calibri" w:hAnsi="Calibri"/>
                <w:b/>
                <w:szCs w:val="22"/>
              </w:rPr>
            </w:pPr>
            <w:r>
              <w:rPr>
                <w:rFonts w:ascii="Calibri" w:hAnsi="Calibri"/>
                <w:b/>
                <w:szCs w:val="22"/>
              </w:rPr>
              <w:t>Number of complaints</w:t>
            </w:r>
          </w:p>
        </w:tc>
        <w:tc>
          <w:tcPr>
            <w:tcW w:w="1981" w:type="dxa"/>
            <w:tcBorders>
              <w:top w:val="single" w:sz="4" w:space="0" w:color="auto"/>
              <w:left w:val="single" w:sz="4" w:space="0" w:color="auto"/>
              <w:bottom w:val="single" w:sz="4" w:space="0" w:color="auto"/>
              <w:right w:val="single" w:sz="4" w:space="0" w:color="auto"/>
            </w:tcBorders>
            <w:shd w:val="clear" w:color="auto" w:fill="C00000"/>
            <w:hideMark/>
          </w:tcPr>
          <w:p w14:paraId="176DFF7C" w14:textId="77777777" w:rsidR="00BB20D1" w:rsidRDefault="00BB20D1" w:rsidP="00BB20D1">
            <w:pPr>
              <w:tabs>
                <w:tab w:val="left" w:pos="1440"/>
                <w:tab w:val="decimal" w:pos="4320"/>
              </w:tabs>
              <w:spacing w:before="120" w:after="120"/>
              <w:jc w:val="center"/>
              <w:outlineLvl w:val="0"/>
              <w:rPr>
                <w:rFonts w:ascii="Calibri" w:hAnsi="Calibri"/>
                <w:b/>
                <w:szCs w:val="22"/>
              </w:rPr>
            </w:pPr>
            <w:r>
              <w:rPr>
                <w:rFonts w:ascii="Calibri" w:hAnsi="Calibri"/>
                <w:b/>
                <w:szCs w:val="22"/>
              </w:rPr>
              <w:t>Percentage</w:t>
            </w:r>
          </w:p>
        </w:tc>
      </w:tr>
      <w:tr w:rsidR="00BB20D1" w14:paraId="1A280E0C" w14:textId="77777777" w:rsidTr="0078382D">
        <w:trPr>
          <w:trHeight w:val="255"/>
        </w:trPr>
        <w:tc>
          <w:tcPr>
            <w:tcW w:w="4664" w:type="dxa"/>
            <w:tcBorders>
              <w:top w:val="single" w:sz="4" w:space="0" w:color="auto"/>
              <w:left w:val="single" w:sz="4" w:space="0" w:color="auto"/>
              <w:bottom w:val="single" w:sz="4" w:space="0" w:color="auto"/>
              <w:right w:val="single" w:sz="4" w:space="0" w:color="auto"/>
            </w:tcBorders>
            <w:vAlign w:val="bottom"/>
          </w:tcPr>
          <w:p w14:paraId="7E95EED0" w14:textId="77777777" w:rsidR="00BB20D1" w:rsidRDefault="00BB20D1" w:rsidP="00BB20D1">
            <w:pPr>
              <w:rPr>
                <w:rFonts w:ascii="Calibri" w:hAnsi="Calibri" w:cs="Calibri"/>
                <w:b/>
                <w:color w:val="000000"/>
                <w:szCs w:val="22"/>
              </w:rPr>
            </w:pPr>
            <w:r>
              <w:rPr>
                <w:rFonts w:ascii="Calibri" w:hAnsi="Calibri" w:cs="Calibri"/>
                <w:b/>
                <w:color w:val="000000"/>
                <w:szCs w:val="22"/>
              </w:rPr>
              <w:t>Alcohol and drug</w:t>
            </w:r>
          </w:p>
        </w:tc>
        <w:tc>
          <w:tcPr>
            <w:tcW w:w="2263" w:type="dxa"/>
            <w:tcBorders>
              <w:top w:val="single" w:sz="4" w:space="0" w:color="auto"/>
              <w:left w:val="single" w:sz="4" w:space="0" w:color="auto"/>
              <w:bottom w:val="single" w:sz="4" w:space="0" w:color="auto"/>
              <w:right w:val="single" w:sz="4" w:space="0" w:color="auto"/>
            </w:tcBorders>
            <w:vAlign w:val="center"/>
          </w:tcPr>
          <w:p w14:paraId="58F78E35" w14:textId="66010D9C" w:rsidR="00BB20D1" w:rsidRPr="00E04015" w:rsidRDefault="00BB20D1" w:rsidP="00BB20D1">
            <w:pPr>
              <w:jc w:val="center"/>
              <w:rPr>
                <w:rFonts w:ascii="Calibri" w:hAnsi="Calibri"/>
                <w:b/>
                <w:color w:val="000000"/>
                <w:szCs w:val="22"/>
              </w:rPr>
            </w:pPr>
            <w:r>
              <w:rPr>
                <w:rFonts w:ascii="Calibri" w:hAnsi="Calibri"/>
                <w:b/>
                <w:color w:val="000000"/>
                <w:szCs w:val="22"/>
              </w:rPr>
              <w:t>4</w:t>
            </w:r>
          </w:p>
        </w:tc>
        <w:tc>
          <w:tcPr>
            <w:tcW w:w="1981" w:type="dxa"/>
            <w:tcBorders>
              <w:top w:val="single" w:sz="4" w:space="0" w:color="auto"/>
              <w:left w:val="single" w:sz="4" w:space="0" w:color="auto"/>
              <w:bottom w:val="single" w:sz="4" w:space="0" w:color="auto"/>
              <w:right w:val="single" w:sz="4" w:space="0" w:color="auto"/>
            </w:tcBorders>
            <w:vAlign w:val="center"/>
          </w:tcPr>
          <w:p w14:paraId="2C176FC8" w14:textId="552B367C" w:rsidR="00BB20D1" w:rsidRPr="00E04015" w:rsidRDefault="008C3C3D" w:rsidP="00BB20D1">
            <w:pPr>
              <w:jc w:val="center"/>
              <w:rPr>
                <w:rFonts w:ascii="Calibri" w:hAnsi="Calibri"/>
                <w:b/>
                <w:color w:val="000000"/>
                <w:szCs w:val="22"/>
              </w:rPr>
            </w:pPr>
            <w:r>
              <w:rPr>
                <w:rFonts w:ascii="Calibri" w:hAnsi="Calibri"/>
                <w:b/>
                <w:color w:val="000000"/>
                <w:szCs w:val="22"/>
              </w:rPr>
              <w:t>1.0%</w:t>
            </w:r>
          </w:p>
        </w:tc>
      </w:tr>
      <w:tr w:rsidR="00BB20D1" w14:paraId="617F8A93" w14:textId="77777777" w:rsidTr="0078382D">
        <w:trPr>
          <w:trHeight w:val="274"/>
        </w:trPr>
        <w:tc>
          <w:tcPr>
            <w:tcW w:w="4664" w:type="dxa"/>
            <w:tcBorders>
              <w:top w:val="single" w:sz="4" w:space="0" w:color="auto"/>
              <w:left w:val="single" w:sz="4" w:space="0" w:color="auto"/>
              <w:bottom w:val="single" w:sz="4" w:space="0" w:color="auto"/>
              <w:right w:val="single" w:sz="4" w:space="0" w:color="auto"/>
            </w:tcBorders>
            <w:vAlign w:val="bottom"/>
            <w:hideMark/>
          </w:tcPr>
          <w:p w14:paraId="465A21DD" w14:textId="77777777" w:rsidR="00BB20D1" w:rsidRDefault="00BB20D1" w:rsidP="00BB20D1">
            <w:pPr>
              <w:rPr>
                <w:rFonts w:ascii="Calibri" w:hAnsi="Calibri" w:cs="Calibri"/>
                <w:b/>
                <w:color w:val="000000"/>
                <w:szCs w:val="22"/>
              </w:rPr>
            </w:pPr>
            <w:r>
              <w:rPr>
                <w:rFonts w:ascii="Calibri" w:hAnsi="Calibri" w:cs="Calibri"/>
                <w:b/>
                <w:color w:val="000000"/>
                <w:szCs w:val="22"/>
              </w:rPr>
              <w:t xml:space="preserve">Dental </w:t>
            </w:r>
          </w:p>
        </w:tc>
        <w:tc>
          <w:tcPr>
            <w:tcW w:w="2263" w:type="dxa"/>
            <w:tcBorders>
              <w:top w:val="single" w:sz="4" w:space="0" w:color="auto"/>
              <w:left w:val="single" w:sz="4" w:space="0" w:color="auto"/>
              <w:bottom w:val="single" w:sz="4" w:space="0" w:color="auto"/>
              <w:right w:val="single" w:sz="4" w:space="0" w:color="auto"/>
            </w:tcBorders>
            <w:vAlign w:val="center"/>
          </w:tcPr>
          <w:p w14:paraId="0AD1F14E" w14:textId="194668A1" w:rsidR="00BB20D1" w:rsidRPr="00E04015" w:rsidRDefault="00BB20D1" w:rsidP="00BB20D1">
            <w:pPr>
              <w:jc w:val="center"/>
              <w:rPr>
                <w:rFonts w:ascii="Calibri" w:hAnsi="Calibri"/>
                <w:b/>
                <w:color w:val="000000"/>
                <w:szCs w:val="22"/>
              </w:rPr>
            </w:pPr>
            <w:r>
              <w:rPr>
                <w:rFonts w:ascii="Calibri" w:hAnsi="Calibri"/>
                <w:b/>
                <w:color w:val="000000"/>
                <w:szCs w:val="22"/>
              </w:rPr>
              <w:t>5</w:t>
            </w:r>
          </w:p>
        </w:tc>
        <w:tc>
          <w:tcPr>
            <w:tcW w:w="1981" w:type="dxa"/>
            <w:tcBorders>
              <w:top w:val="single" w:sz="4" w:space="0" w:color="auto"/>
              <w:left w:val="single" w:sz="4" w:space="0" w:color="auto"/>
              <w:bottom w:val="single" w:sz="4" w:space="0" w:color="auto"/>
              <w:right w:val="single" w:sz="4" w:space="0" w:color="auto"/>
            </w:tcBorders>
            <w:vAlign w:val="center"/>
          </w:tcPr>
          <w:p w14:paraId="332304E5" w14:textId="0972827D" w:rsidR="00BB20D1" w:rsidRPr="00E04015" w:rsidRDefault="008C3C3D" w:rsidP="00BB20D1">
            <w:pPr>
              <w:jc w:val="center"/>
              <w:rPr>
                <w:rFonts w:ascii="Calibri" w:hAnsi="Calibri"/>
                <w:b/>
                <w:color w:val="000000"/>
                <w:szCs w:val="22"/>
              </w:rPr>
            </w:pPr>
            <w:r>
              <w:rPr>
                <w:rFonts w:ascii="Calibri" w:hAnsi="Calibri"/>
                <w:b/>
                <w:color w:val="000000"/>
                <w:szCs w:val="22"/>
              </w:rPr>
              <w:t>1.2%</w:t>
            </w:r>
          </w:p>
        </w:tc>
      </w:tr>
      <w:tr w:rsidR="00BB20D1" w14:paraId="25FBB07F" w14:textId="77777777" w:rsidTr="0078382D">
        <w:trPr>
          <w:trHeight w:val="263"/>
        </w:trPr>
        <w:tc>
          <w:tcPr>
            <w:tcW w:w="4664" w:type="dxa"/>
            <w:tcBorders>
              <w:top w:val="single" w:sz="4" w:space="0" w:color="auto"/>
              <w:left w:val="single" w:sz="4" w:space="0" w:color="auto"/>
              <w:bottom w:val="single" w:sz="4" w:space="0" w:color="auto"/>
              <w:right w:val="single" w:sz="4" w:space="0" w:color="auto"/>
            </w:tcBorders>
            <w:vAlign w:val="bottom"/>
            <w:hideMark/>
          </w:tcPr>
          <w:p w14:paraId="74F40AE2" w14:textId="77777777" w:rsidR="00BB20D1" w:rsidRDefault="00BB20D1" w:rsidP="00BB20D1">
            <w:pPr>
              <w:rPr>
                <w:rFonts w:cs="Arial"/>
                <w:b/>
                <w:szCs w:val="22"/>
              </w:rPr>
            </w:pPr>
            <w:r>
              <w:rPr>
                <w:rFonts w:cs="Arial"/>
                <w:b/>
                <w:szCs w:val="22"/>
              </w:rPr>
              <w:t>Diagnostics</w:t>
            </w:r>
          </w:p>
        </w:tc>
        <w:tc>
          <w:tcPr>
            <w:tcW w:w="2263" w:type="dxa"/>
            <w:tcBorders>
              <w:top w:val="single" w:sz="4" w:space="0" w:color="auto"/>
              <w:left w:val="single" w:sz="4" w:space="0" w:color="auto"/>
              <w:bottom w:val="single" w:sz="4" w:space="0" w:color="auto"/>
              <w:right w:val="single" w:sz="4" w:space="0" w:color="auto"/>
            </w:tcBorders>
            <w:vAlign w:val="center"/>
          </w:tcPr>
          <w:p w14:paraId="51526601" w14:textId="58EBB04D" w:rsidR="00BB20D1" w:rsidRPr="00E04015" w:rsidRDefault="00BB20D1" w:rsidP="00BB20D1">
            <w:pPr>
              <w:jc w:val="center"/>
              <w:rPr>
                <w:rFonts w:ascii="Calibri" w:hAnsi="Calibri"/>
                <w:b/>
                <w:color w:val="000000"/>
                <w:szCs w:val="22"/>
              </w:rPr>
            </w:pPr>
            <w:r>
              <w:rPr>
                <w:rFonts w:ascii="Calibri" w:hAnsi="Calibri"/>
                <w:b/>
                <w:color w:val="000000"/>
                <w:szCs w:val="22"/>
              </w:rPr>
              <w:t>10</w:t>
            </w:r>
          </w:p>
        </w:tc>
        <w:tc>
          <w:tcPr>
            <w:tcW w:w="1981" w:type="dxa"/>
            <w:tcBorders>
              <w:top w:val="single" w:sz="4" w:space="0" w:color="auto"/>
              <w:left w:val="single" w:sz="4" w:space="0" w:color="auto"/>
              <w:bottom w:val="single" w:sz="4" w:space="0" w:color="auto"/>
              <w:right w:val="single" w:sz="4" w:space="0" w:color="auto"/>
            </w:tcBorders>
            <w:vAlign w:val="center"/>
          </w:tcPr>
          <w:p w14:paraId="61200F66" w14:textId="208A71E1" w:rsidR="00BB20D1" w:rsidRPr="00E04015" w:rsidRDefault="008C3C3D" w:rsidP="00BB20D1">
            <w:pPr>
              <w:jc w:val="center"/>
              <w:rPr>
                <w:rFonts w:ascii="Calibri" w:hAnsi="Calibri"/>
                <w:b/>
                <w:color w:val="000000"/>
                <w:szCs w:val="22"/>
              </w:rPr>
            </w:pPr>
            <w:r>
              <w:rPr>
                <w:rFonts w:ascii="Calibri" w:hAnsi="Calibri"/>
                <w:b/>
                <w:color w:val="000000"/>
                <w:szCs w:val="22"/>
              </w:rPr>
              <w:t>2.4%</w:t>
            </w:r>
          </w:p>
        </w:tc>
      </w:tr>
      <w:tr w:rsidR="00BB20D1" w14:paraId="343379A6" w14:textId="77777777" w:rsidTr="0078382D">
        <w:trPr>
          <w:trHeight w:val="282"/>
        </w:trPr>
        <w:tc>
          <w:tcPr>
            <w:tcW w:w="4664" w:type="dxa"/>
            <w:tcBorders>
              <w:top w:val="single" w:sz="4" w:space="0" w:color="auto"/>
              <w:left w:val="single" w:sz="4" w:space="0" w:color="auto"/>
              <w:bottom w:val="single" w:sz="4" w:space="0" w:color="auto"/>
              <w:right w:val="single" w:sz="4" w:space="0" w:color="auto"/>
            </w:tcBorders>
            <w:vAlign w:val="bottom"/>
            <w:hideMark/>
          </w:tcPr>
          <w:p w14:paraId="43AEB5F4" w14:textId="77777777" w:rsidR="00BB20D1" w:rsidRDefault="00BB20D1" w:rsidP="00BB20D1">
            <w:pPr>
              <w:rPr>
                <w:rFonts w:cs="Arial"/>
                <w:b/>
                <w:szCs w:val="22"/>
              </w:rPr>
            </w:pPr>
            <w:r>
              <w:rPr>
                <w:rFonts w:cs="Arial"/>
                <w:b/>
                <w:szCs w:val="22"/>
              </w:rPr>
              <w:t>Disability services</w:t>
            </w:r>
          </w:p>
        </w:tc>
        <w:tc>
          <w:tcPr>
            <w:tcW w:w="2263" w:type="dxa"/>
            <w:tcBorders>
              <w:top w:val="single" w:sz="4" w:space="0" w:color="auto"/>
              <w:left w:val="single" w:sz="4" w:space="0" w:color="auto"/>
              <w:bottom w:val="single" w:sz="4" w:space="0" w:color="auto"/>
              <w:right w:val="single" w:sz="4" w:space="0" w:color="auto"/>
            </w:tcBorders>
            <w:vAlign w:val="center"/>
          </w:tcPr>
          <w:p w14:paraId="208725DD" w14:textId="64D74EDD" w:rsidR="00BB20D1" w:rsidRPr="00E04015" w:rsidRDefault="00BB20D1" w:rsidP="00BB20D1">
            <w:pPr>
              <w:jc w:val="center"/>
              <w:rPr>
                <w:rFonts w:ascii="Calibri" w:hAnsi="Calibri"/>
                <w:b/>
                <w:color w:val="000000"/>
                <w:szCs w:val="22"/>
              </w:rPr>
            </w:pPr>
            <w:r>
              <w:rPr>
                <w:rFonts w:ascii="Calibri" w:hAnsi="Calibri"/>
                <w:b/>
                <w:color w:val="000000"/>
                <w:szCs w:val="22"/>
              </w:rPr>
              <w:t>6</w:t>
            </w:r>
          </w:p>
        </w:tc>
        <w:tc>
          <w:tcPr>
            <w:tcW w:w="1981" w:type="dxa"/>
            <w:tcBorders>
              <w:top w:val="single" w:sz="4" w:space="0" w:color="auto"/>
              <w:left w:val="single" w:sz="4" w:space="0" w:color="auto"/>
              <w:bottom w:val="single" w:sz="4" w:space="0" w:color="auto"/>
              <w:right w:val="single" w:sz="4" w:space="0" w:color="auto"/>
            </w:tcBorders>
            <w:vAlign w:val="center"/>
          </w:tcPr>
          <w:p w14:paraId="7BC4490D" w14:textId="21594614" w:rsidR="00BB20D1" w:rsidRPr="00E04015" w:rsidRDefault="008C3C3D" w:rsidP="00BB20D1">
            <w:pPr>
              <w:jc w:val="center"/>
              <w:rPr>
                <w:rFonts w:ascii="Calibri" w:hAnsi="Calibri"/>
                <w:b/>
                <w:color w:val="000000"/>
                <w:szCs w:val="22"/>
              </w:rPr>
            </w:pPr>
            <w:r>
              <w:rPr>
                <w:rFonts w:ascii="Calibri" w:hAnsi="Calibri"/>
                <w:b/>
                <w:color w:val="000000"/>
                <w:szCs w:val="22"/>
              </w:rPr>
              <w:t>1.5%</w:t>
            </w:r>
          </w:p>
        </w:tc>
      </w:tr>
      <w:tr w:rsidR="00BB20D1" w14:paraId="3EC58C14" w14:textId="77777777" w:rsidTr="0078382D">
        <w:trPr>
          <w:trHeight w:val="257"/>
        </w:trPr>
        <w:tc>
          <w:tcPr>
            <w:tcW w:w="4664" w:type="dxa"/>
            <w:tcBorders>
              <w:top w:val="single" w:sz="4" w:space="0" w:color="auto"/>
              <w:left w:val="single" w:sz="4" w:space="0" w:color="auto"/>
              <w:bottom w:val="single" w:sz="4" w:space="0" w:color="auto"/>
              <w:right w:val="single" w:sz="4" w:space="0" w:color="auto"/>
            </w:tcBorders>
            <w:vAlign w:val="bottom"/>
            <w:hideMark/>
          </w:tcPr>
          <w:p w14:paraId="35CEADF2" w14:textId="77777777" w:rsidR="00BB20D1" w:rsidRDefault="00BB20D1" w:rsidP="00BB20D1">
            <w:pPr>
              <w:rPr>
                <w:rFonts w:cs="Arial"/>
                <w:b/>
                <w:szCs w:val="22"/>
              </w:rPr>
            </w:pPr>
            <w:r>
              <w:rPr>
                <w:rFonts w:cs="Arial"/>
                <w:b/>
                <w:szCs w:val="22"/>
              </w:rPr>
              <w:t xml:space="preserve">District nursing </w:t>
            </w:r>
          </w:p>
        </w:tc>
        <w:tc>
          <w:tcPr>
            <w:tcW w:w="2263" w:type="dxa"/>
            <w:tcBorders>
              <w:top w:val="single" w:sz="4" w:space="0" w:color="auto"/>
              <w:left w:val="single" w:sz="4" w:space="0" w:color="auto"/>
              <w:bottom w:val="single" w:sz="4" w:space="0" w:color="auto"/>
              <w:right w:val="single" w:sz="4" w:space="0" w:color="auto"/>
            </w:tcBorders>
            <w:vAlign w:val="center"/>
          </w:tcPr>
          <w:p w14:paraId="54F3F22E" w14:textId="32F96CC5" w:rsidR="00BB20D1" w:rsidRPr="00E04015" w:rsidRDefault="00BB20D1" w:rsidP="00BB20D1">
            <w:pPr>
              <w:jc w:val="center"/>
              <w:rPr>
                <w:rFonts w:ascii="Calibri" w:hAnsi="Calibri"/>
                <w:b/>
                <w:color w:val="000000"/>
                <w:szCs w:val="22"/>
              </w:rPr>
            </w:pPr>
            <w:r>
              <w:rPr>
                <w:rFonts w:ascii="Calibri" w:hAnsi="Calibri"/>
                <w:b/>
                <w:color w:val="000000"/>
                <w:szCs w:val="22"/>
              </w:rPr>
              <w:t>2</w:t>
            </w:r>
          </w:p>
        </w:tc>
        <w:tc>
          <w:tcPr>
            <w:tcW w:w="1981" w:type="dxa"/>
            <w:tcBorders>
              <w:top w:val="single" w:sz="4" w:space="0" w:color="auto"/>
              <w:left w:val="single" w:sz="4" w:space="0" w:color="auto"/>
              <w:bottom w:val="single" w:sz="4" w:space="0" w:color="auto"/>
              <w:right w:val="single" w:sz="4" w:space="0" w:color="auto"/>
            </w:tcBorders>
            <w:vAlign w:val="center"/>
          </w:tcPr>
          <w:p w14:paraId="2D9EC3AD" w14:textId="3E921622" w:rsidR="00BB20D1" w:rsidRPr="00E04015" w:rsidRDefault="008C3C3D" w:rsidP="00BB20D1">
            <w:pPr>
              <w:jc w:val="center"/>
              <w:rPr>
                <w:rFonts w:ascii="Calibri" w:hAnsi="Calibri"/>
                <w:b/>
                <w:color w:val="000000"/>
                <w:szCs w:val="22"/>
              </w:rPr>
            </w:pPr>
            <w:r>
              <w:rPr>
                <w:rFonts w:ascii="Calibri" w:hAnsi="Calibri"/>
                <w:b/>
                <w:color w:val="000000"/>
                <w:szCs w:val="22"/>
              </w:rPr>
              <w:t>0.5%</w:t>
            </w:r>
          </w:p>
        </w:tc>
      </w:tr>
      <w:tr w:rsidR="00BB20D1" w14:paraId="5A7627AC" w14:textId="77777777" w:rsidTr="0078382D">
        <w:trPr>
          <w:trHeight w:val="262"/>
        </w:trPr>
        <w:tc>
          <w:tcPr>
            <w:tcW w:w="4664" w:type="dxa"/>
            <w:tcBorders>
              <w:top w:val="single" w:sz="4" w:space="0" w:color="auto"/>
              <w:left w:val="single" w:sz="4" w:space="0" w:color="auto"/>
              <w:bottom w:val="single" w:sz="4" w:space="0" w:color="auto"/>
              <w:right w:val="single" w:sz="4" w:space="0" w:color="auto"/>
            </w:tcBorders>
            <w:vAlign w:val="bottom"/>
            <w:hideMark/>
          </w:tcPr>
          <w:p w14:paraId="3B9BB900" w14:textId="77777777" w:rsidR="00BB20D1" w:rsidRDefault="00BB20D1" w:rsidP="00BB20D1">
            <w:pPr>
              <w:jc w:val="left"/>
              <w:rPr>
                <w:rFonts w:ascii="Calibri" w:hAnsi="Calibri" w:cs="Calibri"/>
                <w:b/>
                <w:color w:val="000000"/>
                <w:szCs w:val="22"/>
              </w:rPr>
            </w:pPr>
            <w:r>
              <w:rPr>
                <w:rFonts w:ascii="Calibri" w:hAnsi="Calibri" w:cs="Calibri"/>
                <w:b/>
                <w:color w:val="000000"/>
                <w:szCs w:val="22"/>
              </w:rPr>
              <w:t xml:space="preserve">Emergency department </w:t>
            </w:r>
          </w:p>
        </w:tc>
        <w:tc>
          <w:tcPr>
            <w:tcW w:w="2263" w:type="dxa"/>
            <w:tcBorders>
              <w:top w:val="single" w:sz="4" w:space="0" w:color="auto"/>
              <w:left w:val="single" w:sz="4" w:space="0" w:color="auto"/>
              <w:bottom w:val="single" w:sz="4" w:space="0" w:color="auto"/>
              <w:right w:val="single" w:sz="4" w:space="0" w:color="auto"/>
            </w:tcBorders>
            <w:vAlign w:val="center"/>
          </w:tcPr>
          <w:p w14:paraId="601517C1" w14:textId="5165A14B" w:rsidR="00BB20D1" w:rsidRPr="00E04015" w:rsidRDefault="005F0555" w:rsidP="00BB20D1">
            <w:pPr>
              <w:jc w:val="center"/>
              <w:rPr>
                <w:rFonts w:ascii="Calibri" w:hAnsi="Calibri"/>
                <w:b/>
                <w:color w:val="000000"/>
                <w:szCs w:val="22"/>
              </w:rPr>
            </w:pPr>
            <w:r>
              <w:rPr>
                <w:rFonts w:ascii="Calibri" w:hAnsi="Calibri"/>
                <w:b/>
                <w:color w:val="000000"/>
                <w:szCs w:val="22"/>
              </w:rPr>
              <w:t>43</w:t>
            </w:r>
          </w:p>
        </w:tc>
        <w:tc>
          <w:tcPr>
            <w:tcW w:w="1981" w:type="dxa"/>
            <w:tcBorders>
              <w:top w:val="single" w:sz="4" w:space="0" w:color="auto"/>
              <w:left w:val="single" w:sz="4" w:space="0" w:color="auto"/>
              <w:bottom w:val="single" w:sz="4" w:space="0" w:color="auto"/>
              <w:right w:val="single" w:sz="4" w:space="0" w:color="auto"/>
            </w:tcBorders>
            <w:vAlign w:val="center"/>
          </w:tcPr>
          <w:p w14:paraId="243D3064" w14:textId="5035E1FE" w:rsidR="00BB20D1" w:rsidRPr="00E04015" w:rsidRDefault="009B77B8" w:rsidP="00BB20D1">
            <w:pPr>
              <w:jc w:val="center"/>
              <w:rPr>
                <w:rFonts w:ascii="Calibri" w:hAnsi="Calibri"/>
                <w:b/>
                <w:color w:val="000000"/>
                <w:szCs w:val="22"/>
              </w:rPr>
            </w:pPr>
            <w:r>
              <w:rPr>
                <w:rFonts w:ascii="Calibri" w:hAnsi="Calibri"/>
                <w:b/>
                <w:color w:val="000000"/>
                <w:szCs w:val="22"/>
              </w:rPr>
              <w:t>10.5</w:t>
            </w:r>
            <w:r w:rsidR="008C3C3D">
              <w:rPr>
                <w:rFonts w:ascii="Calibri" w:hAnsi="Calibri"/>
                <w:b/>
                <w:color w:val="000000"/>
                <w:szCs w:val="22"/>
              </w:rPr>
              <w:t>%</w:t>
            </w:r>
          </w:p>
        </w:tc>
      </w:tr>
      <w:tr w:rsidR="00BB20D1" w14:paraId="6A48949F" w14:textId="77777777" w:rsidTr="0078382D">
        <w:tc>
          <w:tcPr>
            <w:tcW w:w="4664" w:type="dxa"/>
            <w:tcBorders>
              <w:top w:val="single" w:sz="4" w:space="0" w:color="auto"/>
              <w:left w:val="single" w:sz="4" w:space="0" w:color="auto"/>
              <w:bottom w:val="single" w:sz="4" w:space="0" w:color="auto"/>
              <w:right w:val="single" w:sz="4" w:space="0" w:color="auto"/>
            </w:tcBorders>
            <w:vAlign w:val="bottom"/>
            <w:hideMark/>
          </w:tcPr>
          <w:p w14:paraId="01DCC5EF" w14:textId="77777777" w:rsidR="00BB20D1" w:rsidRDefault="00BB20D1" w:rsidP="00BB20D1">
            <w:pPr>
              <w:rPr>
                <w:rFonts w:ascii="Calibri" w:hAnsi="Calibri" w:cs="Calibri"/>
                <w:b/>
                <w:color w:val="000000"/>
                <w:szCs w:val="22"/>
              </w:rPr>
            </w:pPr>
            <w:r>
              <w:rPr>
                <w:rFonts w:ascii="Calibri" w:hAnsi="Calibri" w:cs="Calibri"/>
                <w:b/>
                <w:color w:val="000000"/>
                <w:szCs w:val="22"/>
              </w:rPr>
              <w:t>Intensive care/critical care</w:t>
            </w:r>
          </w:p>
        </w:tc>
        <w:tc>
          <w:tcPr>
            <w:tcW w:w="2263" w:type="dxa"/>
            <w:tcBorders>
              <w:top w:val="single" w:sz="4" w:space="0" w:color="auto"/>
              <w:left w:val="single" w:sz="4" w:space="0" w:color="auto"/>
              <w:bottom w:val="single" w:sz="4" w:space="0" w:color="auto"/>
              <w:right w:val="single" w:sz="4" w:space="0" w:color="auto"/>
            </w:tcBorders>
            <w:vAlign w:val="center"/>
          </w:tcPr>
          <w:p w14:paraId="0DA20A24" w14:textId="4360E528" w:rsidR="00BB20D1" w:rsidRPr="00E04015" w:rsidRDefault="00BB20D1" w:rsidP="00BB20D1">
            <w:pPr>
              <w:jc w:val="center"/>
              <w:rPr>
                <w:rFonts w:ascii="Calibri" w:hAnsi="Calibri"/>
                <w:b/>
                <w:color w:val="000000"/>
                <w:szCs w:val="22"/>
              </w:rPr>
            </w:pPr>
            <w:r>
              <w:rPr>
                <w:rFonts w:ascii="Calibri" w:hAnsi="Calibri"/>
                <w:b/>
                <w:color w:val="000000"/>
                <w:szCs w:val="22"/>
              </w:rPr>
              <w:t>3</w:t>
            </w:r>
          </w:p>
        </w:tc>
        <w:tc>
          <w:tcPr>
            <w:tcW w:w="1981" w:type="dxa"/>
            <w:tcBorders>
              <w:top w:val="single" w:sz="4" w:space="0" w:color="auto"/>
              <w:left w:val="single" w:sz="4" w:space="0" w:color="auto"/>
              <w:bottom w:val="single" w:sz="4" w:space="0" w:color="auto"/>
              <w:right w:val="single" w:sz="4" w:space="0" w:color="auto"/>
            </w:tcBorders>
            <w:vAlign w:val="center"/>
          </w:tcPr>
          <w:p w14:paraId="1C6BAFEB" w14:textId="24D391C8" w:rsidR="00BB20D1" w:rsidRPr="00E04015" w:rsidRDefault="008C3C3D" w:rsidP="00BB20D1">
            <w:pPr>
              <w:jc w:val="center"/>
              <w:rPr>
                <w:rFonts w:ascii="Calibri" w:hAnsi="Calibri"/>
                <w:b/>
                <w:color w:val="000000"/>
                <w:szCs w:val="22"/>
              </w:rPr>
            </w:pPr>
            <w:r>
              <w:rPr>
                <w:rFonts w:ascii="Calibri" w:hAnsi="Calibri"/>
                <w:b/>
                <w:color w:val="000000"/>
                <w:szCs w:val="22"/>
              </w:rPr>
              <w:t>0.7%</w:t>
            </w:r>
          </w:p>
        </w:tc>
      </w:tr>
      <w:tr w:rsidR="00BB20D1" w14:paraId="6EC7FBE7" w14:textId="77777777" w:rsidTr="0078382D">
        <w:tc>
          <w:tcPr>
            <w:tcW w:w="4664" w:type="dxa"/>
            <w:tcBorders>
              <w:top w:val="single" w:sz="4" w:space="0" w:color="auto"/>
              <w:left w:val="single" w:sz="4" w:space="0" w:color="auto"/>
              <w:bottom w:val="single" w:sz="4" w:space="0" w:color="auto"/>
              <w:right w:val="single" w:sz="4" w:space="0" w:color="auto"/>
            </w:tcBorders>
            <w:vAlign w:val="bottom"/>
            <w:hideMark/>
          </w:tcPr>
          <w:p w14:paraId="7D7A982F" w14:textId="77777777" w:rsidR="00BB20D1" w:rsidRDefault="00BB20D1" w:rsidP="00BB20D1">
            <w:pPr>
              <w:rPr>
                <w:rFonts w:ascii="Calibri" w:hAnsi="Calibri" w:cs="Calibri"/>
                <w:b/>
                <w:color w:val="000000"/>
                <w:szCs w:val="22"/>
              </w:rPr>
            </w:pPr>
            <w:r>
              <w:rPr>
                <w:rFonts w:ascii="Calibri" w:hAnsi="Calibri" w:cs="Calibri"/>
                <w:b/>
                <w:color w:val="000000"/>
                <w:szCs w:val="22"/>
              </w:rPr>
              <w:t>Maternity</w:t>
            </w:r>
          </w:p>
        </w:tc>
        <w:tc>
          <w:tcPr>
            <w:tcW w:w="2263" w:type="dxa"/>
            <w:tcBorders>
              <w:top w:val="single" w:sz="4" w:space="0" w:color="auto"/>
              <w:left w:val="single" w:sz="4" w:space="0" w:color="auto"/>
              <w:bottom w:val="single" w:sz="4" w:space="0" w:color="auto"/>
              <w:right w:val="single" w:sz="4" w:space="0" w:color="auto"/>
            </w:tcBorders>
            <w:vAlign w:val="center"/>
          </w:tcPr>
          <w:p w14:paraId="632D5003" w14:textId="41EAF68E" w:rsidR="00BB20D1" w:rsidRPr="00E04015" w:rsidRDefault="005F0555" w:rsidP="00BB20D1">
            <w:pPr>
              <w:jc w:val="center"/>
              <w:rPr>
                <w:rFonts w:ascii="Calibri" w:hAnsi="Calibri"/>
                <w:b/>
                <w:color w:val="000000"/>
                <w:szCs w:val="22"/>
              </w:rPr>
            </w:pPr>
            <w:r>
              <w:rPr>
                <w:rFonts w:ascii="Calibri" w:hAnsi="Calibri"/>
                <w:b/>
                <w:color w:val="000000"/>
                <w:szCs w:val="22"/>
              </w:rPr>
              <w:t>27</w:t>
            </w:r>
          </w:p>
        </w:tc>
        <w:tc>
          <w:tcPr>
            <w:tcW w:w="1981" w:type="dxa"/>
            <w:tcBorders>
              <w:top w:val="single" w:sz="4" w:space="0" w:color="auto"/>
              <w:left w:val="single" w:sz="4" w:space="0" w:color="auto"/>
              <w:bottom w:val="single" w:sz="4" w:space="0" w:color="auto"/>
              <w:right w:val="single" w:sz="4" w:space="0" w:color="auto"/>
            </w:tcBorders>
            <w:vAlign w:val="center"/>
          </w:tcPr>
          <w:p w14:paraId="5C63768E" w14:textId="14577BF1" w:rsidR="00BB20D1" w:rsidRPr="00E04015" w:rsidRDefault="009B77B8" w:rsidP="00BB20D1">
            <w:pPr>
              <w:jc w:val="center"/>
              <w:rPr>
                <w:rFonts w:ascii="Calibri" w:hAnsi="Calibri"/>
                <w:b/>
                <w:color w:val="000000"/>
                <w:szCs w:val="22"/>
              </w:rPr>
            </w:pPr>
            <w:r>
              <w:rPr>
                <w:rFonts w:ascii="Calibri" w:hAnsi="Calibri"/>
                <w:b/>
                <w:color w:val="000000"/>
                <w:szCs w:val="22"/>
              </w:rPr>
              <w:t>6.6</w:t>
            </w:r>
            <w:r w:rsidR="008C3C3D">
              <w:rPr>
                <w:rFonts w:ascii="Calibri" w:hAnsi="Calibri"/>
                <w:b/>
                <w:color w:val="000000"/>
                <w:szCs w:val="22"/>
              </w:rPr>
              <w:t>%</w:t>
            </w:r>
          </w:p>
        </w:tc>
      </w:tr>
      <w:tr w:rsidR="00BB20D1" w14:paraId="0FC19FD1" w14:textId="77777777" w:rsidTr="0078382D">
        <w:tc>
          <w:tcPr>
            <w:tcW w:w="4664" w:type="dxa"/>
            <w:tcBorders>
              <w:top w:val="single" w:sz="4" w:space="0" w:color="auto"/>
              <w:left w:val="single" w:sz="4" w:space="0" w:color="auto"/>
              <w:bottom w:val="single" w:sz="4" w:space="0" w:color="auto"/>
              <w:right w:val="single" w:sz="4" w:space="0" w:color="auto"/>
            </w:tcBorders>
          </w:tcPr>
          <w:p w14:paraId="0917B05A" w14:textId="77777777" w:rsidR="00BB20D1" w:rsidRDefault="00BB20D1" w:rsidP="00BB20D1">
            <w:pPr>
              <w:jc w:val="left"/>
              <w:rPr>
                <w:rFonts w:ascii="Calibri" w:hAnsi="Calibri" w:cs="Calibri"/>
                <w:b/>
                <w:color w:val="000000"/>
                <w:szCs w:val="22"/>
              </w:rPr>
            </w:pPr>
            <w:r>
              <w:rPr>
                <w:rFonts w:ascii="Calibri" w:hAnsi="Calibri" w:cs="Calibri"/>
                <w:b/>
                <w:color w:val="000000"/>
                <w:szCs w:val="22"/>
              </w:rPr>
              <w:t>Medicine</w:t>
            </w:r>
          </w:p>
          <w:p w14:paraId="6CD521AB" w14:textId="77777777" w:rsidR="00BB20D1" w:rsidRPr="009100DA" w:rsidRDefault="00BB20D1" w:rsidP="00BB20D1">
            <w:pPr>
              <w:jc w:val="left"/>
              <w:rPr>
                <w:rFonts w:ascii="Calibri" w:hAnsi="Calibri" w:cs="Calibri"/>
                <w:color w:val="000000"/>
                <w:szCs w:val="22"/>
              </w:rPr>
            </w:pPr>
            <w:r>
              <w:rPr>
                <w:rFonts w:ascii="Calibri" w:hAnsi="Calibri" w:cs="Calibri"/>
                <w:b/>
                <w:color w:val="000000"/>
                <w:szCs w:val="22"/>
              </w:rPr>
              <w:t xml:space="preserve">  </w:t>
            </w:r>
            <w:r w:rsidRPr="009100DA">
              <w:rPr>
                <w:rFonts w:ascii="Calibri" w:hAnsi="Calibri" w:cs="Calibri"/>
                <w:color w:val="000000"/>
                <w:szCs w:val="22"/>
              </w:rPr>
              <w:t>General medicine</w:t>
            </w:r>
          </w:p>
          <w:p w14:paraId="64A4C722" w14:textId="32F64FCA" w:rsidR="00BB20D1" w:rsidRDefault="003451E7" w:rsidP="00BB20D1">
            <w:pPr>
              <w:jc w:val="left"/>
              <w:rPr>
                <w:rFonts w:ascii="Calibri" w:hAnsi="Calibri" w:cs="Calibri"/>
                <w:color w:val="000000"/>
                <w:szCs w:val="22"/>
              </w:rPr>
            </w:pPr>
            <w:r>
              <w:rPr>
                <w:rFonts w:ascii="Calibri" w:hAnsi="Calibri" w:cs="Calibri"/>
                <w:color w:val="000000"/>
                <w:szCs w:val="22"/>
              </w:rPr>
              <w:t xml:space="preserve">  Cardiology</w:t>
            </w:r>
          </w:p>
          <w:p w14:paraId="67A19581" w14:textId="0FAB49A8" w:rsidR="00BB20D1" w:rsidRDefault="00BB20D1" w:rsidP="00BB20D1">
            <w:pPr>
              <w:jc w:val="left"/>
              <w:rPr>
                <w:rFonts w:ascii="Calibri" w:hAnsi="Calibri" w:cs="Calibri"/>
                <w:color w:val="000000"/>
                <w:szCs w:val="22"/>
              </w:rPr>
            </w:pPr>
            <w:r>
              <w:rPr>
                <w:rFonts w:ascii="Calibri" w:hAnsi="Calibri" w:cs="Calibri"/>
                <w:color w:val="000000"/>
                <w:szCs w:val="22"/>
              </w:rPr>
              <w:t xml:space="preserve">  Endocrinology</w:t>
            </w:r>
          </w:p>
          <w:p w14:paraId="1C3F9163" w14:textId="77777777" w:rsidR="00BB20D1" w:rsidRDefault="00BB20D1" w:rsidP="00BB20D1">
            <w:pPr>
              <w:jc w:val="left"/>
              <w:rPr>
                <w:rFonts w:ascii="Calibri" w:hAnsi="Calibri" w:cs="Calibri"/>
                <w:color w:val="000000"/>
                <w:szCs w:val="22"/>
              </w:rPr>
            </w:pPr>
            <w:r>
              <w:rPr>
                <w:rFonts w:ascii="Calibri" w:hAnsi="Calibri" w:cs="Calibri"/>
                <w:color w:val="000000"/>
                <w:szCs w:val="22"/>
              </w:rPr>
              <w:t xml:space="preserve">  Gastroenterology</w:t>
            </w:r>
          </w:p>
          <w:p w14:paraId="4DB94041" w14:textId="77777777" w:rsidR="00BB20D1" w:rsidRDefault="00BB20D1" w:rsidP="00BB20D1">
            <w:pPr>
              <w:jc w:val="left"/>
              <w:rPr>
                <w:rFonts w:ascii="Calibri" w:hAnsi="Calibri" w:cs="Calibri"/>
                <w:color w:val="000000"/>
                <w:szCs w:val="22"/>
              </w:rPr>
            </w:pPr>
            <w:r>
              <w:rPr>
                <w:rFonts w:ascii="Calibri" w:hAnsi="Calibri" w:cs="Calibri"/>
                <w:color w:val="000000"/>
                <w:szCs w:val="22"/>
              </w:rPr>
              <w:t xml:space="preserve">  Geriatric medicine</w:t>
            </w:r>
          </w:p>
          <w:p w14:paraId="56E2EDC8" w14:textId="77777777" w:rsidR="00BB20D1" w:rsidRDefault="00BB20D1" w:rsidP="00BB20D1">
            <w:pPr>
              <w:jc w:val="left"/>
              <w:rPr>
                <w:rFonts w:ascii="Calibri" w:hAnsi="Calibri" w:cs="Calibri"/>
                <w:color w:val="000000"/>
                <w:szCs w:val="22"/>
              </w:rPr>
            </w:pPr>
            <w:r>
              <w:rPr>
                <w:rFonts w:ascii="Calibri" w:hAnsi="Calibri" w:cs="Calibri"/>
                <w:color w:val="000000"/>
                <w:szCs w:val="22"/>
              </w:rPr>
              <w:t xml:space="preserve">  Haematology</w:t>
            </w:r>
          </w:p>
          <w:p w14:paraId="5AC8E846" w14:textId="77777777" w:rsidR="00BB20D1" w:rsidRDefault="00BB20D1" w:rsidP="00BB20D1">
            <w:pPr>
              <w:jc w:val="left"/>
              <w:rPr>
                <w:rFonts w:ascii="Calibri" w:hAnsi="Calibri" w:cs="Calibri"/>
                <w:color w:val="000000"/>
                <w:szCs w:val="22"/>
              </w:rPr>
            </w:pPr>
            <w:r>
              <w:rPr>
                <w:rFonts w:ascii="Calibri" w:hAnsi="Calibri" w:cs="Calibri"/>
                <w:color w:val="000000"/>
                <w:szCs w:val="22"/>
              </w:rPr>
              <w:t xml:space="preserve">  Neurology</w:t>
            </w:r>
          </w:p>
          <w:p w14:paraId="1C5F6D4B" w14:textId="2AF3AF46" w:rsidR="00BB20D1" w:rsidRDefault="003451E7" w:rsidP="00BB20D1">
            <w:pPr>
              <w:jc w:val="left"/>
              <w:rPr>
                <w:rFonts w:ascii="Calibri" w:hAnsi="Calibri" w:cs="Calibri"/>
                <w:color w:val="000000"/>
                <w:szCs w:val="22"/>
              </w:rPr>
            </w:pPr>
            <w:r>
              <w:rPr>
                <w:rFonts w:ascii="Calibri" w:hAnsi="Calibri" w:cs="Calibri"/>
                <w:color w:val="000000"/>
                <w:szCs w:val="22"/>
              </w:rPr>
              <w:t xml:space="preserve">  Oncology</w:t>
            </w:r>
          </w:p>
          <w:p w14:paraId="13F0945D" w14:textId="77777777" w:rsidR="00BB20D1" w:rsidRDefault="00BB20D1" w:rsidP="00BB20D1">
            <w:pPr>
              <w:jc w:val="left"/>
              <w:rPr>
                <w:rFonts w:ascii="Calibri" w:hAnsi="Calibri" w:cs="Calibri"/>
                <w:color w:val="000000"/>
                <w:szCs w:val="22"/>
              </w:rPr>
            </w:pPr>
            <w:r>
              <w:rPr>
                <w:rFonts w:ascii="Calibri" w:hAnsi="Calibri" w:cs="Calibri"/>
                <w:color w:val="000000"/>
                <w:szCs w:val="22"/>
              </w:rPr>
              <w:t xml:space="preserve">  Renal/nephrology</w:t>
            </w:r>
          </w:p>
          <w:p w14:paraId="0F787D85" w14:textId="0AF17C6B" w:rsidR="00BB20D1" w:rsidRDefault="00BB20D1" w:rsidP="00BB20D1">
            <w:pPr>
              <w:jc w:val="left"/>
              <w:rPr>
                <w:rFonts w:ascii="Calibri" w:hAnsi="Calibri" w:cs="Calibri"/>
                <w:color w:val="000000"/>
                <w:szCs w:val="22"/>
              </w:rPr>
            </w:pPr>
            <w:r>
              <w:rPr>
                <w:rFonts w:ascii="Calibri" w:hAnsi="Calibri" w:cs="Calibri"/>
                <w:color w:val="000000"/>
                <w:szCs w:val="22"/>
              </w:rPr>
              <w:t xml:space="preserve">  Respiratory</w:t>
            </w:r>
          </w:p>
          <w:p w14:paraId="6D3ECE6A" w14:textId="3C0B0C4E" w:rsidR="003451E7" w:rsidRDefault="003451E7" w:rsidP="00BB20D1">
            <w:pPr>
              <w:jc w:val="left"/>
              <w:rPr>
                <w:rFonts w:ascii="Calibri" w:hAnsi="Calibri" w:cs="Calibri"/>
                <w:color w:val="000000"/>
                <w:szCs w:val="22"/>
              </w:rPr>
            </w:pPr>
            <w:r>
              <w:rPr>
                <w:rFonts w:ascii="Calibri" w:hAnsi="Calibri" w:cs="Calibri"/>
                <w:color w:val="000000"/>
                <w:szCs w:val="22"/>
              </w:rPr>
              <w:t xml:space="preserve">  Rheumatology</w:t>
            </w:r>
          </w:p>
          <w:p w14:paraId="1C74009B" w14:textId="77777777" w:rsidR="00BB20D1" w:rsidRDefault="00BB20D1" w:rsidP="00BB20D1">
            <w:pPr>
              <w:jc w:val="left"/>
              <w:rPr>
                <w:rFonts w:ascii="Calibri" w:hAnsi="Calibri" w:cs="Calibri"/>
                <w:color w:val="000000"/>
                <w:szCs w:val="22"/>
              </w:rPr>
            </w:pPr>
            <w:r>
              <w:rPr>
                <w:rFonts w:ascii="Calibri" w:hAnsi="Calibri" w:cs="Calibri"/>
                <w:color w:val="000000"/>
                <w:szCs w:val="22"/>
              </w:rPr>
              <w:t xml:space="preserve">  Other/unspecified</w:t>
            </w:r>
          </w:p>
        </w:tc>
        <w:tc>
          <w:tcPr>
            <w:tcW w:w="2263" w:type="dxa"/>
            <w:tcBorders>
              <w:top w:val="single" w:sz="4" w:space="0" w:color="auto"/>
              <w:left w:val="single" w:sz="4" w:space="0" w:color="auto"/>
              <w:bottom w:val="single" w:sz="4" w:space="0" w:color="auto"/>
              <w:right w:val="single" w:sz="4" w:space="0" w:color="auto"/>
            </w:tcBorders>
          </w:tcPr>
          <w:p w14:paraId="520177C1" w14:textId="0C647775" w:rsidR="00BB20D1" w:rsidRPr="003451E7" w:rsidRDefault="009B77B8" w:rsidP="00BB20D1">
            <w:pPr>
              <w:jc w:val="center"/>
              <w:rPr>
                <w:rFonts w:ascii="Calibri" w:hAnsi="Calibri"/>
                <w:b/>
                <w:color w:val="000000"/>
                <w:szCs w:val="22"/>
              </w:rPr>
            </w:pPr>
            <w:r>
              <w:rPr>
                <w:rFonts w:ascii="Calibri" w:hAnsi="Calibri"/>
                <w:b/>
                <w:color w:val="000000"/>
                <w:szCs w:val="22"/>
              </w:rPr>
              <w:t>73</w:t>
            </w:r>
          </w:p>
          <w:p w14:paraId="6AF23E73" w14:textId="17144660" w:rsidR="00BB20D1" w:rsidRDefault="009B77B8" w:rsidP="00BB20D1">
            <w:pPr>
              <w:jc w:val="center"/>
              <w:rPr>
                <w:rFonts w:ascii="Calibri" w:hAnsi="Calibri"/>
                <w:color w:val="000000"/>
                <w:szCs w:val="22"/>
              </w:rPr>
            </w:pPr>
            <w:r>
              <w:rPr>
                <w:rFonts w:ascii="Calibri" w:hAnsi="Calibri"/>
                <w:color w:val="000000"/>
                <w:szCs w:val="22"/>
              </w:rPr>
              <w:t>20</w:t>
            </w:r>
          </w:p>
          <w:p w14:paraId="06A2A049" w14:textId="5C847581" w:rsidR="00BB20D1" w:rsidRDefault="005F0555" w:rsidP="00BB20D1">
            <w:pPr>
              <w:jc w:val="center"/>
              <w:rPr>
                <w:rFonts w:ascii="Calibri" w:hAnsi="Calibri"/>
                <w:color w:val="000000"/>
                <w:szCs w:val="22"/>
              </w:rPr>
            </w:pPr>
            <w:r>
              <w:rPr>
                <w:rFonts w:ascii="Calibri" w:hAnsi="Calibri"/>
                <w:color w:val="000000"/>
                <w:szCs w:val="22"/>
              </w:rPr>
              <w:t>7</w:t>
            </w:r>
          </w:p>
          <w:p w14:paraId="2D16661F" w14:textId="11DC7F1F" w:rsidR="003451E7" w:rsidRDefault="003451E7" w:rsidP="00BB20D1">
            <w:pPr>
              <w:jc w:val="center"/>
              <w:rPr>
                <w:rFonts w:ascii="Calibri" w:hAnsi="Calibri"/>
                <w:color w:val="000000"/>
                <w:szCs w:val="22"/>
              </w:rPr>
            </w:pPr>
            <w:r>
              <w:rPr>
                <w:rFonts w:ascii="Calibri" w:hAnsi="Calibri"/>
                <w:color w:val="000000"/>
                <w:szCs w:val="22"/>
              </w:rPr>
              <w:t>2</w:t>
            </w:r>
          </w:p>
          <w:p w14:paraId="53058CF8" w14:textId="0D4B5CEE" w:rsidR="003451E7" w:rsidRDefault="003451E7" w:rsidP="00BB20D1">
            <w:pPr>
              <w:jc w:val="center"/>
              <w:rPr>
                <w:rFonts w:ascii="Calibri" w:hAnsi="Calibri"/>
                <w:color w:val="000000"/>
                <w:szCs w:val="22"/>
              </w:rPr>
            </w:pPr>
            <w:r>
              <w:rPr>
                <w:rFonts w:ascii="Calibri" w:hAnsi="Calibri"/>
                <w:color w:val="000000"/>
                <w:szCs w:val="22"/>
              </w:rPr>
              <w:t>11</w:t>
            </w:r>
          </w:p>
          <w:p w14:paraId="1F38DDDF" w14:textId="35BB513B" w:rsidR="003451E7" w:rsidRDefault="003451E7" w:rsidP="00BB20D1">
            <w:pPr>
              <w:jc w:val="center"/>
              <w:rPr>
                <w:rFonts w:ascii="Calibri" w:hAnsi="Calibri"/>
                <w:color w:val="000000"/>
                <w:szCs w:val="22"/>
              </w:rPr>
            </w:pPr>
            <w:r>
              <w:rPr>
                <w:rFonts w:ascii="Calibri" w:hAnsi="Calibri"/>
                <w:color w:val="000000"/>
                <w:szCs w:val="22"/>
              </w:rPr>
              <w:t>6</w:t>
            </w:r>
          </w:p>
          <w:p w14:paraId="6E280339" w14:textId="649CAD61" w:rsidR="003451E7" w:rsidRDefault="003451E7" w:rsidP="00BB20D1">
            <w:pPr>
              <w:jc w:val="center"/>
              <w:rPr>
                <w:rFonts w:ascii="Calibri" w:hAnsi="Calibri"/>
                <w:color w:val="000000"/>
                <w:szCs w:val="22"/>
              </w:rPr>
            </w:pPr>
            <w:r>
              <w:rPr>
                <w:rFonts w:ascii="Calibri" w:hAnsi="Calibri"/>
                <w:color w:val="000000"/>
                <w:szCs w:val="22"/>
              </w:rPr>
              <w:t>2</w:t>
            </w:r>
          </w:p>
          <w:p w14:paraId="69B449A3" w14:textId="13675ACA" w:rsidR="003451E7" w:rsidRDefault="003451E7" w:rsidP="00BB20D1">
            <w:pPr>
              <w:jc w:val="center"/>
              <w:rPr>
                <w:rFonts w:ascii="Calibri" w:hAnsi="Calibri"/>
                <w:color w:val="000000"/>
                <w:szCs w:val="22"/>
              </w:rPr>
            </w:pPr>
            <w:r>
              <w:rPr>
                <w:rFonts w:ascii="Calibri" w:hAnsi="Calibri"/>
                <w:color w:val="000000"/>
                <w:szCs w:val="22"/>
              </w:rPr>
              <w:t>6</w:t>
            </w:r>
          </w:p>
          <w:p w14:paraId="7F12BCB0" w14:textId="6197D79C" w:rsidR="003451E7" w:rsidRDefault="003451E7" w:rsidP="00BB20D1">
            <w:pPr>
              <w:jc w:val="center"/>
              <w:rPr>
                <w:rFonts w:ascii="Calibri" w:hAnsi="Calibri"/>
                <w:color w:val="000000"/>
                <w:szCs w:val="22"/>
              </w:rPr>
            </w:pPr>
            <w:r>
              <w:rPr>
                <w:rFonts w:ascii="Calibri" w:hAnsi="Calibri"/>
                <w:color w:val="000000"/>
                <w:szCs w:val="22"/>
              </w:rPr>
              <w:t>5</w:t>
            </w:r>
          </w:p>
          <w:p w14:paraId="19376AF1" w14:textId="0ACFB476" w:rsidR="003451E7" w:rsidRDefault="003451E7" w:rsidP="00BB20D1">
            <w:pPr>
              <w:jc w:val="center"/>
              <w:rPr>
                <w:rFonts w:ascii="Calibri" w:hAnsi="Calibri"/>
                <w:color w:val="000000"/>
                <w:szCs w:val="22"/>
              </w:rPr>
            </w:pPr>
            <w:r>
              <w:rPr>
                <w:rFonts w:ascii="Calibri" w:hAnsi="Calibri"/>
                <w:color w:val="000000"/>
                <w:szCs w:val="22"/>
              </w:rPr>
              <w:t>3</w:t>
            </w:r>
          </w:p>
          <w:p w14:paraId="5510FFE7" w14:textId="1F70CD5B" w:rsidR="003451E7" w:rsidRDefault="003451E7" w:rsidP="003451E7">
            <w:pPr>
              <w:jc w:val="center"/>
              <w:rPr>
                <w:rFonts w:ascii="Calibri" w:hAnsi="Calibri"/>
                <w:color w:val="000000"/>
                <w:szCs w:val="22"/>
              </w:rPr>
            </w:pPr>
            <w:r>
              <w:rPr>
                <w:rFonts w:ascii="Calibri" w:hAnsi="Calibri"/>
                <w:color w:val="000000"/>
                <w:szCs w:val="22"/>
              </w:rPr>
              <w:t>4</w:t>
            </w:r>
          </w:p>
          <w:p w14:paraId="1B4D0228" w14:textId="4582E9C2" w:rsidR="003451E7" w:rsidRDefault="003451E7" w:rsidP="00BB20D1">
            <w:pPr>
              <w:jc w:val="center"/>
              <w:rPr>
                <w:rFonts w:ascii="Calibri" w:hAnsi="Calibri"/>
                <w:color w:val="000000"/>
                <w:szCs w:val="22"/>
              </w:rPr>
            </w:pPr>
            <w:r>
              <w:rPr>
                <w:rFonts w:ascii="Calibri" w:hAnsi="Calibri"/>
                <w:color w:val="000000"/>
                <w:szCs w:val="22"/>
              </w:rPr>
              <w:t>2</w:t>
            </w:r>
          </w:p>
          <w:p w14:paraId="53A2F50B" w14:textId="4A4E9F2D" w:rsidR="003451E7" w:rsidRPr="00BB20D1" w:rsidRDefault="003451E7" w:rsidP="00BB20D1">
            <w:pPr>
              <w:jc w:val="center"/>
              <w:rPr>
                <w:rFonts w:ascii="Calibri" w:hAnsi="Calibri"/>
                <w:color w:val="000000"/>
                <w:szCs w:val="22"/>
              </w:rPr>
            </w:pPr>
            <w:r>
              <w:rPr>
                <w:rFonts w:ascii="Calibri" w:hAnsi="Calibri"/>
                <w:color w:val="000000"/>
                <w:szCs w:val="22"/>
              </w:rPr>
              <w:t>5</w:t>
            </w:r>
          </w:p>
        </w:tc>
        <w:tc>
          <w:tcPr>
            <w:tcW w:w="1981" w:type="dxa"/>
            <w:tcBorders>
              <w:top w:val="single" w:sz="4" w:space="0" w:color="auto"/>
              <w:left w:val="single" w:sz="4" w:space="0" w:color="auto"/>
              <w:bottom w:val="single" w:sz="4" w:space="0" w:color="auto"/>
              <w:right w:val="single" w:sz="4" w:space="0" w:color="auto"/>
            </w:tcBorders>
          </w:tcPr>
          <w:p w14:paraId="3E0498EC" w14:textId="7F93DC0D" w:rsidR="00BB20D1" w:rsidRDefault="009B77B8" w:rsidP="00BB20D1">
            <w:pPr>
              <w:jc w:val="center"/>
              <w:rPr>
                <w:rFonts w:ascii="Calibri" w:hAnsi="Calibri"/>
                <w:b/>
                <w:color w:val="000000"/>
                <w:szCs w:val="22"/>
              </w:rPr>
            </w:pPr>
            <w:r>
              <w:rPr>
                <w:rFonts w:ascii="Calibri" w:hAnsi="Calibri"/>
                <w:b/>
                <w:color w:val="000000"/>
                <w:szCs w:val="22"/>
              </w:rPr>
              <w:t>17.8</w:t>
            </w:r>
            <w:r w:rsidR="008C3C3D">
              <w:rPr>
                <w:rFonts w:ascii="Calibri" w:hAnsi="Calibri"/>
                <w:b/>
                <w:color w:val="000000"/>
                <w:szCs w:val="22"/>
              </w:rPr>
              <w:t>%</w:t>
            </w:r>
          </w:p>
          <w:p w14:paraId="617CE2B6" w14:textId="04F02768" w:rsidR="008C3C3D" w:rsidRDefault="009B77B8" w:rsidP="00BB20D1">
            <w:pPr>
              <w:jc w:val="center"/>
              <w:rPr>
                <w:rFonts w:ascii="Calibri" w:hAnsi="Calibri"/>
                <w:color w:val="000000"/>
                <w:szCs w:val="22"/>
              </w:rPr>
            </w:pPr>
            <w:r>
              <w:rPr>
                <w:rFonts w:ascii="Calibri" w:hAnsi="Calibri"/>
                <w:color w:val="000000"/>
                <w:szCs w:val="22"/>
              </w:rPr>
              <w:t>4.9</w:t>
            </w:r>
            <w:r w:rsidR="008C3C3D">
              <w:rPr>
                <w:rFonts w:ascii="Calibri" w:hAnsi="Calibri"/>
                <w:color w:val="000000"/>
                <w:szCs w:val="22"/>
              </w:rPr>
              <w:t>%</w:t>
            </w:r>
          </w:p>
          <w:p w14:paraId="00DC5BA9" w14:textId="02EB8A12" w:rsidR="008C3C3D" w:rsidRDefault="009B77B8" w:rsidP="00BB20D1">
            <w:pPr>
              <w:jc w:val="center"/>
              <w:rPr>
                <w:rFonts w:ascii="Calibri" w:hAnsi="Calibri"/>
                <w:color w:val="000000"/>
                <w:szCs w:val="22"/>
              </w:rPr>
            </w:pPr>
            <w:r>
              <w:rPr>
                <w:rFonts w:ascii="Calibri" w:hAnsi="Calibri"/>
                <w:color w:val="000000"/>
                <w:szCs w:val="22"/>
              </w:rPr>
              <w:t>1.7</w:t>
            </w:r>
            <w:r w:rsidR="008C3C3D">
              <w:rPr>
                <w:rFonts w:ascii="Calibri" w:hAnsi="Calibri"/>
                <w:color w:val="000000"/>
                <w:szCs w:val="22"/>
              </w:rPr>
              <w:t>%</w:t>
            </w:r>
          </w:p>
          <w:p w14:paraId="510F28B3" w14:textId="77777777" w:rsidR="008C3C3D" w:rsidRDefault="008C3C3D" w:rsidP="00BB20D1">
            <w:pPr>
              <w:jc w:val="center"/>
              <w:rPr>
                <w:rFonts w:ascii="Calibri" w:hAnsi="Calibri"/>
                <w:color w:val="000000"/>
                <w:szCs w:val="22"/>
              </w:rPr>
            </w:pPr>
            <w:r>
              <w:rPr>
                <w:rFonts w:ascii="Calibri" w:hAnsi="Calibri"/>
                <w:color w:val="000000"/>
                <w:szCs w:val="22"/>
              </w:rPr>
              <w:t>0.5%</w:t>
            </w:r>
          </w:p>
          <w:p w14:paraId="44BB0015" w14:textId="77777777" w:rsidR="008C3C3D" w:rsidRDefault="008C3C3D" w:rsidP="00BB20D1">
            <w:pPr>
              <w:jc w:val="center"/>
              <w:rPr>
                <w:rFonts w:ascii="Calibri" w:hAnsi="Calibri"/>
                <w:color w:val="000000"/>
                <w:szCs w:val="22"/>
              </w:rPr>
            </w:pPr>
            <w:r>
              <w:rPr>
                <w:rFonts w:ascii="Calibri" w:hAnsi="Calibri"/>
                <w:color w:val="000000"/>
                <w:szCs w:val="22"/>
              </w:rPr>
              <w:t>2.7%</w:t>
            </w:r>
          </w:p>
          <w:p w14:paraId="6FB67F61" w14:textId="77777777" w:rsidR="008C3C3D" w:rsidRDefault="008C3C3D" w:rsidP="00BB20D1">
            <w:pPr>
              <w:jc w:val="center"/>
              <w:rPr>
                <w:rFonts w:ascii="Calibri" w:hAnsi="Calibri"/>
                <w:color w:val="000000"/>
                <w:szCs w:val="22"/>
              </w:rPr>
            </w:pPr>
            <w:r>
              <w:rPr>
                <w:rFonts w:ascii="Calibri" w:hAnsi="Calibri"/>
                <w:color w:val="000000"/>
                <w:szCs w:val="22"/>
              </w:rPr>
              <w:t>1.5%</w:t>
            </w:r>
          </w:p>
          <w:p w14:paraId="2ECC5C5E" w14:textId="77777777" w:rsidR="008C3C3D" w:rsidRDefault="008C3C3D" w:rsidP="00BB20D1">
            <w:pPr>
              <w:jc w:val="center"/>
              <w:rPr>
                <w:rFonts w:ascii="Calibri" w:hAnsi="Calibri"/>
                <w:color w:val="000000"/>
                <w:szCs w:val="22"/>
              </w:rPr>
            </w:pPr>
            <w:r>
              <w:rPr>
                <w:rFonts w:ascii="Calibri" w:hAnsi="Calibri"/>
                <w:color w:val="000000"/>
                <w:szCs w:val="22"/>
              </w:rPr>
              <w:t>0.5%</w:t>
            </w:r>
          </w:p>
          <w:p w14:paraId="0565710D" w14:textId="77777777" w:rsidR="008C3C3D" w:rsidRDefault="008C3C3D" w:rsidP="00BB20D1">
            <w:pPr>
              <w:jc w:val="center"/>
              <w:rPr>
                <w:rFonts w:ascii="Calibri" w:hAnsi="Calibri"/>
                <w:color w:val="000000"/>
                <w:szCs w:val="22"/>
              </w:rPr>
            </w:pPr>
            <w:r>
              <w:rPr>
                <w:rFonts w:ascii="Calibri" w:hAnsi="Calibri"/>
                <w:color w:val="000000"/>
                <w:szCs w:val="22"/>
              </w:rPr>
              <w:t>1.5%</w:t>
            </w:r>
          </w:p>
          <w:p w14:paraId="1DAE2908" w14:textId="77777777" w:rsidR="008C3C3D" w:rsidRDefault="008C3C3D" w:rsidP="00BB20D1">
            <w:pPr>
              <w:jc w:val="center"/>
              <w:rPr>
                <w:rFonts w:ascii="Calibri" w:hAnsi="Calibri"/>
                <w:color w:val="000000"/>
                <w:szCs w:val="22"/>
              </w:rPr>
            </w:pPr>
            <w:r>
              <w:rPr>
                <w:rFonts w:ascii="Calibri" w:hAnsi="Calibri"/>
                <w:color w:val="000000"/>
                <w:szCs w:val="22"/>
              </w:rPr>
              <w:t>1.2%</w:t>
            </w:r>
          </w:p>
          <w:p w14:paraId="31535C75" w14:textId="77777777" w:rsidR="008C3C3D" w:rsidRDefault="008C3C3D" w:rsidP="00BB20D1">
            <w:pPr>
              <w:jc w:val="center"/>
              <w:rPr>
                <w:rFonts w:ascii="Calibri" w:hAnsi="Calibri"/>
                <w:color w:val="000000"/>
                <w:szCs w:val="22"/>
              </w:rPr>
            </w:pPr>
            <w:r>
              <w:rPr>
                <w:rFonts w:ascii="Calibri" w:hAnsi="Calibri"/>
                <w:color w:val="000000"/>
                <w:szCs w:val="22"/>
              </w:rPr>
              <w:t>0.7%</w:t>
            </w:r>
          </w:p>
          <w:p w14:paraId="42713C9F" w14:textId="77777777" w:rsidR="008C3C3D" w:rsidRDefault="008C3C3D" w:rsidP="00BB20D1">
            <w:pPr>
              <w:jc w:val="center"/>
              <w:rPr>
                <w:rFonts w:ascii="Calibri" w:hAnsi="Calibri"/>
                <w:color w:val="000000"/>
                <w:szCs w:val="22"/>
              </w:rPr>
            </w:pPr>
            <w:r>
              <w:rPr>
                <w:rFonts w:ascii="Calibri" w:hAnsi="Calibri"/>
                <w:color w:val="000000"/>
                <w:szCs w:val="22"/>
              </w:rPr>
              <w:t>1.0%</w:t>
            </w:r>
          </w:p>
          <w:p w14:paraId="019F75A0" w14:textId="77777777" w:rsidR="008C3C3D" w:rsidRDefault="008C3C3D" w:rsidP="00BB20D1">
            <w:pPr>
              <w:jc w:val="center"/>
              <w:rPr>
                <w:rFonts w:ascii="Calibri" w:hAnsi="Calibri"/>
                <w:color w:val="000000"/>
                <w:szCs w:val="22"/>
              </w:rPr>
            </w:pPr>
            <w:r>
              <w:rPr>
                <w:rFonts w:ascii="Calibri" w:hAnsi="Calibri"/>
                <w:color w:val="000000"/>
                <w:szCs w:val="22"/>
              </w:rPr>
              <w:t>0.5%</w:t>
            </w:r>
          </w:p>
          <w:p w14:paraId="47AE961D" w14:textId="07ADAAE8" w:rsidR="008C3C3D" w:rsidRPr="008C3C3D" w:rsidRDefault="008C3C3D" w:rsidP="00BB20D1">
            <w:pPr>
              <w:jc w:val="center"/>
              <w:rPr>
                <w:rFonts w:ascii="Calibri" w:hAnsi="Calibri"/>
                <w:color w:val="000000"/>
                <w:szCs w:val="22"/>
              </w:rPr>
            </w:pPr>
            <w:r>
              <w:rPr>
                <w:rFonts w:ascii="Calibri" w:hAnsi="Calibri"/>
                <w:color w:val="000000"/>
                <w:szCs w:val="22"/>
              </w:rPr>
              <w:t>1.2%</w:t>
            </w:r>
          </w:p>
        </w:tc>
      </w:tr>
      <w:tr w:rsidR="00BB20D1" w14:paraId="6E920099" w14:textId="77777777" w:rsidTr="0078382D">
        <w:tc>
          <w:tcPr>
            <w:tcW w:w="4664" w:type="dxa"/>
            <w:tcBorders>
              <w:top w:val="single" w:sz="4" w:space="0" w:color="auto"/>
              <w:left w:val="single" w:sz="4" w:space="0" w:color="auto"/>
              <w:bottom w:val="single" w:sz="4" w:space="0" w:color="auto"/>
              <w:right w:val="single" w:sz="4" w:space="0" w:color="auto"/>
            </w:tcBorders>
            <w:vAlign w:val="bottom"/>
            <w:hideMark/>
          </w:tcPr>
          <w:p w14:paraId="121CE122" w14:textId="77777777" w:rsidR="00BB20D1" w:rsidRDefault="00BB20D1" w:rsidP="00BB20D1">
            <w:pPr>
              <w:rPr>
                <w:rFonts w:ascii="Calibri" w:hAnsi="Calibri" w:cs="Calibri"/>
                <w:b/>
                <w:color w:val="000000"/>
                <w:szCs w:val="22"/>
              </w:rPr>
            </w:pPr>
            <w:r>
              <w:rPr>
                <w:rFonts w:ascii="Calibri" w:hAnsi="Calibri" w:cs="Calibri"/>
                <w:b/>
                <w:color w:val="000000"/>
                <w:szCs w:val="22"/>
              </w:rPr>
              <w:t xml:space="preserve">Mental health </w:t>
            </w:r>
          </w:p>
        </w:tc>
        <w:tc>
          <w:tcPr>
            <w:tcW w:w="2263" w:type="dxa"/>
            <w:tcBorders>
              <w:top w:val="single" w:sz="4" w:space="0" w:color="auto"/>
              <w:left w:val="single" w:sz="4" w:space="0" w:color="auto"/>
              <w:bottom w:val="single" w:sz="4" w:space="0" w:color="auto"/>
              <w:right w:val="single" w:sz="4" w:space="0" w:color="auto"/>
            </w:tcBorders>
            <w:vAlign w:val="center"/>
          </w:tcPr>
          <w:p w14:paraId="78F57E69" w14:textId="353D4142" w:rsidR="00BB20D1" w:rsidRPr="00E04015" w:rsidRDefault="009B77B8" w:rsidP="00BB20D1">
            <w:pPr>
              <w:jc w:val="center"/>
              <w:rPr>
                <w:rFonts w:ascii="Calibri" w:hAnsi="Calibri"/>
                <w:b/>
                <w:color w:val="000000"/>
                <w:szCs w:val="22"/>
              </w:rPr>
            </w:pPr>
            <w:r>
              <w:rPr>
                <w:rFonts w:ascii="Calibri" w:hAnsi="Calibri"/>
                <w:b/>
                <w:color w:val="000000"/>
                <w:szCs w:val="22"/>
              </w:rPr>
              <w:t>89</w:t>
            </w:r>
          </w:p>
        </w:tc>
        <w:tc>
          <w:tcPr>
            <w:tcW w:w="1981" w:type="dxa"/>
            <w:tcBorders>
              <w:top w:val="single" w:sz="4" w:space="0" w:color="auto"/>
              <w:left w:val="single" w:sz="4" w:space="0" w:color="auto"/>
              <w:bottom w:val="single" w:sz="4" w:space="0" w:color="auto"/>
              <w:right w:val="single" w:sz="4" w:space="0" w:color="auto"/>
            </w:tcBorders>
            <w:vAlign w:val="center"/>
          </w:tcPr>
          <w:p w14:paraId="7CFF70A9" w14:textId="2C1360BB" w:rsidR="00BB20D1" w:rsidRPr="00E04015" w:rsidRDefault="009B77B8" w:rsidP="00BB20D1">
            <w:pPr>
              <w:jc w:val="center"/>
              <w:rPr>
                <w:rFonts w:ascii="Calibri" w:hAnsi="Calibri"/>
                <w:b/>
                <w:color w:val="000000"/>
                <w:szCs w:val="22"/>
              </w:rPr>
            </w:pPr>
            <w:r>
              <w:rPr>
                <w:rFonts w:ascii="Calibri" w:hAnsi="Calibri"/>
                <w:b/>
                <w:color w:val="000000"/>
                <w:szCs w:val="22"/>
              </w:rPr>
              <w:t>21.8</w:t>
            </w:r>
            <w:r w:rsidR="008C3C3D">
              <w:rPr>
                <w:rFonts w:ascii="Calibri" w:hAnsi="Calibri"/>
                <w:b/>
                <w:color w:val="000000"/>
                <w:szCs w:val="22"/>
              </w:rPr>
              <w:t>%</w:t>
            </w:r>
          </w:p>
        </w:tc>
      </w:tr>
      <w:tr w:rsidR="00BB20D1" w14:paraId="250FC0D0" w14:textId="77777777" w:rsidTr="0078382D">
        <w:tc>
          <w:tcPr>
            <w:tcW w:w="4664" w:type="dxa"/>
            <w:tcBorders>
              <w:top w:val="single" w:sz="4" w:space="0" w:color="auto"/>
              <w:left w:val="single" w:sz="4" w:space="0" w:color="auto"/>
              <w:bottom w:val="single" w:sz="4" w:space="0" w:color="auto"/>
              <w:right w:val="single" w:sz="4" w:space="0" w:color="auto"/>
            </w:tcBorders>
            <w:vAlign w:val="bottom"/>
          </w:tcPr>
          <w:p w14:paraId="722DDB80" w14:textId="77777777" w:rsidR="00BB20D1" w:rsidRDefault="00BB20D1" w:rsidP="00BB20D1">
            <w:pPr>
              <w:rPr>
                <w:rFonts w:cs="Arial"/>
                <w:b/>
                <w:szCs w:val="22"/>
              </w:rPr>
            </w:pPr>
            <w:r>
              <w:rPr>
                <w:rFonts w:cs="Arial"/>
                <w:b/>
                <w:szCs w:val="22"/>
              </w:rPr>
              <w:t>Paediatrics (not surgical)</w:t>
            </w:r>
          </w:p>
        </w:tc>
        <w:tc>
          <w:tcPr>
            <w:tcW w:w="2263" w:type="dxa"/>
            <w:tcBorders>
              <w:top w:val="single" w:sz="4" w:space="0" w:color="auto"/>
              <w:left w:val="single" w:sz="4" w:space="0" w:color="auto"/>
              <w:bottom w:val="single" w:sz="4" w:space="0" w:color="auto"/>
              <w:right w:val="single" w:sz="4" w:space="0" w:color="auto"/>
            </w:tcBorders>
            <w:vAlign w:val="center"/>
          </w:tcPr>
          <w:p w14:paraId="644AA952" w14:textId="133AA647" w:rsidR="00BB20D1" w:rsidRPr="00E04015" w:rsidRDefault="003451E7" w:rsidP="00BB20D1">
            <w:pPr>
              <w:jc w:val="center"/>
              <w:rPr>
                <w:rFonts w:ascii="Calibri" w:hAnsi="Calibri"/>
                <w:b/>
                <w:color w:val="000000"/>
                <w:szCs w:val="22"/>
              </w:rPr>
            </w:pPr>
            <w:r>
              <w:rPr>
                <w:rFonts w:ascii="Calibri" w:hAnsi="Calibri"/>
                <w:b/>
                <w:color w:val="000000"/>
                <w:szCs w:val="22"/>
              </w:rPr>
              <w:t>11</w:t>
            </w:r>
          </w:p>
        </w:tc>
        <w:tc>
          <w:tcPr>
            <w:tcW w:w="1981" w:type="dxa"/>
            <w:tcBorders>
              <w:top w:val="single" w:sz="4" w:space="0" w:color="auto"/>
              <w:left w:val="single" w:sz="4" w:space="0" w:color="auto"/>
              <w:bottom w:val="single" w:sz="4" w:space="0" w:color="auto"/>
              <w:right w:val="single" w:sz="4" w:space="0" w:color="auto"/>
            </w:tcBorders>
            <w:vAlign w:val="center"/>
          </w:tcPr>
          <w:p w14:paraId="1F4E9751" w14:textId="7C6C4058" w:rsidR="00BB20D1" w:rsidRPr="00E04015" w:rsidRDefault="008C3C3D" w:rsidP="00BB20D1">
            <w:pPr>
              <w:jc w:val="center"/>
              <w:rPr>
                <w:rFonts w:ascii="Calibri" w:hAnsi="Calibri"/>
                <w:b/>
                <w:color w:val="000000"/>
                <w:szCs w:val="22"/>
              </w:rPr>
            </w:pPr>
            <w:r>
              <w:rPr>
                <w:rFonts w:ascii="Calibri" w:hAnsi="Calibri"/>
                <w:b/>
                <w:color w:val="000000"/>
                <w:szCs w:val="22"/>
              </w:rPr>
              <w:t>2.7%</w:t>
            </w:r>
          </w:p>
        </w:tc>
      </w:tr>
      <w:tr w:rsidR="00BB20D1" w14:paraId="321FE7CB" w14:textId="77777777" w:rsidTr="0078382D">
        <w:tc>
          <w:tcPr>
            <w:tcW w:w="4664" w:type="dxa"/>
            <w:tcBorders>
              <w:top w:val="single" w:sz="4" w:space="0" w:color="auto"/>
              <w:left w:val="single" w:sz="4" w:space="0" w:color="auto"/>
              <w:bottom w:val="single" w:sz="4" w:space="0" w:color="auto"/>
              <w:right w:val="single" w:sz="4" w:space="0" w:color="auto"/>
            </w:tcBorders>
            <w:vAlign w:val="bottom"/>
          </w:tcPr>
          <w:p w14:paraId="6864C2DA" w14:textId="77777777" w:rsidR="00BB20D1" w:rsidRDefault="00BB20D1" w:rsidP="00BB20D1">
            <w:pPr>
              <w:rPr>
                <w:rFonts w:ascii="Calibri" w:hAnsi="Calibri" w:cs="Calibri"/>
                <w:b/>
                <w:color w:val="000000"/>
                <w:szCs w:val="22"/>
              </w:rPr>
            </w:pPr>
            <w:r>
              <w:rPr>
                <w:rFonts w:ascii="Calibri" w:hAnsi="Calibri" w:cs="Calibri"/>
                <w:b/>
                <w:color w:val="000000"/>
                <w:szCs w:val="22"/>
              </w:rPr>
              <w:t xml:space="preserve">Rehabilitation services </w:t>
            </w:r>
          </w:p>
        </w:tc>
        <w:tc>
          <w:tcPr>
            <w:tcW w:w="2263" w:type="dxa"/>
            <w:tcBorders>
              <w:top w:val="single" w:sz="4" w:space="0" w:color="auto"/>
              <w:left w:val="single" w:sz="4" w:space="0" w:color="auto"/>
              <w:bottom w:val="single" w:sz="4" w:space="0" w:color="auto"/>
              <w:right w:val="single" w:sz="4" w:space="0" w:color="auto"/>
            </w:tcBorders>
            <w:vAlign w:val="center"/>
          </w:tcPr>
          <w:p w14:paraId="7C94167C" w14:textId="4C09B142" w:rsidR="00BB20D1" w:rsidRPr="00E04015" w:rsidRDefault="003451E7" w:rsidP="00BB20D1">
            <w:pPr>
              <w:jc w:val="center"/>
              <w:rPr>
                <w:rFonts w:ascii="Calibri" w:hAnsi="Calibri"/>
                <w:b/>
                <w:color w:val="000000"/>
                <w:szCs w:val="22"/>
              </w:rPr>
            </w:pPr>
            <w:r>
              <w:rPr>
                <w:rFonts w:ascii="Calibri" w:hAnsi="Calibri"/>
                <w:b/>
                <w:color w:val="000000"/>
                <w:szCs w:val="22"/>
              </w:rPr>
              <w:t>2</w:t>
            </w:r>
          </w:p>
        </w:tc>
        <w:tc>
          <w:tcPr>
            <w:tcW w:w="1981" w:type="dxa"/>
            <w:tcBorders>
              <w:top w:val="single" w:sz="4" w:space="0" w:color="auto"/>
              <w:left w:val="single" w:sz="4" w:space="0" w:color="auto"/>
              <w:bottom w:val="single" w:sz="4" w:space="0" w:color="auto"/>
              <w:right w:val="single" w:sz="4" w:space="0" w:color="auto"/>
            </w:tcBorders>
            <w:vAlign w:val="center"/>
          </w:tcPr>
          <w:p w14:paraId="582F8576" w14:textId="083E196C" w:rsidR="00BB20D1" w:rsidRPr="00E04015" w:rsidRDefault="008C3C3D" w:rsidP="00BB20D1">
            <w:pPr>
              <w:jc w:val="center"/>
              <w:rPr>
                <w:rFonts w:ascii="Calibri" w:hAnsi="Calibri"/>
                <w:b/>
                <w:color w:val="000000"/>
                <w:szCs w:val="22"/>
              </w:rPr>
            </w:pPr>
            <w:r>
              <w:rPr>
                <w:rFonts w:ascii="Calibri" w:hAnsi="Calibri"/>
                <w:b/>
                <w:color w:val="000000"/>
                <w:szCs w:val="22"/>
              </w:rPr>
              <w:t>0.5%</w:t>
            </w:r>
          </w:p>
        </w:tc>
      </w:tr>
      <w:tr w:rsidR="003451E7" w14:paraId="2A0CDA95" w14:textId="77777777" w:rsidTr="0078382D">
        <w:tc>
          <w:tcPr>
            <w:tcW w:w="4664" w:type="dxa"/>
            <w:tcBorders>
              <w:top w:val="single" w:sz="4" w:space="0" w:color="auto"/>
              <w:left w:val="single" w:sz="4" w:space="0" w:color="auto"/>
              <w:bottom w:val="single" w:sz="4" w:space="0" w:color="auto"/>
              <w:right w:val="single" w:sz="4" w:space="0" w:color="auto"/>
            </w:tcBorders>
            <w:vAlign w:val="bottom"/>
          </w:tcPr>
          <w:p w14:paraId="7D599A11" w14:textId="58CD4DD4" w:rsidR="003451E7" w:rsidRDefault="003451E7" w:rsidP="00BB20D1">
            <w:pPr>
              <w:rPr>
                <w:rFonts w:ascii="Calibri" w:hAnsi="Calibri" w:cs="Calibri"/>
                <w:b/>
                <w:color w:val="000000"/>
                <w:szCs w:val="22"/>
              </w:rPr>
            </w:pPr>
            <w:r>
              <w:rPr>
                <w:rFonts w:ascii="Calibri" w:hAnsi="Calibri" w:cs="Calibri"/>
                <w:b/>
                <w:color w:val="000000"/>
                <w:szCs w:val="22"/>
              </w:rPr>
              <w:t xml:space="preserve">Sexual health </w:t>
            </w:r>
          </w:p>
        </w:tc>
        <w:tc>
          <w:tcPr>
            <w:tcW w:w="2263" w:type="dxa"/>
            <w:tcBorders>
              <w:top w:val="single" w:sz="4" w:space="0" w:color="auto"/>
              <w:left w:val="single" w:sz="4" w:space="0" w:color="auto"/>
              <w:bottom w:val="single" w:sz="4" w:space="0" w:color="auto"/>
              <w:right w:val="single" w:sz="4" w:space="0" w:color="auto"/>
            </w:tcBorders>
            <w:vAlign w:val="center"/>
          </w:tcPr>
          <w:p w14:paraId="717872E9" w14:textId="572FB2AE" w:rsidR="003451E7" w:rsidRDefault="003451E7" w:rsidP="00BB20D1">
            <w:pPr>
              <w:jc w:val="center"/>
              <w:rPr>
                <w:rFonts w:ascii="Calibri" w:hAnsi="Calibri"/>
                <w:b/>
                <w:color w:val="000000"/>
                <w:szCs w:val="22"/>
              </w:rPr>
            </w:pPr>
            <w:r>
              <w:rPr>
                <w:rFonts w:ascii="Calibri" w:hAnsi="Calibri"/>
                <w:b/>
                <w:color w:val="000000"/>
                <w:szCs w:val="22"/>
              </w:rPr>
              <w:t>2</w:t>
            </w:r>
          </w:p>
        </w:tc>
        <w:tc>
          <w:tcPr>
            <w:tcW w:w="1981" w:type="dxa"/>
            <w:tcBorders>
              <w:top w:val="single" w:sz="4" w:space="0" w:color="auto"/>
              <w:left w:val="single" w:sz="4" w:space="0" w:color="auto"/>
              <w:bottom w:val="single" w:sz="4" w:space="0" w:color="auto"/>
              <w:right w:val="single" w:sz="4" w:space="0" w:color="auto"/>
            </w:tcBorders>
            <w:vAlign w:val="center"/>
          </w:tcPr>
          <w:p w14:paraId="34DD54D9" w14:textId="3A1CD32B" w:rsidR="003451E7" w:rsidRPr="00E04015" w:rsidRDefault="008C3C3D" w:rsidP="00BB20D1">
            <w:pPr>
              <w:jc w:val="center"/>
              <w:rPr>
                <w:rFonts w:ascii="Calibri" w:hAnsi="Calibri"/>
                <w:b/>
                <w:color w:val="000000"/>
                <w:szCs w:val="22"/>
              </w:rPr>
            </w:pPr>
            <w:r>
              <w:rPr>
                <w:rFonts w:ascii="Calibri" w:hAnsi="Calibri"/>
                <w:b/>
                <w:color w:val="000000"/>
                <w:szCs w:val="22"/>
              </w:rPr>
              <w:t>0.5%</w:t>
            </w:r>
          </w:p>
        </w:tc>
      </w:tr>
      <w:tr w:rsidR="00BB20D1" w14:paraId="5CA40B47" w14:textId="77777777" w:rsidTr="0078382D">
        <w:tc>
          <w:tcPr>
            <w:tcW w:w="4664" w:type="dxa"/>
            <w:tcBorders>
              <w:top w:val="single" w:sz="4" w:space="0" w:color="auto"/>
              <w:left w:val="single" w:sz="4" w:space="0" w:color="auto"/>
              <w:bottom w:val="single" w:sz="4" w:space="0" w:color="auto"/>
              <w:right w:val="single" w:sz="4" w:space="0" w:color="auto"/>
            </w:tcBorders>
            <w:vAlign w:val="bottom"/>
          </w:tcPr>
          <w:p w14:paraId="0D0C2E1E" w14:textId="77777777" w:rsidR="00BB20D1" w:rsidRDefault="00BB20D1" w:rsidP="00BB20D1">
            <w:pPr>
              <w:rPr>
                <w:rFonts w:ascii="Calibri" w:hAnsi="Calibri" w:cs="Calibri"/>
                <w:b/>
                <w:color w:val="000000"/>
                <w:szCs w:val="22"/>
              </w:rPr>
            </w:pPr>
            <w:r>
              <w:rPr>
                <w:rFonts w:ascii="Calibri" w:hAnsi="Calibri" w:cs="Calibri"/>
                <w:b/>
                <w:color w:val="000000"/>
                <w:szCs w:val="22"/>
              </w:rPr>
              <w:t>Surgery</w:t>
            </w:r>
          </w:p>
          <w:p w14:paraId="2751E06F" w14:textId="77777777" w:rsidR="00BB20D1" w:rsidRDefault="00BB20D1" w:rsidP="00BB20D1">
            <w:pPr>
              <w:rPr>
                <w:rFonts w:ascii="Calibri" w:hAnsi="Calibri" w:cs="Calibri"/>
                <w:color w:val="000000"/>
                <w:szCs w:val="22"/>
              </w:rPr>
            </w:pPr>
            <w:r>
              <w:rPr>
                <w:rFonts w:ascii="Calibri" w:hAnsi="Calibri" w:cs="Calibri"/>
                <w:b/>
                <w:color w:val="000000"/>
                <w:szCs w:val="22"/>
              </w:rPr>
              <w:t xml:space="preserve">  </w:t>
            </w:r>
            <w:r>
              <w:rPr>
                <w:rFonts w:ascii="Calibri" w:hAnsi="Calibri" w:cs="Calibri"/>
                <w:color w:val="000000"/>
                <w:szCs w:val="22"/>
              </w:rPr>
              <w:t>Cardiothoracic</w:t>
            </w:r>
          </w:p>
          <w:p w14:paraId="0B1BCA42" w14:textId="77777777" w:rsidR="00BB20D1" w:rsidRDefault="00BB20D1" w:rsidP="00BB20D1">
            <w:pPr>
              <w:rPr>
                <w:rFonts w:ascii="Calibri" w:hAnsi="Calibri" w:cs="Calibri"/>
                <w:color w:val="000000"/>
                <w:szCs w:val="22"/>
              </w:rPr>
            </w:pPr>
            <w:r>
              <w:rPr>
                <w:rFonts w:ascii="Calibri" w:hAnsi="Calibri" w:cs="Calibri"/>
                <w:color w:val="000000"/>
                <w:szCs w:val="22"/>
              </w:rPr>
              <w:t xml:space="preserve">  General</w:t>
            </w:r>
          </w:p>
          <w:p w14:paraId="442B07D7" w14:textId="77777777" w:rsidR="00BB20D1" w:rsidRDefault="00BB20D1" w:rsidP="00BB20D1">
            <w:pPr>
              <w:rPr>
                <w:rFonts w:ascii="Calibri" w:hAnsi="Calibri" w:cs="Calibri"/>
                <w:color w:val="000000"/>
                <w:szCs w:val="22"/>
              </w:rPr>
            </w:pPr>
            <w:r>
              <w:rPr>
                <w:rFonts w:ascii="Calibri" w:hAnsi="Calibri" w:cs="Calibri"/>
                <w:color w:val="000000"/>
                <w:szCs w:val="22"/>
              </w:rPr>
              <w:t xml:space="preserve">  Gynaecology</w:t>
            </w:r>
          </w:p>
          <w:p w14:paraId="41D88FFB" w14:textId="77777777" w:rsidR="00BB20D1" w:rsidRDefault="00BB20D1" w:rsidP="00BB20D1">
            <w:pPr>
              <w:rPr>
                <w:rFonts w:ascii="Calibri" w:hAnsi="Calibri" w:cs="Calibri"/>
                <w:color w:val="000000"/>
                <w:szCs w:val="22"/>
              </w:rPr>
            </w:pPr>
            <w:r>
              <w:rPr>
                <w:rFonts w:ascii="Calibri" w:hAnsi="Calibri" w:cs="Calibri"/>
                <w:color w:val="000000"/>
                <w:szCs w:val="22"/>
              </w:rPr>
              <w:t xml:space="preserve">  Neurosurgery</w:t>
            </w:r>
          </w:p>
          <w:p w14:paraId="2C1877F6" w14:textId="7551698E" w:rsidR="00BB20D1" w:rsidRDefault="00BB20D1" w:rsidP="00BB20D1">
            <w:pPr>
              <w:rPr>
                <w:rFonts w:ascii="Calibri" w:hAnsi="Calibri" w:cs="Calibri"/>
                <w:color w:val="000000"/>
                <w:szCs w:val="22"/>
              </w:rPr>
            </w:pPr>
            <w:r>
              <w:rPr>
                <w:rFonts w:ascii="Calibri" w:hAnsi="Calibri" w:cs="Calibri"/>
                <w:color w:val="000000"/>
                <w:szCs w:val="22"/>
              </w:rPr>
              <w:t xml:space="preserve">  Ophthalmology</w:t>
            </w:r>
          </w:p>
          <w:p w14:paraId="4F4B53D6" w14:textId="2FAE497F" w:rsidR="003451E7" w:rsidRDefault="003451E7" w:rsidP="00BB20D1">
            <w:pPr>
              <w:rPr>
                <w:rFonts w:ascii="Calibri" w:hAnsi="Calibri" w:cs="Calibri"/>
                <w:color w:val="000000"/>
                <w:szCs w:val="22"/>
              </w:rPr>
            </w:pPr>
            <w:r>
              <w:rPr>
                <w:rFonts w:ascii="Calibri" w:hAnsi="Calibri" w:cs="Calibri"/>
                <w:color w:val="000000"/>
                <w:szCs w:val="22"/>
              </w:rPr>
              <w:t xml:space="preserve">  Oral/Maxillofacial </w:t>
            </w:r>
          </w:p>
          <w:p w14:paraId="41BEE1CC" w14:textId="77777777" w:rsidR="00BB20D1" w:rsidRDefault="00BB20D1" w:rsidP="00BB20D1">
            <w:pPr>
              <w:rPr>
                <w:rFonts w:ascii="Calibri" w:hAnsi="Calibri" w:cs="Calibri"/>
                <w:color w:val="000000"/>
                <w:szCs w:val="22"/>
              </w:rPr>
            </w:pPr>
            <w:r>
              <w:rPr>
                <w:rFonts w:ascii="Calibri" w:hAnsi="Calibri" w:cs="Calibri"/>
                <w:color w:val="000000"/>
                <w:szCs w:val="22"/>
              </w:rPr>
              <w:t xml:space="preserve">  Orthopaedics</w:t>
            </w:r>
          </w:p>
          <w:p w14:paraId="52E9293F" w14:textId="77777777" w:rsidR="00BB20D1" w:rsidRDefault="00BB20D1" w:rsidP="00BB20D1">
            <w:pPr>
              <w:rPr>
                <w:rFonts w:ascii="Calibri" w:hAnsi="Calibri" w:cs="Calibri"/>
                <w:color w:val="000000"/>
                <w:szCs w:val="22"/>
              </w:rPr>
            </w:pPr>
            <w:r>
              <w:rPr>
                <w:rFonts w:ascii="Calibri" w:hAnsi="Calibri" w:cs="Calibri"/>
                <w:color w:val="000000"/>
                <w:szCs w:val="22"/>
              </w:rPr>
              <w:t xml:space="preserve">  Otolaryngology</w:t>
            </w:r>
          </w:p>
          <w:p w14:paraId="55E0436E" w14:textId="77777777" w:rsidR="00BB20D1" w:rsidRDefault="00BB20D1" w:rsidP="00BB20D1">
            <w:pPr>
              <w:rPr>
                <w:rFonts w:ascii="Calibri" w:hAnsi="Calibri" w:cs="Calibri"/>
                <w:color w:val="000000"/>
                <w:szCs w:val="22"/>
              </w:rPr>
            </w:pPr>
            <w:r>
              <w:rPr>
                <w:rFonts w:ascii="Calibri" w:hAnsi="Calibri" w:cs="Calibri"/>
                <w:color w:val="000000"/>
                <w:szCs w:val="22"/>
              </w:rPr>
              <w:t xml:space="preserve">  Paediatric</w:t>
            </w:r>
          </w:p>
          <w:p w14:paraId="1787C23B" w14:textId="77777777" w:rsidR="00BB20D1" w:rsidRDefault="00BB20D1" w:rsidP="00BB20D1">
            <w:pPr>
              <w:rPr>
                <w:rFonts w:ascii="Calibri" w:hAnsi="Calibri" w:cs="Calibri"/>
                <w:color w:val="000000"/>
                <w:szCs w:val="22"/>
              </w:rPr>
            </w:pPr>
            <w:r>
              <w:rPr>
                <w:rFonts w:ascii="Calibri" w:hAnsi="Calibri" w:cs="Calibri"/>
                <w:color w:val="000000"/>
                <w:szCs w:val="22"/>
              </w:rPr>
              <w:t xml:space="preserve">  Plastic and Reconstructive</w:t>
            </w:r>
          </w:p>
          <w:p w14:paraId="190B4EB2" w14:textId="386009F2" w:rsidR="00BB20D1" w:rsidRDefault="003451E7" w:rsidP="00BB20D1">
            <w:pPr>
              <w:rPr>
                <w:rFonts w:ascii="Calibri" w:hAnsi="Calibri" w:cs="Calibri"/>
                <w:color w:val="000000"/>
                <w:szCs w:val="22"/>
              </w:rPr>
            </w:pPr>
            <w:r>
              <w:rPr>
                <w:rFonts w:ascii="Calibri" w:hAnsi="Calibri" w:cs="Calibri"/>
                <w:color w:val="000000"/>
                <w:szCs w:val="22"/>
              </w:rPr>
              <w:t xml:space="preserve">  Urology</w:t>
            </w:r>
          </w:p>
          <w:p w14:paraId="1A8BDF90" w14:textId="03F22BAA" w:rsidR="003451E7" w:rsidRPr="0002765C" w:rsidRDefault="003451E7" w:rsidP="00BB20D1">
            <w:pPr>
              <w:rPr>
                <w:rFonts w:ascii="Calibri" w:hAnsi="Calibri" w:cs="Calibri"/>
                <w:color w:val="000000"/>
                <w:szCs w:val="22"/>
              </w:rPr>
            </w:pPr>
            <w:r>
              <w:rPr>
                <w:rFonts w:ascii="Calibri" w:hAnsi="Calibri" w:cs="Calibri"/>
                <w:color w:val="000000"/>
                <w:szCs w:val="22"/>
              </w:rPr>
              <w:t xml:space="preserve">  Other/unknown</w:t>
            </w:r>
          </w:p>
        </w:tc>
        <w:tc>
          <w:tcPr>
            <w:tcW w:w="2263" w:type="dxa"/>
            <w:tcBorders>
              <w:top w:val="single" w:sz="4" w:space="0" w:color="auto"/>
              <w:left w:val="single" w:sz="4" w:space="0" w:color="auto"/>
              <w:bottom w:val="single" w:sz="4" w:space="0" w:color="auto"/>
              <w:right w:val="single" w:sz="4" w:space="0" w:color="auto"/>
            </w:tcBorders>
          </w:tcPr>
          <w:p w14:paraId="372C8BAE" w14:textId="04A748A1" w:rsidR="00BB20D1" w:rsidRPr="003451E7" w:rsidRDefault="009B77B8" w:rsidP="00BB20D1">
            <w:pPr>
              <w:jc w:val="center"/>
              <w:rPr>
                <w:rFonts w:ascii="Calibri" w:hAnsi="Calibri"/>
                <w:b/>
                <w:color w:val="000000"/>
                <w:szCs w:val="22"/>
              </w:rPr>
            </w:pPr>
            <w:r>
              <w:rPr>
                <w:rFonts w:ascii="Calibri" w:hAnsi="Calibri"/>
                <w:b/>
                <w:color w:val="000000"/>
                <w:szCs w:val="22"/>
              </w:rPr>
              <w:t>126</w:t>
            </w:r>
          </w:p>
          <w:p w14:paraId="18CBEF42" w14:textId="77777777" w:rsidR="003451E7" w:rsidRDefault="003451E7" w:rsidP="00BB20D1">
            <w:pPr>
              <w:jc w:val="center"/>
              <w:rPr>
                <w:rFonts w:ascii="Calibri" w:hAnsi="Calibri"/>
                <w:color w:val="000000"/>
                <w:szCs w:val="22"/>
              </w:rPr>
            </w:pPr>
            <w:r>
              <w:rPr>
                <w:rFonts w:ascii="Calibri" w:hAnsi="Calibri"/>
                <w:color w:val="000000"/>
                <w:szCs w:val="22"/>
              </w:rPr>
              <w:t>7</w:t>
            </w:r>
          </w:p>
          <w:p w14:paraId="558E74CE" w14:textId="77777777" w:rsidR="003451E7" w:rsidRDefault="003451E7" w:rsidP="00BB20D1">
            <w:pPr>
              <w:jc w:val="center"/>
              <w:rPr>
                <w:rFonts w:ascii="Calibri" w:hAnsi="Calibri"/>
                <w:color w:val="000000"/>
                <w:szCs w:val="22"/>
              </w:rPr>
            </w:pPr>
            <w:r>
              <w:rPr>
                <w:rFonts w:ascii="Calibri" w:hAnsi="Calibri"/>
                <w:color w:val="000000"/>
                <w:szCs w:val="22"/>
              </w:rPr>
              <w:t>31</w:t>
            </w:r>
          </w:p>
          <w:p w14:paraId="4B425EC7" w14:textId="77777777" w:rsidR="003451E7" w:rsidRDefault="003451E7" w:rsidP="00BB20D1">
            <w:pPr>
              <w:jc w:val="center"/>
              <w:rPr>
                <w:rFonts w:ascii="Calibri" w:hAnsi="Calibri"/>
                <w:color w:val="000000"/>
                <w:szCs w:val="22"/>
              </w:rPr>
            </w:pPr>
            <w:r>
              <w:rPr>
                <w:rFonts w:ascii="Calibri" w:hAnsi="Calibri"/>
                <w:color w:val="000000"/>
                <w:szCs w:val="22"/>
              </w:rPr>
              <w:t>22</w:t>
            </w:r>
          </w:p>
          <w:p w14:paraId="7B034680" w14:textId="77777777" w:rsidR="003451E7" w:rsidRDefault="003451E7" w:rsidP="00BB20D1">
            <w:pPr>
              <w:jc w:val="center"/>
              <w:rPr>
                <w:rFonts w:ascii="Calibri" w:hAnsi="Calibri"/>
                <w:color w:val="000000"/>
                <w:szCs w:val="22"/>
              </w:rPr>
            </w:pPr>
            <w:r>
              <w:rPr>
                <w:rFonts w:ascii="Calibri" w:hAnsi="Calibri"/>
                <w:color w:val="000000"/>
                <w:szCs w:val="22"/>
              </w:rPr>
              <w:t>5</w:t>
            </w:r>
          </w:p>
          <w:p w14:paraId="436ADC2F" w14:textId="77777777" w:rsidR="003451E7" w:rsidRDefault="003451E7" w:rsidP="00BB20D1">
            <w:pPr>
              <w:jc w:val="center"/>
              <w:rPr>
                <w:rFonts w:ascii="Calibri" w:hAnsi="Calibri"/>
                <w:color w:val="000000"/>
                <w:szCs w:val="22"/>
              </w:rPr>
            </w:pPr>
            <w:r>
              <w:rPr>
                <w:rFonts w:ascii="Calibri" w:hAnsi="Calibri"/>
                <w:color w:val="000000"/>
                <w:szCs w:val="22"/>
              </w:rPr>
              <w:t>7</w:t>
            </w:r>
          </w:p>
          <w:p w14:paraId="61D7F290" w14:textId="77777777" w:rsidR="003451E7" w:rsidRDefault="003451E7" w:rsidP="00BB20D1">
            <w:pPr>
              <w:jc w:val="center"/>
              <w:rPr>
                <w:rFonts w:ascii="Calibri" w:hAnsi="Calibri"/>
                <w:color w:val="000000"/>
                <w:szCs w:val="22"/>
              </w:rPr>
            </w:pPr>
            <w:r>
              <w:rPr>
                <w:rFonts w:ascii="Calibri" w:hAnsi="Calibri"/>
                <w:color w:val="000000"/>
                <w:szCs w:val="22"/>
              </w:rPr>
              <w:t>3</w:t>
            </w:r>
          </w:p>
          <w:p w14:paraId="3026F88C" w14:textId="77777777" w:rsidR="003451E7" w:rsidRDefault="003451E7" w:rsidP="00BB20D1">
            <w:pPr>
              <w:jc w:val="center"/>
              <w:rPr>
                <w:rFonts w:ascii="Calibri" w:hAnsi="Calibri"/>
                <w:color w:val="000000"/>
                <w:szCs w:val="22"/>
              </w:rPr>
            </w:pPr>
            <w:r>
              <w:rPr>
                <w:rFonts w:ascii="Calibri" w:hAnsi="Calibri"/>
                <w:color w:val="000000"/>
                <w:szCs w:val="22"/>
              </w:rPr>
              <w:t>22</w:t>
            </w:r>
          </w:p>
          <w:p w14:paraId="06E2136B" w14:textId="77777777" w:rsidR="003451E7" w:rsidRDefault="003451E7" w:rsidP="00BB20D1">
            <w:pPr>
              <w:jc w:val="center"/>
              <w:rPr>
                <w:rFonts w:ascii="Calibri" w:hAnsi="Calibri"/>
                <w:color w:val="000000"/>
                <w:szCs w:val="22"/>
              </w:rPr>
            </w:pPr>
            <w:r>
              <w:rPr>
                <w:rFonts w:ascii="Calibri" w:hAnsi="Calibri"/>
                <w:color w:val="000000"/>
                <w:szCs w:val="22"/>
              </w:rPr>
              <w:t>8</w:t>
            </w:r>
          </w:p>
          <w:p w14:paraId="7448D0B4" w14:textId="77777777" w:rsidR="003451E7" w:rsidRDefault="003451E7" w:rsidP="00BB20D1">
            <w:pPr>
              <w:jc w:val="center"/>
              <w:rPr>
                <w:rFonts w:ascii="Calibri" w:hAnsi="Calibri"/>
                <w:color w:val="000000"/>
                <w:szCs w:val="22"/>
              </w:rPr>
            </w:pPr>
            <w:r>
              <w:rPr>
                <w:rFonts w:ascii="Calibri" w:hAnsi="Calibri"/>
                <w:color w:val="000000"/>
                <w:szCs w:val="22"/>
              </w:rPr>
              <w:t>2</w:t>
            </w:r>
          </w:p>
          <w:p w14:paraId="601415CE" w14:textId="77777777" w:rsidR="003451E7" w:rsidRDefault="003451E7" w:rsidP="00BB20D1">
            <w:pPr>
              <w:jc w:val="center"/>
              <w:rPr>
                <w:rFonts w:ascii="Calibri" w:hAnsi="Calibri"/>
                <w:color w:val="000000"/>
                <w:szCs w:val="22"/>
              </w:rPr>
            </w:pPr>
            <w:r>
              <w:rPr>
                <w:rFonts w:ascii="Calibri" w:hAnsi="Calibri"/>
                <w:color w:val="000000"/>
                <w:szCs w:val="22"/>
              </w:rPr>
              <w:t>3</w:t>
            </w:r>
          </w:p>
          <w:p w14:paraId="50817F5F" w14:textId="77777777" w:rsidR="003451E7" w:rsidRDefault="003451E7" w:rsidP="00BB20D1">
            <w:pPr>
              <w:jc w:val="center"/>
              <w:rPr>
                <w:rFonts w:ascii="Calibri" w:hAnsi="Calibri"/>
                <w:color w:val="000000"/>
                <w:szCs w:val="22"/>
              </w:rPr>
            </w:pPr>
            <w:r>
              <w:rPr>
                <w:rFonts w:ascii="Calibri" w:hAnsi="Calibri"/>
                <w:color w:val="000000"/>
                <w:szCs w:val="22"/>
              </w:rPr>
              <w:t>12</w:t>
            </w:r>
          </w:p>
          <w:p w14:paraId="638B362D" w14:textId="237217E9" w:rsidR="003451E7" w:rsidRPr="00E04015" w:rsidRDefault="009B77B8" w:rsidP="00BB20D1">
            <w:pPr>
              <w:jc w:val="center"/>
              <w:rPr>
                <w:rFonts w:ascii="Calibri" w:hAnsi="Calibri"/>
                <w:color w:val="000000"/>
                <w:szCs w:val="22"/>
              </w:rPr>
            </w:pPr>
            <w:r>
              <w:rPr>
                <w:rFonts w:ascii="Calibri" w:hAnsi="Calibri"/>
                <w:color w:val="000000"/>
                <w:szCs w:val="22"/>
              </w:rPr>
              <w:t>4</w:t>
            </w:r>
          </w:p>
        </w:tc>
        <w:tc>
          <w:tcPr>
            <w:tcW w:w="1981" w:type="dxa"/>
            <w:tcBorders>
              <w:top w:val="single" w:sz="4" w:space="0" w:color="auto"/>
              <w:left w:val="single" w:sz="4" w:space="0" w:color="auto"/>
              <w:bottom w:val="single" w:sz="4" w:space="0" w:color="auto"/>
              <w:right w:val="single" w:sz="4" w:space="0" w:color="auto"/>
            </w:tcBorders>
          </w:tcPr>
          <w:p w14:paraId="34A53AE3" w14:textId="132EA81E" w:rsidR="00BB20D1" w:rsidRDefault="009B77B8" w:rsidP="00BB20D1">
            <w:pPr>
              <w:jc w:val="center"/>
              <w:rPr>
                <w:rFonts w:ascii="Calibri" w:hAnsi="Calibri"/>
                <w:b/>
                <w:color w:val="000000"/>
                <w:szCs w:val="22"/>
              </w:rPr>
            </w:pPr>
            <w:r>
              <w:rPr>
                <w:rFonts w:ascii="Calibri" w:hAnsi="Calibri"/>
                <w:b/>
                <w:color w:val="000000"/>
                <w:szCs w:val="22"/>
              </w:rPr>
              <w:t>30.8</w:t>
            </w:r>
            <w:r w:rsidR="008C3C3D" w:rsidRPr="008C3C3D">
              <w:rPr>
                <w:rFonts w:ascii="Calibri" w:hAnsi="Calibri"/>
                <w:b/>
                <w:color w:val="000000"/>
                <w:szCs w:val="22"/>
              </w:rPr>
              <w:t>%</w:t>
            </w:r>
          </w:p>
          <w:p w14:paraId="4BD36762" w14:textId="77777777" w:rsidR="008C3C3D" w:rsidRDefault="008C3C3D" w:rsidP="00BB20D1">
            <w:pPr>
              <w:jc w:val="center"/>
              <w:rPr>
                <w:rFonts w:ascii="Calibri" w:hAnsi="Calibri"/>
                <w:color w:val="000000"/>
                <w:szCs w:val="22"/>
              </w:rPr>
            </w:pPr>
            <w:r>
              <w:rPr>
                <w:rFonts w:ascii="Calibri" w:hAnsi="Calibri"/>
                <w:color w:val="000000"/>
                <w:szCs w:val="22"/>
              </w:rPr>
              <w:t>1.7%</w:t>
            </w:r>
          </w:p>
          <w:p w14:paraId="419852F2" w14:textId="483CB32F" w:rsidR="008C3C3D" w:rsidRDefault="009B77B8" w:rsidP="00BB20D1">
            <w:pPr>
              <w:jc w:val="center"/>
              <w:rPr>
                <w:rFonts w:ascii="Calibri" w:hAnsi="Calibri"/>
                <w:color w:val="000000"/>
                <w:szCs w:val="22"/>
              </w:rPr>
            </w:pPr>
            <w:r>
              <w:rPr>
                <w:rFonts w:ascii="Calibri" w:hAnsi="Calibri"/>
                <w:color w:val="000000"/>
                <w:szCs w:val="22"/>
              </w:rPr>
              <w:t>7.6</w:t>
            </w:r>
            <w:r w:rsidR="008C3C3D">
              <w:rPr>
                <w:rFonts w:ascii="Calibri" w:hAnsi="Calibri"/>
                <w:color w:val="000000"/>
                <w:szCs w:val="22"/>
              </w:rPr>
              <w:t>%</w:t>
            </w:r>
          </w:p>
          <w:p w14:paraId="1222BF5C" w14:textId="77777777" w:rsidR="008C3C3D" w:rsidRDefault="008C3C3D" w:rsidP="00BB20D1">
            <w:pPr>
              <w:jc w:val="center"/>
              <w:rPr>
                <w:rFonts w:ascii="Calibri" w:hAnsi="Calibri"/>
                <w:color w:val="000000"/>
                <w:szCs w:val="22"/>
              </w:rPr>
            </w:pPr>
            <w:r>
              <w:rPr>
                <w:rFonts w:ascii="Calibri" w:hAnsi="Calibri"/>
                <w:color w:val="000000"/>
                <w:szCs w:val="22"/>
              </w:rPr>
              <w:t>5.4%</w:t>
            </w:r>
          </w:p>
          <w:p w14:paraId="2ADFCD4B" w14:textId="77777777" w:rsidR="008C3C3D" w:rsidRDefault="008C3C3D" w:rsidP="00BB20D1">
            <w:pPr>
              <w:jc w:val="center"/>
              <w:rPr>
                <w:rFonts w:ascii="Calibri" w:hAnsi="Calibri"/>
                <w:color w:val="000000"/>
                <w:szCs w:val="22"/>
              </w:rPr>
            </w:pPr>
            <w:r>
              <w:rPr>
                <w:rFonts w:ascii="Calibri" w:hAnsi="Calibri"/>
                <w:color w:val="000000"/>
                <w:szCs w:val="22"/>
              </w:rPr>
              <w:t>1.2%</w:t>
            </w:r>
          </w:p>
          <w:p w14:paraId="5FB83663" w14:textId="77777777" w:rsidR="008C3C3D" w:rsidRDefault="008C3C3D" w:rsidP="00BB20D1">
            <w:pPr>
              <w:jc w:val="center"/>
              <w:rPr>
                <w:rFonts w:ascii="Calibri" w:hAnsi="Calibri"/>
                <w:color w:val="000000"/>
                <w:szCs w:val="22"/>
              </w:rPr>
            </w:pPr>
            <w:r>
              <w:rPr>
                <w:rFonts w:ascii="Calibri" w:hAnsi="Calibri"/>
                <w:color w:val="000000"/>
                <w:szCs w:val="22"/>
              </w:rPr>
              <w:t>1.7%</w:t>
            </w:r>
          </w:p>
          <w:p w14:paraId="10969CA7" w14:textId="77777777" w:rsidR="008C3C3D" w:rsidRDefault="008C3C3D" w:rsidP="00BB20D1">
            <w:pPr>
              <w:jc w:val="center"/>
              <w:rPr>
                <w:rFonts w:ascii="Calibri" w:hAnsi="Calibri"/>
                <w:color w:val="000000"/>
                <w:szCs w:val="22"/>
              </w:rPr>
            </w:pPr>
            <w:r>
              <w:rPr>
                <w:rFonts w:ascii="Calibri" w:hAnsi="Calibri"/>
                <w:color w:val="000000"/>
                <w:szCs w:val="22"/>
              </w:rPr>
              <w:t>0.7%</w:t>
            </w:r>
          </w:p>
          <w:p w14:paraId="5FADA294" w14:textId="77777777" w:rsidR="008C3C3D" w:rsidRDefault="008C3C3D" w:rsidP="00BB20D1">
            <w:pPr>
              <w:jc w:val="center"/>
              <w:rPr>
                <w:rFonts w:ascii="Calibri" w:hAnsi="Calibri"/>
                <w:color w:val="000000"/>
                <w:szCs w:val="22"/>
              </w:rPr>
            </w:pPr>
            <w:r>
              <w:rPr>
                <w:rFonts w:ascii="Calibri" w:hAnsi="Calibri"/>
                <w:color w:val="000000"/>
                <w:szCs w:val="22"/>
              </w:rPr>
              <w:t>5.4%</w:t>
            </w:r>
          </w:p>
          <w:p w14:paraId="255201A9" w14:textId="3C2AAD39" w:rsidR="008C3C3D" w:rsidRDefault="009B77B8" w:rsidP="00BB20D1">
            <w:pPr>
              <w:jc w:val="center"/>
              <w:rPr>
                <w:rFonts w:ascii="Calibri" w:hAnsi="Calibri"/>
                <w:color w:val="000000"/>
                <w:szCs w:val="22"/>
              </w:rPr>
            </w:pPr>
            <w:r>
              <w:rPr>
                <w:rFonts w:ascii="Calibri" w:hAnsi="Calibri"/>
                <w:color w:val="000000"/>
                <w:szCs w:val="22"/>
              </w:rPr>
              <w:t>2.0</w:t>
            </w:r>
            <w:r w:rsidR="008C3C3D">
              <w:rPr>
                <w:rFonts w:ascii="Calibri" w:hAnsi="Calibri"/>
                <w:color w:val="000000"/>
                <w:szCs w:val="22"/>
              </w:rPr>
              <w:t>%</w:t>
            </w:r>
          </w:p>
          <w:p w14:paraId="1D08BC07" w14:textId="77777777" w:rsidR="008C3C3D" w:rsidRDefault="008C3C3D" w:rsidP="00BB20D1">
            <w:pPr>
              <w:jc w:val="center"/>
              <w:rPr>
                <w:rFonts w:ascii="Calibri" w:hAnsi="Calibri"/>
                <w:color w:val="000000"/>
                <w:szCs w:val="22"/>
              </w:rPr>
            </w:pPr>
            <w:r>
              <w:rPr>
                <w:rFonts w:ascii="Calibri" w:hAnsi="Calibri"/>
                <w:color w:val="000000"/>
                <w:szCs w:val="22"/>
              </w:rPr>
              <w:t>0.5%</w:t>
            </w:r>
          </w:p>
          <w:p w14:paraId="775D1CCA" w14:textId="77777777" w:rsidR="008C3C3D" w:rsidRDefault="008C3C3D" w:rsidP="00BB20D1">
            <w:pPr>
              <w:jc w:val="center"/>
              <w:rPr>
                <w:rFonts w:ascii="Calibri" w:hAnsi="Calibri"/>
                <w:color w:val="000000"/>
                <w:szCs w:val="22"/>
              </w:rPr>
            </w:pPr>
            <w:r>
              <w:rPr>
                <w:rFonts w:ascii="Calibri" w:hAnsi="Calibri"/>
                <w:color w:val="000000"/>
                <w:szCs w:val="22"/>
              </w:rPr>
              <w:t>0.7%</w:t>
            </w:r>
          </w:p>
          <w:p w14:paraId="7210E26B" w14:textId="77777777" w:rsidR="008C3C3D" w:rsidRDefault="008C3C3D" w:rsidP="00BB20D1">
            <w:pPr>
              <w:jc w:val="center"/>
              <w:rPr>
                <w:rFonts w:ascii="Calibri" w:hAnsi="Calibri"/>
                <w:color w:val="000000"/>
                <w:szCs w:val="22"/>
              </w:rPr>
            </w:pPr>
            <w:r>
              <w:rPr>
                <w:rFonts w:ascii="Calibri" w:hAnsi="Calibri"/>
                <w:color w:val="000000"/>
                <w:szCs w:val="22"/>
              </w:rPr>
              <w:t>2.9%</w:t>
            </w:r>
          </w:p>
          <w:p w14:paraId="7807C1D5" w14:textId="36BF507A" w:rsidR="008C3C3D" w:rsidRPr="008C3C3D" w:rsidRDefault="008C3C3D" w:rsidP="00BB20D1">
            <w:pPr>
              <w:jc w:val="center"/>
              <w:rPr>
                <w:rFonts w:ascii="Calibri" w:hAnsi="Calibri"/>
                <w:color w:val="000000"/>
                <w:szCs w:val="22"/>
              </w:rPr>
            </w:pPr>
            <w:r>
              <w:rPr>
                <w:rFonts w:ascii="Calibri" w:hAnsi="Calibri"/>
                <w:color w:val="000000"/>
                <w:szCs w:val="22"/>
              </w:rPr>
              <w:t>1.0%</w:t>
            </w:r>
          </w:p>
        </w:tc>
      </w:tr>
      <w:tr w:rsidR="00BB20D1" w14:paraId="08BDDCE8" w14:textId="77777777" w:rsidTr="0078382D">
        <w:tc>
          <w:tcPr>
            <w:tcW w:w="4664" w:type="dxa"/>
            <w:tcBorders>
              <w:top w:val="single" w:sz="4" w:space="0" w:color="auto"/>
              <w:left w:val="single" w:sz="4" w:space="0" w:color="auto"/>
              <w:bottom w:val="single" w:sz="4" w:space="0" w:color="auto"/>
              <w:right w:val="single" w:sz="4" w:space="0" w:color="auto"/>
            </w:tcBorders>
            <w:vAlign w:val="bottom"/>
            <w:hideMark/>
          </w:tcPr>
          <w:p w14:paraId="1C518939" w14:textId="77777777" w:rsidR="00BB20D1" w:rsidRDefault="00BB20D1" w:rsidP="00BB20D1">
            <w:pPr>
              <w:rPr>
                <w:rFonts w:ascii="Calibri" w:hAnsi="Calibri" w:cs="Calibri"/>
                <w:color w:val="000000"/>
                <w:szCs w:val="22"/>
              </w:rPr>
            </w:pPr>
            <w:r>
              <w:rPr>
                <w:rFonts w:cs="Arial"/>
                <w:b/>
                <w:szCs w:val="22"/>
              </w:rPr>
              <w:t>Other/unknown health service</w:t>
            </w:r>
          </w:p>
        </w:tc>
        <w:tc>
          <w:tcPr>
            <w:tcW w:w="2263" w:type="dxa"/>
            <w:tcBorders>
              <w:top w:val="single" w:sz="4" w:space="0" w:color="auto"/>
              <w:left w:val="single" w:sz="4" w:space="0" w:color="auto"/>
              <w:bottom w:val="single" w:sz="4" w:space="0" w:color="auto"/>
              <w:right w:val="single" w:sz="4" w:space="0" w:color="auto"/>
            </w:tcBorders>
            <w:vAlign w:val="center"/>
          </w:tcPr>
          <w:p w14:paraId="7F0A0ECB" w14:textId="30B631DA" w:rsidR="00BB20D1" w:rsidRPr="00E04015" w:rsidRDefault="003451E7" w:rsidP="00BB20D1">
            <w:pPr>
              <w:jc w:val="center"/>
              <w:rPr>
                <w:rFonts w:ascii="Calibri" w:hAnsi="Calibri"/>
                <w:b/>
                <w:color w:val="000000"/>
                <w:szCs w:val="22"/>
              </w:rPr>
            </w:pPr>
            <w:r>
              <w:rPr>
                <w:rFonts w:ascii="Calibri" w:hAnsi="Calibri"/>
                <w:b/>
                <w:color w:val="000000"/>
                <w:szCs w:val="22"/>
              </w:rPr>
              <w:t>6</w:t>
            </w:r>
          </w:p>
        </w:tc>
        <w:tc>
          <w:tcPr>
            <w:tcW w:w="1981" w:type="dxa"/>
            <w:tcBorders>
              <w:top w:val="single" w:sz="4" w:space="0" w:color="auto"/>
              <w:left w:val="single" w:sz="4" w:space="0" w:color="auto"/>
              <w:bottom w:val="single" w:sz="4" w:space="0" w:color="auto"/>
              <w:right w:val="single" w:sz="4" w:space="0" w:color="auto"/>
            </w:tcBorders>
            <w:vAlign w:val="center"/>
          </w:tcPr>
          <w:p w14:paraId="3FE67FB3" w14:textId="196F1A09" w:rsidR="00BB20D1" w:rsidRPr="00E04015" w:rsidRDefault="008C3C3D" w:rsidP="00BB20D1">
            <w:pPr>
              <w:jc w:val="center"/>
              <w:rPr>
                <w:rFonts w:ascii="Calibri" w:hAnsi="Calibri"/>
                <w:b/>
                <w:color w:val="000000"/>
                <w:szCs w:val="22"/>
              </w:rPr>
            </w:pPr>
            <w:r>
              <w:rPr>
                <w:rFonts w:ascii="Calibri" w:hAnsi="Calibri"/>
                <w:b/>
                <w:color w:val="000000"/>
                <w:szCs w:val="22"/>
              </w:rPr>
              <w:t>1.5%</w:t>
            </w:r>
          </w:p>
        </w:tc>
      </w:tr>
      <w:tr w:rsidR="00BB20D1" w14:paraId="5E029704" w14:textId="77777777" w:rsidTr="0078382D">
        <w:tc>
          <w:tcPr>
            <w:tcW w:w="4664" w:type="dxa"/>
            <w:tcBorders>
              <w:top w:val="single" w:sz="4" w:space="0" w:color="auto"/>
              <w:left w:val="single" w:sz="4" w:space="0" w:color="auto"/>
              <w:bottom w:val="single" w:sz="4" w:space="0" w:color="auto"/>
              <w:right w:val="single" w:sz="4" w:space="0" w:color="auto"/>
            </w:tcBorders>
            <w:shd w:val="clear" w:color="auto" w:fill="C00000"/>
            <w:hideMark/>
          </w:tcPr>
          <w:p w14:paraId="76D072D1" w14:textId="77777777" w:rsidR="00BB20D1" w:rsidRDefault="00BB20D1" w:rsidP="00BB20D1">
            <w:pPr>
              <w:rPr>
                <w:rFonts w:cs="Arial"/>
                <w:b/>
                <w:szCs w:val="22"/>
              </w:rPr>
            </w:pPr>
            <w:r>
              <w:rPr>
                <w:rFonts w:ascii="Calibri" w:hAnsi="Calibri"/>
                <w:b/>
                <w:szCs w:val="22"/>
              </w:rPr>
              <w:t>TOTAL</w:t>
            </w:r>
          </w:p>
        </w:tc>
        <w:tc>
          <w:tcPr>
            <w:tcW w:w="2263" w:type="dxa"/>
            <w:tcBorders>
              <w:top w:val="single" w:sz="4" w:space="0" w:color="auto"/>
              <w:left w:val="single" w:sz="4" w:space="0" w:color="auto"/>
              <w:bottom w:val="single" w:sz="4" w:space="0" w:color="auto"/>
              <w:right w:val="single" w:sz="4" w:space="0" w:color="auto"/>
            </w:tcBorders>
            <w:shd w:val="clear" w:color="auto" w:fill="C00000"/>
            <w:vAlign w:val="center"/>
          </w:tcPr>
          <w:p w14:paraId="35D1A128" w14:textId="55AD9FB7" w:rsidR="00BB20D1" w:rsidRPr="00E04015" w:rsidRDefault="009B77B8" w:rsidP="00BB20D1">
            <w:pPr>
              <w:jc w:val="center"/>
              <w:rPr>
                <w:rFonts w:ascii="Calibri" w:hAnsi="Calibri"/>
                <w:b/>
                <w:color w:val="000000"/>
                <w:szCs w:val="22"/>
              </w:rPr>
            </w:pPr>
            <w:r w:rsidRPr="00CF6D9B">
              <w:rPr>
                <w:rFonts w:ascii="Calibri" w:hAnsi="Calibri"/>
                <w:b/>
                <w:color w:val="FFFFFF" w:themeColor="background1"/>
                <w:szCs w:val="22"/>
              </w:rPr>
              <w:t>409</w:t>
            </w:r>
          </w:p>
        </w:tc>
        <w:tc>
          <w:tcPr>
            <w:tcW w:w="1981" w:type="dxa"/>
            <w:tcBorders>
              <w:top w:val="single" w:sz="4" w:space="0" w:color="auto"/>
              <w:left w:val="single" w:sz="4" w:space="0" w:color="auto"/>
              <w:bottom w:val="single" w:sz="4" w:space="0" w:color="auto"/>
              <w:right w:val="single" w:sz="4" w:space="0" w:color="auto"/>
            </w:tcBorders>
            <w:shd w:val="clear" w:color="auto" w:fill="C00000"/>
            <w:vAlign w:val="center"/>
          </w:tcPr>
          <w:p w14:paraId="46203E4B" w14:textId="77777777" w:rsidR="00BB20D1" w:rsidRPr="00E04015" w:rsidRDefault="00BB20D1" w:rsidP="00BB20D1">
            <w:pPr>
              <w:jc w:val="center"/>
              <w:rPr>
                <w:rFonts w:ascii="Calibri" w:hAnsi="Calibri"/>
                <w:b/>
                <w:color w:val="000000"/>
                <w:szCs w:val="22"/>
              </w:rPr>
            </w:pPr>
          </w:p>
        </w:tc>
      </w:tr>
    </w:tbl>
    <w:p w14:paraId="6670A5BD" w14:textId="77777777" w:rsidR="00091B1A" w:rsidRDefault="00091B1A" w:rsidP="00841E1C"/>
    <w:p w14:paraId="53A578C6" w14:textId="17B0EA0E" w:rsidR="00934DBE" w:rsidRDefault="00934DBE">
      <w:pPr>
        <w:spacing w:after="200" w:line="276" w:lineRule="auto"/>
        <w:jc w:val="left"/>
      </w:pPr>
      <w:r>
        <w:br w:type="page"/>
      </w:r>
    </w:p>
    <w:p w14:paraId="43AE7729" w14:textId="43FEA6D2" w:rsidR="00636882" w:rsidRDefault="00636882" w:rsidP="00B20293">
      <w:pPr>
        <w:widowControl w:val="0"/>
        <w:spacing w:after="120"/>
        <w:rPr>
          <w:szCs w:val="22"/>
        </w:rPr>
      </w:pPr>
      <w:bookmarkStart w:id="57" w:name="_Toc443992227"/>
      <w:bookmarkStart w:id="58" w:name="_Toc445910051"/>
      <w:bookmarkStart w:id="59" w:name="_Toc447291335"/>
      <w:bookmarkStart w:id="60" w:name="_Toc447291473"/>
      <w:bookmarkStart w:id="61" w:name="_Toc447527530"/>
      <w:bookmarkStart w:id="62" w:name="_Toc493684128"/>
      <w:r>
        <w:rPr>
          <w:szCs w:val="22"/>
        </w:rPr>
        <w:lastRenderedPageBreak/>
        <w:t>Table 6</w:t>
      </w:r>
      <w:r w:rsidRPr="00666BAC">
        <w:rPr>
          <w:szCs w:val="22"/>
        </w:rPr>
        <w:t xml:space="preserve"> below shows </w:t>
      </w:r>
      <w:r>
        <w:rPr>
          <w:szCs w:val="22"/>
        </w:rPr>
        <w:t xml:space="preserve">a </w:t>
      </w:r>
      <w:r w:rsidRPr="00666BAC">
        <w:rPr>
          <w:szCs w:val="22"/>
        </w:rPr>
        <w:t>comparison of the proportion of complaints received</w:t>
      </w:r>
      <w:r>
        <w:rPr>
          <w:szCs w:val="22"/>
        </w:rPr>
        <w:t xml:space="preserve"> over time</w:t>
      </w:r>
      <w:r w:rsidRPr="00666BAC">
        <w:rPr>
          <w:szCs w:val="22"/>
        </w:rPr>
        <w:t xml:space="preserve"> for the most commonly complained about service types. As can be seen from this table, the most common service types comp</w:t>
      </w:r>
      <w:r>
        <w:rPr>
          <w:szCs w:val="22"/>
        </w:rPr>
        <w:t>lained about over the last five six-month periods</w:t>
      </w:r>
      <w:r w:rsidRPr="00666BAC">
        <w:rPr>
          <w:szCs w:val="22"/>
        </w:rPr>
        <w:t xml:space="preserve"> have remained broadly consistent</w:t>
      </w:r>
      <w:r>
        <w:rPr>
          <w:szCs w:val="22"/>
        </w:rPr>
        <w:t>.</w:t>
      </w:r>
    </w:p>
    <w:p w14:paraId="18E8BEBE" w14:textId="77777777" w:rsidR="00636882" w:rsidRDefault="00636882" w:rsidP="00B20293">
      <w:pPr>
        <w:widowControl w:val="0"/>
        <w:spacing w:after="120"/>
        <w:rPr>
          <w:b/>
          <w:szCs w:val="22"/>
        </w:rPr>
      </w:pPr>
    </w:p>
    <w:p w14:paraId="01319F81" w14:textId="2D662BE3" w:rsidR="00B20293" w:rsidRPr="00666BAC" w:rsidRDefault="00636882" w:rsidP="00B20293">
      <w:pPr>
        <w:widowControl w:val="0"/>
        <w:spacing w:after="120"/>
        <w:rPr>
          <w:szCs w:val="22"/>
        </w:rPr>
      </w:pPr>
      <w:r>
        <w:rPr>
          <w:b/>
          <w:szCs w:val="22"/>
        </w:rPr>
        <w:t>Table 6</w:t>
      </w:r>
      <w:r w:rsidR="00B20293" w:rsidRPr="00666BAC">
        <w:rPr>
          <w:b/>
          <w:szCs w:val="22"/>
        </w:rPr>
        <w:t>.</w:t>
      </w:r>
      <w:r w:rsidR="00B20293" w:rsidRPr="00636882">
        <w:rPr>
          <w:szCs w:val="22"/>
        </w:rPr>
        <w:t xml:space="preserve"> Comparison</w:t>
      </w:r>
      <w:r w:rsidR="00B20293" w:rsidRPr="00666BAC">
        <w:rPr>
          <w:szCs w:val="22"/>
        </w:rPr>
        <w:t xml:space="preserve"> of the proportion of complaints received about the most commonly complained about service types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48"/>
        <w:gridCol w:w="1392"/>
        <w:gridCol w:w="1381"/>
        <w:gridCol w:w="1380"/>
        <w:gridCol w:w="1355"/>
        <w:gridCol w:w="1332"/>
      </w:tblGrid>
      <w:tr w:rsidR="00B20293" w:rsidRPr="00666BAC" w14:paraId="68A60BCE" w14:textId="77777777" w:rsidTr="0078382D">
        <w:trPr>
          <w:trHeight w:val="624"/>
          <w:tblHeader/>
        </w:trPr>
        <w:tc>
          <w:tcPr>
            <w:tcW w:w="2048" w:type="dxa"/>
            <w:shd w:val="clear" w:color="auto" w:fill="C00000"/>
          </w:tcPr>
          <w:p w14:paraId="67C0DAEC" w14:textId="77777777" w:rsidR="00B20293" w:rsidRPr="00666BAC" w:rsidRDefault="00B20293" w:rsidP="00B20293">
            <w:pPr>
              <w:tabs>
                <w:tab w:val="left" w:pos="1440"/>
                <w:tab w:val="decimal" w:pos="4320"/>
              </w:tabs>
              <w:spacing w:before="120" w:after="120"/>
              <w:jc w:val="center"/>
              <w:outlineLvl w:val="0"/>
              <w:rPr>
                <w:b/>
                <w:szCs w:val="22"/>
                <w:vertAlign w:val="superscript"/>
              </w:rPr>
            </w:pPr>
            <w:r w:rsidRPr="00666BAC">
              <w:rPr>
                <w:b/>
                <w:szCs w:val="22"/>
              </w:rPr>
              <w:t>Service type</w:t>
            </w:r>
          </w:p>
        </w:tc>
        <w:tc>
          <w:tcPr>
            <w:tcW w:w="1392" w:type="dxa"/>
            <w:shd w:val="clear" w:color="auto" w:fill="C00000"/>
          </w:tcPr>
          <w:p w14:paraId="6C9B7F60" w14:textId="1BFE6A12" w:rsidR="00B20293" w:rsidRPr="00666BAC" w:rsidRDefault="00B20293" w:rsidP="00B20293">
            <w:pPr>
              <w:tabs>
                <w:tab w:val="left" w:pos="1440"/>
                <w:tab w:val="decimal" w:pos="4320"/>
              </w:tabs>
              <w:spacing w:before="120" w:after="120"/>
              <w:jc w:val="center"/>
              <w:outlineLvl w:val="0"/>
              <w:rPr>
                <w:b/>
                <w:szCs w:val="22"/>
              </w:rPr>
            </w:pPr>
            <w:r>
              <w:rPr>
                <w:b/>
                <w:szCs w:val="22"/>
              </w:rPr>
              <w:t>Jan–Jun 2018</w:t>
            </w:r>
          </w:p>
        </w:tc>
        <w:tc>
          <w:tcPr>
            <w:tcW w:w="1381" w:type="dxa"/>
            <w:shd w:val="clear" w:color="auto" w:fill="C00000"/>
          </w:tcPr>
          <w:p w14:paraId="247283E8" w14:textId="540A62E7" w:rsidR="00B20293" w:rsidRPr="00666BAC" w:rsidRDefault="00B20293" w:rsidP="00B20293">
            <w:pPr>
              <w:tabs>
                <w:tab w:val="left" w:pos="1440"/>
                <w:tab w:val="decimal" w:pos="4320"/>
              </w:tabs>
              <w:spacing w:before="120" w:after="120"/>
              <w:jc w:val="center"/>
              <w:outlineLvl w:val="0"/>
              <w:rPr>
                <w:b/>
                <w:szCs w:val="22"/>
              </w:rPr>
            </w:pPr>
            <w:r>
              <w:rPr>
                <w:b/>
                <w:szCs w:val="22"/>
              </w:rPr>
              <w:t>Jul–Dec 2018</w:t>
            </w:r>
          </w:p>
        </w:tc>
        <w:tc>
          <w:tcPr>
            <w:tcW w:w="1380" w:type="dxa"/>
            <w:shd w:val="clear" w:color="auto" w:fill="C00000"/>
          </w:tcPr>
          <w:p w14:paraId="583B22D6" w14:textId="554A7A4C" w:rsidR="00B20293" w:rsidRPr="00666BAC" w:rsidRDefault="00B20293" w:rsidP="00B20293">
            <w:pPr>
              <w:tabs>
                <w:tab w:val="left" w:pos="1440"/>
                <w:tab w:val="decimal" w:pos="4320"/>
              </w:tabs>
              <w:spacing w:before="120" w:after="120"/>
              <w:jc w:val="center"/>
              <w:outlineLvl w:val="0"/>
              <w:rPr>
                <w:b/>
                <w:szCs w:val="22"/>
              </w:rPr>
            </w:pPr>
            <w:r>
              <w:rPr>
                <w:b/>
                <w:szCs w:val="22"/>
              </w:rPr>
              <w:t>Jan–Jun 2019</w:t>
            </w:r>
          </w:p>
        </w:tc>
        <w:tc>
          <w:tcPr>
            <w:tcW w:w="1355" w:type="dxa"/>
            <w:shd w:val="clear" w:color="auto" w:fill="C00000"/>
          </w:tcPr>
          <w:p w14:paraId="6FB4577D" w14:textId="0B3F6446" w:rsidR="00B20293" w:rsidRPr="00666BAC" w:rsidRDefault="00B20293" w:rsidP="00B20293">
            <w:pPr>
              <w:tabs>
                <w:tab w:val="left" w:pos="1440"/>
                <w:tab w:val="decimal" w:pos="4320"/>
              </w:tabs>
              <w:spacing w:before="120" w:after="120"/>
              <w:jc w:val="center"/>
              <w:outlineLvl w:val="0"/>
              <w:rPr>
                <w:b/>
                <w:szCs w:val="22"/>
              </w:rPr>
            </w:pPr>
            <w:r>
              <w:rPr>
                <w:b/>
                <w:szCs w:val="22"/>
              </w:rPr>
              <w:t>Jul–Dec 2019</w:t>
            </w:r>
          </w:p>
        </w:tc>
        <w:tc>
          <w:tcPr>
            <w:tcW w:w="1332" w:type="dxa"/>
            <w:shd w:val="clear" w:color="auto" w:fill="C00000"/>
          </w:tcPr>
          <w:p w14:paraId="748D37E4" w14:textId="446BB614" w:rsidR="00B20293" w:rsidRDefault="00B20293" w:rsidP="00B20293">
            <w:pPr>
              <w:tabs>
                <w:tab w:val="left" w:pos="1440"/>
                <w:tab w:val="decimal" w:pos="4320"/>
              </w:tabs>
              <w:spacing w:before="120" w:after="120"/>
              <w:jc w:val="center"/>
              <w:outlineLvl w:val="0"/>
              <w:rPr>
                <w:b/>
                <w:szCs w:val="22"/>
              </w:rPr>
            </w:pPr>
            <w:r>
              <w:rPr>
                <w:b/>
                <w:szCs w:val="22"/>
              </w:rPr>
              <w:t>Jan–Jun 2020</w:t>
            </w:r>
          </w:p>
        </w:tc>
      </w:tr>
      <w:tr w:rsidR="00B20293" w:rsidRPr="00666BAC" w14:paraId="60406955" w14:textId="77777777" w:rsidTr="0078382D">
        <w:trPr>
          <w:trHeight w:val="278"/>
        </w:trPr>
        <w:tc>
          <w:tcPr>
            <w:tcW w:w="2048" w:type="dxa"/>
            <w:vAlign w:val="bottom"/>
          </w:tcPr>
          <w:p w14:paraId="451FBFEB" w14:textId="77777777" w:rsidR="00B20293" w:rsidRPr="00666BAC" w:rsidRDefault="00B20293" w:rsidP="00B20293">
            <w:pPr>
              <w:jc w:val="left"/>
              <w:rPr>
                <w:rFonts w:cs="Calibri"/>
                <w:b/>
                <w:color w:val="000000"/>
                <w:szCs w:val="22"/>
              </w:rPr>
            </w:pPr>
            <w:r w:rsidRPr="00666BAC">
              <w:rPr>
                <w:rFonts w:cs="Calibri"/>
                <w:b/>
                <w:color w:val="000000"/>
                <w:szCs w:val="22"/>
              </w:rPr>
              <w:t>Surgery</w:t>
            </w:r>
          </w:p>
        </w:tc>
        <w:tc>
          <w:tcPr>
            <w:tcW w:w="1392" w:type="dxa"/>
            <w:vAlign w:val="bottom"/>
          </w:tcPr>
          <w:p w14:paraId="6E126B4B" w14:textId="6E7F8F84" w:rsidR="00B20293" w:rsidRPr="0086165A" w:rsidRDefault="00B20293" w:rsidP="00B20293">
            <w:pPr>
              <w:jc w:val="center"/>
              <w:rPr>
                <w:rFonts w:cs="Calibri"/>
                <w:color w:val="000000"/>
                <w:szCs w:val="22"/>
              </w:rPr>
            </w:pPr>
            <w:r w:rsidRPr="0086165A">
              <w:rPr>
                <w:rFonts w:cs="Calibri"/>
                <w:color w:val="000000"/>
                <w:szCs w:val="22"/>
              </w:rPr>
              <w:t>31%</w:t>
            </w:r>
          </w:p>
        </w:tc>
        <w:tc>
          <w:tcPr>
            <w:tcW w:w="1381" w:type="dxa"/>
            <w:vAlign w:val="bottom"/>
          </w:tcPr>
          <w:p w14:paraId="53AAFCAE" w14:textId="3C09FC1B" w:rsidR="00B20293" w:rsidRPr="0086165A" w:rsidRDefault="00B20293" w:rsidP="00B20293">
            <w:pPr>
              <w:jc w:val="center"/>
              <w:rPr>
                <w:rFonts w:cs="Calibri"/>
                <w:color w:val="000000"/>
                <w:szCs w:val="22"/>
              </w:rPr>
            </w:pPr>
            <w:r w:rsidRPr="0086165A">
              <w:rPr>
                <w:rFonts w:cs="Calibri"/>
                <w:color w:val="000000"/>
                <w:szCs w:val="22"/>
              </w:rPr>
              <w:t>30%</w:t>
            </w:r>
          </w:p>
        </w:tc>
        <w:tc>
          <w:tcPr>
            <w:tcW w:w="1380" w:type="dxa"/>
          </w:tcPr>
          <w:p w14:paraId="61AC705B" w14:textId="77777777" w:rsidR="00B20293" w:rsidRPr="0086165A" w:rsidRDefault="00B20293" w:rsidP="00B20293">
            <w:pPr>
              <w:jc w:val="center"/>
              <w:rPr>
                <w:rFonts w:cs="Calibri"/>
                <w:color w:val="000000"/>
                <w:szCs w:val="22"/>
              </w:rPr>
            </w:pPr>
            <w:r w:rsidRPr="0086165A">
              <w:rPr>
                <w:rFonts w:cs="Calibri"/>
                <w:color w:val="000000"/>
                <w:szCs w:val="22"/>
              </w:rPr>
              <w:t>31%</w:t>
            </w:r>
          </w:p>
        </w:tc>
        <w:tc>
          <w:tcPr>
            <w:tcW w:w="1355" w:type="dxa"/>
          </w:tcPr>
          <w:p w14:paraId="2F5F4866" w14:textId="0AF18DBC" w:rsidR="00B20293" w:rsidRPr="0086165A" w:rsidRDefault="00B20293" w:rsidP="00B20293">
            <w:pPr>
              <w:jc w:val="center"/>
              <w:rPr>
                <w:rFonts w:cs="Calibri"/>
                <w:color w:val="000000"/>
                <w:szCs w:val="22"/>
              </w:rPr>
            </w:pPr>
            <w:r w:rsidRPr="0086165A">
              <w:rPr>
                <w:rFonts w:cs="Calibri"/>
                <w:color w:val="000000"/>
                <w:szCs w:val="22"/>
              </w:rPr>
              <w:t>31%</w:t>
            </w:r>
          </w:p>
        </w:tc>
        <w:tc>
          <w:tcPr>
            <w:tcW w:w="1332" w:type="dxa"/>
          </w:tcPr>
          <w:p w14:paraId="756935C3" w14:textId="0386E07E" w:rsidR="00B20293" w:rsidRPr="0086165A" w:rsidRDefault="00B20293" w:rsidP="00B20293">
            <w:pPr>
              <w:jc w:val="center"/>
              <w:rPr>
                <w:rFonts w:cs="Calibri"/>
                <w:color w:val="000000"/>
                <w:szCs w:val="22"/>
              </w:rPr>
            </w:pPr>
            <w:r w:rsidRPr="0086165A">
              <w:rPr>
                <w:rFonts w:cs="Calibri"/>
                <w:color w:val="000000"/>
                <w:szCs w:val="22"/>
              </w:rPr>
              <w:t>31%</w:t>
            </w:r>
          </w:p>
        </w:tc>
      </w:tr>
      <w:tr w:rsidR="00B20293" w:rsidRPr="00666BAC" w14:paraId="0ABBF376" w14:textId="77777777" w:rsidTr="0078382D">
        <w:trPr>
          <w:trHeight w:val="267"/>
        </w:trPr>
        <w:tc>
          <w:tcPr>
            <w:tcW w:w="2048" w:type="dxa"/>
            <w:vAlign w:val="bottom"/>
          </w:tcPr>
          <w:p w14:paraId="2215C682" w14:textId="77777777" w:rsidR="00B20293" w:rsidRPr="00666BAC" w:rsidRDefault="00B20293" w:rsidP="00B20293">
            <w:pPr>
              <w:rPr>
                <w:rFonts w:cs="Calibri"/>
                <w:b/>
                <w:color w:val="000000"/>
                <w:szCs w:val="22"/>
              </w:rPr>
            </w:pPr>
            <w:r w:rsidRPr="00666BAC">
              <w:rPr>
                <w:rFonts w:cs="Calibri"/>
                <w:b/>
                <w:color w:val="000000"/>
                <w:szCs w:val="22"/>
              </w:rPr>
              <w:t>Mental health</w:t>
            </w:r>
          </w:p>
        </w:tc>
        <w:tc>
          <w:tcPr>
            <w:tcW w:w="1392" w:type="dxa"/>
            <w:vAlign w:val="bottom"/>
          </w:tcPr>
          <w:p w14:paraId="386D40E5" w14:textId="152348D2" w:rsidR="00B20293" w:rsidRPr="0086165A" w:rsidRDefault="00B20293" w:rsidP="00B20293">
            <w:pPr>
              <w:jc w:val="center"/>
              <w:rPr>
                <w:rFonts w:cs="Calibri"/>
                <w:color w:val="000000"/>
                <w:szCs w:val="22"/>
              </w:rPr>
            </w:pPr>
            <w:r w:rsidRPr="0086165A">
              <w:rPr>
                <w:rFonts w:cs="Calibri"/>
                <w:color w:val="000000"/>
                <w:szCs w:val="22"/>
              </w:rPr>
              <w:t>21%</w:t>
            </w:r>
          </w:p>
        </w:tc>
        <w:tc>
          <w:tcPr>
            <w:tcW w:w="1381" w:type="dxa"/>
            <w:vAlign w:val="bottom"/>
          </w:tcPr>
          <w:p w14:paraId="525F5899" w14:textId="2286FFC8" w:rsidR="00B20293" w:rsidRPr="0086165A" w:rsidRDefault="00B20293" w:rsidP="00B20293">
            <w:pPr>
              <w:jc w:val="center"/>
              <w:rPr>
                <w:rFonts w:cs="Calibri"/>
                <w:color w:val="000000"/>
                <w:szCs w:val="22"/>
              </w:rPr>
            </w:pPr>
            <w:r w:rsidRPr="0086165A">
              <w:rPr>
                <w:rFonts w:cs="Calibri"/>
                <w:color w:val="000000"/>
                <w:szCs w:val="22"/>
              </w:rPr>
              <w:t>25%</w:t>
            </w:r>
          </w:p>
        </w:tc>
        <w:tc>
          <w:tcPr>
            <w:tcW w:w="1380" w:type="dxa"/>
          </w:tcPr>
          <w:p w14:paraId="2ED6C365" w14:textId="46D1DA7C" w:rsidR="00B20293" w:rsidRPr="0086165A" w:rsidRDefault="00B20293" w:rsidP="00B20293">
            <w:pPr>
              <w:jc w:val="center"/>
              <w:rPr>
                <w:rFonts w:cs="Calibri"/>
                <w:color w:val="000000"/>
                <w:szCs w:val="22"/>
              </w:rPr>
            </w:pPr>
            <w:r w:rsidRPr="0086165A">
              <w:rPr>
                <w:rFonts w:cs="Calibri"/>
                <w:color w:val="000000"/>
                <w:szCs w:val="22"/>
              </w:rPr>
              <w:t>22%</w:t>
            </w:r>
          </w:p>
        </w:tc>
        <w:tc>
          <w:tcPr>
            <w:tcW w:w="1355" w:type="dxa"/>
          </w:tcPr>
          <w:p w14:paraId="0012BD0E" w14:textId="1CE689F6" w:rsidR="00B20293" w:rsidRPr="0086165A" w:rsidRDefault="00B20293" w:rsidP="00B20293">
            <w:pPr>
              <w:jc w:val="center"/>
              <w:rPr>
                <w:rFonts w:cs="Calibri"/>
                <w:color w:val="000000"/>
                <w:szCs w:val="22"/>
              </w:rPr>
            </w:pPr>
            <w:r w:rsidRPr="0086165A">
              <w:rPr>
                <w:rFonts w:cs="Calibri"/>
                <w:color w:val="000000"/>
                <w:szCs w:val="22"/>
              </w:rPr>
              <w:t>25%</w:t>
            </w:r>
          </w:p>
        </w:tc>
        <w:tc>
          <w:tcPr>
            <w:tcW w:w="1332" w:type="dxa"/>
          </w:tcPr>
          <w:p w14:paraId="69EB80E0" w14:textId="7A919067" w:rsidR="00B20293" w:rsidRPr="0086165A" w:rsidRDefault="00B20293" w:rsidP="00B20293">
            <w:pPr>
              <w:jc w:val="center"/>
              <w:rPr>
                <w:rFonts w:cs="Calibri"/>
                <w:color w:val="000000"/>
                <w:szCs w:val="22"/>
              </w:rPr>
            </w:pPr>
            <w:r w:rsidRPr="0086165A">
              <w:rPr>
                <w:rFonts w:cs="Calibri"/>
                <w:color w:val="000000"/>
                <w:szCs w:val="22"/>
              </w:rPr>
              <w:t>22%</w:t>
            </w:r>
          </w:p>
        </w:tc>
      </w:tr>
      <w:tr w:rsidR="00B20293" w:rsidRPr="00666BAC" w14:paraId="64ED5BA5" w14:textId="77777777" w:rsidTr="0078382D">
        <w:trPr>
          <w:trHeight w:val="267"/>
        </w:trPr>
        <w:tc>
          <w:tcPr>
            <w:tcW w:w="2048" w:type="dxa"/>
            <w:vAlign w:val="bottom"/>
          </w:tcPr>
          <w:p w14:paraId="6777AE10" w14:textId="77777777" w:rsidR="00B20293" w:rsidRPr="00666BAC" w:rsidRDefault="00B20293" w:rsidP="00B20293">
            <w:pPr>
              <w:rPr>
                <w:rFonts w:cs="Calibri"/>
                <w:b/>
                <w:color w:val="000000"/>
                <w:szCs w:val="22"/>
              </w:rPr>
            </w:pPr>
            <w:r w:rsidRPr="00666BAC">
              <w:rPr>
                <w:rFonts w:cs="Calibri"/>
                <w:b/>
                <w:color w:val="000000"/>
                <w:szCs w:val="22"/>
              </w:rPr>
              <w:t>General medicine</w:t>
            </w:r>
          </w:p>
        </w:tc>
        <w:tc>
          <w:tcPr>
            <w:tcW w:w="1392" w:type="dxa"/>
            <w:vAlign w:val="bottom"/>
          </w:tcPr>
          <w:p w14:paraId="755D7E7D" w14:textId="23BF71C8" w:rsidR="00B20293" w:rsidRPr="0086165A" w:rsidRDefault="00B20293" w:rsidP="00B20293">
            <w:pPr>
              <w:jc w:val="center"/>
              <w:rPr>
                <w:rFonts w:cs="Calibri"/>
                <w:color w:val="000000"/>
                <w:szCs w:val="22"/>
              </w:rPr>
            </w:pPr>
            <w:r w:rsidRPr="0086165A">
              <w:rPr>
                <w:rFonts w:cs="Calibri"/>
                <w:color w:val="000000"/>
                <w:szCs w:val="22"/>
              </w:rPr>
              <w:t>16%</w:t>
            </w:r>
          </w:p>
        </w:tc>
        <w:tc>
          <w:tcPr>
            <w:tcW w:w="1381" w:type="dxa"/>
            <w:vAlign w:val="bottom"/>
          </w:tcPr>
          <w:p w14:paraId="1ECA8A15" w14:textId="5A37C4F4" w:rsidR="00B20293" w:rsidRPr="0086165A" w:rsidRDefault="00B20293" w:rsidP="00B20293">
            <w:pPr>
              <w:jc w:val="center"/>
              <w:rPr>
                <w:rFonts w:cs="Calibri"/>
                <w:color w:val="000000"/>
                <w:szCs w:val="22"/>
              </w:rPr>
            </w:pPr>
            <w:r w:rsidRPr="0086165A">
              <w:rPr>
                <w:rFonts w:cs="Calibri"/>
                <w:color w:val="000000"/>
                <w:szCs w:val="22"/>
              </w:rPr>
              <w:t>15%</w:t>
            </w:r>
          </w:p>
        </w:tc>
        <w:tc>
          <w:tcPr>
            <w:tcW w:w="1380" w:type="dxa"/>
          </w:tcPr>
          <w:p w14:paraId="5B200718" w14:textId="61920366" w:rsidR="00B20293" w:rsidRPr="0086165A" w:rsidRDefault="00B20293" w:rsidP="00B20293">
            <w:pPr>
              <w:jc w:val="center"/>
              <w:rPr>
                <w:rFonts w:cs="Calibri"/>
                <w:color w:val="000000"/>
                <w:szCs w:val="22"/>
              </w:rPr>
            </w:pPr>
            <w:r w:rsidRPr="0086165A">
              <w:rPr>
                <w:rFonts w:cs="Calibri"/>
                <w:color w:val="000000"/>
                <w:szCs w:val="22"/>
              </w:rPr>
              <w:t>18%</w:t>
            </w:r>
          </w:p>
        </w:tc>
        <w:tc>
          <w:tcPr>
            <w:tcW w:w="1355" w:type="dxa"/>
          </w:tcPr>
          <w:p w14:paraId="76BCF7C9" w14:textId="703E36F9" w:rsidR="00B20293" w:rsidRPr="0086165A" w:rsidRDefault="00B20293" w:rsidP="00B20293">
            <w:pPr>
              <w:jc w:val="center"/>
              <w:rPr>
                <w:rFonts w:cs="Calibri"/>
                <w:color w:val="000000"/>
                <w:szCs w:val="22"/>
              </w:rPr>
            </w:pPr>
            <w:r w:rsidRPr="0086165A">
              <w:rPr>
                <w:rFonts w:cs="Calibri"/>
                <w:color w:val="000000"/>
                <w:szCs w:val="22"/>
              </w:rPr>
              <w:t>16%</w:t>
            </w:r>
          </w:p>
        </w:tc>
        <w:tc>
          <w:tcPr>
            <w:tcW w:w="1332" w:type="dxa"/>
          </w:tcPr>
          <w:p w14:paraId="4A7AD294" w14:textId="5B897418" w:rsidR="00B20293" w:rsidRPr="0086165A" w:rsidRDefault="00636882" w:rsidP="00B20293">
            <w:pPr>
              <w:jc w:val="center"/>
              <w:rPr>
                <w:rFonts w:cs="Calibri"/>
                <w:color w:val="000000"/>
                <w:szCs w:val="22"/>
              </w:rPr>
            </w:pPr>
            <w:r w:rsidRPr="0086165A">
              <w:rPr>
                <w:rFonts w:cs="Calibri"/>
                <w:color w:val="000000"/>
                <w:szCs w:val="22"/>
              </w:rPr>
              <w:t>18</w:t>
            </w:r>
            <w:r w:rsidR="00B20293" w:rsidRPr="0086165A">
              <w:rPr>
                <w:rFonts w:cs="Calibri"/>
                <w:color w:val="000000"/>
                <w:szCs w:val="22"/>
              </w:rPr>
              <w:t>%</w:t>
            </w:r>
          </w:p>
        </w:tc>
      </w:tr>
      <w:tr w:rsidR="00B20293" w:rsidRPr="00666BAC" w14:paraId="3279F7F0" w14:textId="77777777" w:rsidTr="0078382D">
        <w:trPr>
          <w:trHeight w:val="286"/>
        </w:trPr>
        <w:tc>
          <w:tcPr>
            <w:tcW w:w="2048" w:type="dxa"/>
            <w:vAlign w:val="bottom"/>
          </w:tcPr>
          <w:p w14:paraId="00E1A7A8" w14:textId="77777777" w:rsidR="00B20293" w:rsidRPr="00666BAC" w:rsidRDefault="00B20293" w:rsidP="00B20293">
            <w:pPr>
              <w:rPr>
                <w:rFonts w:cs="Calibri"/>
                <w:b/>
                <w:color w:val="000000"/>
                <w:szCs w:val="22"/>
              </w:rPr>
            </w:pPr>
            <w:r w:rsidRPr="00666BAC">
              <w:rPr>
                <w:rFonts w:cs="Calibri"/>
                <w:b/>
                <w:color w:val="000000"/>
                <w:szCs w:val="22"/>
              </w:rPr>
              <w:t>Emergency department</w:t>
            </w:r>
          </w:p>
        </w:tc>
        <w:tc>
          <w:tcPr>
            <w:tcW w:w="1392" w:type="dxa"/>
            <w:vAlign w:val="center"/>
          </w:tcPr>
          <w:p w14:paraId="6BE97BEB" w14:textId="331B50F0" w:rsidR="00B20293" w:rsidRPr="0086165A" w:rsidRDefault="00B20293" w:rsidP="00B20293">
            <w:pPr>
              <w:jc w:val="center"/>
              <w:rPr>
                <w:rFonts w:cs="Calibri"/>
                <w:color w:val="000000"/>
                <w:szCs w:val="22"/>
              </w:rPr>
            </w:pPr>
            <w:r w:rsidRPr="0086165A">
              <w:rPr>
                <w:rFonts w:cs="Calibri"/>
                <w:color w:val="000000"/>
                <w:szCs w:val="22"/>
              </w:rPr>
              <w:t>11%</w:t>
            </w:r>
          </w:p>
        </w:tc>
        <w:tc>
          <w:tcPr>
            <w:tcW w:w="1381" w:type="dxa"/>
            <w:vAlign w:val="center"/>
          </w:tcPr>
          <w:p w14:paraId="7743E6CC" w14:textId="451B0D35" w:rsidR="00B20293" w:rsidRPr="0086165A" w:rsidRDefault="00B20293" w:rsidP="00B20293">
            <w:pPr>
              <w:jc w:val="center"/>
              <w:rPr>
                <w:rFonts w:cs="Calibri"/>
                <w:color w:val="000000"/>
                <w:szCs w:val="22"/>
              </w:rPr>
            </w:pPr>
            <w:r w:rsidRPr="0086165A">
              <w:rPr>
                <w:rFonts w:cs="Calibri"/>
                <w:color w:val="000000"/>
                <w:szCs w:val="22"/>
              </w:rPr>
              <w:t>12%</w:t>
            </w:r>
          </w:p>
        </w:tc>
        <w:tc>
          <w:tcPr>
            <w:tcW w:w="1380" w:type="dxa"/>
            <w:vAlign w:val="center"/>
          </w:tcPr>
          <w:p w14:paraId="02FA123B" w14:textId="77777777" w:rsidR="00B20293" w:rsidRPr="0086165A" w:rsidRDefault="00B20293" w:rsidP="00B20293">
            <w:pPr>
              <w:jc w:val="center"/>
              <w:rPr>
                <w:rFonts w:cs="Calibri"/>
                <w:color w:val="000000"/>
                <w:szCs w:val="22"/>
              </w:rPr>
            </w:pPr>
            <w:r w:rsidRPr="0086165A">
              <w:rPr>
                <w:rFonts w:cs="Calibri"/>
                <w:color w:val="000000"/>
                <w:szCs w:val="22"/>
              </w:rPr>
              <w:t>12%</w:t>
            </w:r>
          </w:p>
        </w:tc>
        <w:tc>
          <w:tcPr>
            <w:tcW w:w="1355" w:type="dxa"/>
            <w:vAlign w:val="center"/>
          </w:tcPr>
          <w:p w14:paraId="4E9A071F" w14:textId="47D0182D" w:rsidR="00B20293" w:rsidRPr="0086165A" w:rsidRDefault="00B20293" w:rsidP="00B20293">
            <w:pPr>
              <w:jc w:val="center"/>
              <w:rPr>
                <w:rFonts w:cs="Calibri"/>
                <w:color w:val="000000"/>
                <w:szCs w:val="22"/>
              </w:rPr>
            </w:pPr>
            <w:r w:rsidRPr="0086165A">
              <w:rPr>
                <w:rFonts w:cs="Calibri"/>
                <w:color w:val="000000"/>
                <w:szCs w:val="22"/>
              </w:rPr>
              <w:t>11%</w:t>
            </w:r>
          </w:p>
        </w:tc>
        <w:tc>
          <w:tcPr>
            <w:tcW w:w="1332" w:type="dxa"/>
            <w:vAlign w:val="center"/>
          </w:tcPr>
          <w:p w14:paraId="0610181E" w14:textId="77777777" w:rsidR="00B20293" w:rsidRPr="0086165A" w:rsidRDefault="00B20293" w:rsidP="00B20293">
            <w:pPr>
              <w:jc w:val="center"/>
              <w:rPr>
                <w:rFonts w:cs="Calibri"/>
                <w:color w:val="000000"/>
                <w:szCs w:val="22"/>
              </w:rPr>
            </w:pPr>
            <w:r w:rsidRPr="0086165A">
              <w:rPr>
                <w:rFonts w:cs="Calibri"/>
                <w:color w:val="000000"/>
                <w:szCs w:val="22"/>
              </w:rPr>
              <w:t>11%</w:t>
            </w:r>
          </w:p>
        </w:tc>
      </w:tr>
      <w:tr w:rsidR="00B20293" w:rsidRPr="00666BAC" w14:paraId="3F594A83" w14:textId="77777777" w:rsidTr="0078382D">
        <w:trPr>
          <w:trHeight w:val="286"/>
        </w:trPr>
        <w:tc>
          <w:tcPr>
            <w:tcW w:w="2048" w:type="dxa"/>
            <w:vAlign w:val="bottom"/>
          </w:tcPr>
          <w:p w14:paraId="0C297F24" w14:textId="77777777" w:rsidR="00B20293" w:rsidRPr="00666BAC" w:rsidRDefault="00B20293" w:rsidP="00B20293">
            <w:pPr>
              <w:rPr>
                <w:rFonts w:cs="Calibri"/>
                <w:b/>
                <w:color w:val="000000"/>
                <w:szCs w:val="22"/>
              </w:rPr>
            </w:pPr>
            <w:r w:rsidRPr="00666BAC">
              <w:rPr>
                <w:rFonts w:cs="Calibri"/>
                <w:b/>
                <w:color w:val="000000"/>
                <w:szCs w:val="22"/>
              </w:rPr>
              <w:t>Maternity</w:t>
            </w:r>
          </w:p>
        </w:tc>
        <w:tc>
          <w:tcPr>
            <w:tcW w:w="1392" w:type="dxa"/>
            <w:vAlign w:val="bottom"/>
          </w:tcPr>
          <w:p w14:paraId="2EFF5076" w14:textId="284EA006" w:rsidR="00B20293" w:rsidRPr="0086165A" w:rsidRDefault="00B20293" w:rsidP="00B20293">
            <w:pPr>
              <w:jc w:val="center"/>
              <w:rPr>
                <w:rFonts w:cs="Calibri"/>
                <w:color w:val="000000"/>
                <w:szCs w:val="22"/>
              </w:rPr>
            </w:pPr>
            <w:r w:rsidRPr="0086165A">
              <w:rPr>
                <w:rFonts w:cs="Calibri"/>
                <w:color w:val="000000"/>
                <w:szCs w:val="22"/>
              </w:rPr>
              <w:t>7%</w:t>
            </w:r>
          </w:p>
        </w:tc>
        <w:tc>
          <w:tcPr>
            <w:tcW w:w="1381" w:type="dxa"/>
            <w:vAlign w:val="bottom"/>
          </w:tcPr>
          <w:p w14:paraId="13BE842E" w14:textId="0C64CB52" w:rsidR="00B20293" w:rsidRPr="0086165A" w:rsidRDefault="00B20293" w:rsidP="00B20293">
            <w:pPr>
              <w:jc w:val="center"/>
              <w:rPr>
                <w:rFonts w:cs="Calibri"/>
                <w:color w:val="000000"/>
                <w:szCs w:val="22"/>
              </w:rPr>
            </w:pPr>
            <w:r w:rsidRPr="0086165A">
              <w:rPr>
                <w:rFonts w:cs="Calibri"/>
                <w:color w:val="000000"/>
                <w:szCs w:val="22"/>
              </w:rPr>
              <w:t>3%</w:t>
            </w:r>
          </w:p>
        </w:tc>
        <w:tc>
          <w:tcPr>
            <w:tcW w:w="1380" w:type="dxa"/>
            <w:vAlign w:val="bottom"/>
          </w:tcPr>
          <w:p w14:paraId="0EE18CDD" w14:textId="77777777" w:rsidR="00B20293" w:rsidRPr="0086165A" w:rsidRDefault="00B20293" w:rsidP="00B20293">
            <w:pPr>
              <w:jc w:val="center"/>
              <w:rPr>
                <w:rFonts w:cs="Calibri"/>
                <w:color w:val="000000"/>
                <w:szCs w:val="22"/>
              </w:rPr>
            </w:pPr>
            <w:r w:rsidRPr="0086165A">
              <w:rPr>
                <w:rFonts w:cs="Calibri"/>
                <w:color w:val="000000"/>
                <w:szCs w:val="22"/>
              </w:rPr>
              <w:t>6%</w:t>
            </w:r>
          </w:p>
        </w:tc>
        <w:tc>
          <w:tcPr>
            <w:tcW w:w="1355" w:type="dxa"/>
          </w:tcPr>
          <w:p w14:paraId="7DE5BDF1" w14:textId="395AA096" w:rsidR="00B20293" w:rsidRPr="0086165A" w:rsidRDefault="00B20293" w:rsidP="00B20293">
            <w:pPr>
              <w:jc w:val="center"/>
              <w:rPr>
                <w:rFonts w:cs="Calibri"/>
                <w:color w:val="000000"/>
                <w:szCs w:val="22"/>
              </w:rPr>
            </w:pPr>
            <w:r w:rsidRPr="0086165A">
              <w:rPr>
                <w:rFonts w:cs="Calibri"/>
                <w:color w:val="000000"/>
                <w:szCs w:val="22"/>
              </w:rPr>
              <w:t>5%</w:t>
            </w:r>
          </w:p>
        </w:tc>
        <w:tc>
          <w:tcPr>
            <w:tcW w:w="1332" w:type="dxa"/>
          </w:tcPr>
          <w:p w14:paraId="71B4C793" w14:textId="77777777" w:rsidR="00B20293" w:rsidRPr="0086165A" w:rsidRDefault="00B20293" w:rsidP="00B20293">
            <w:pPr>
              <w:jc w:val="center"/>
              <w:rPr>
                <w:rFonts w:cs="Calibri"/>
                <w:color w:val="000000"/>
                <w:szCs w:val="22"/>
              </w:rPr>
            </w:pPr>
            <w:r w:rsidRPr="0086165A">
              <w:rPr>
                <w:rFonts w:cs="Calibri"/>
                <w:color w:val="000000"/>
                <w:szCs w:val="22"/>
              </w:rPr>
              <w:t>7%</w:t>
            </w:r>
          </w:p>
        </w:tc>
      </w:tr>
    </w:tbl>
    <w:p w14:paraId="28EA91B9" w14:textId="4BC29293" w:rsidR="00636882" w:rsidRPr="00636882" w:rsidRDefault="00636882" w:rsidP="00636882">
      <w:pPr>
        <w:rPr>
          <w:lang w:val="en-AU" w:bidi="ar-SA"/>
        </w:rPr>
      </w:pPr>
    </w:p>
    <w:p w14:paraId="4DE98A68" w14:textId="77777777" w:rsidR="00EC04B3" w:rsidRDefault="00EC04B3" w:rsidP="00907B28">
      <w:pPr>
        <w:pStyle w:val="Heading2"/>
        <w:spacing w:before="600" w:after="240"/>
        <w:rPr>
          <w:sz w:val="36"/>
          <w:szCs w:val="36"/>
        </w:rPr>
      </w:pPr>
      <w:bookmarkStart w:id="63" w:name="_Toc404344431"/>
      <w:bookmarkStart w:id="64" w:name="_Toc506278070"/>
      <w:bookmarkStart w:id="65" w:name="_Toc58316487"/>
      <w:bookmarkEnd w:id="56"/>
      <w:bookmarkEnd w:id="57"/>
      <w:bookmarkEnd w:id="58"/>
      <w:bookmarkEnd w:id="59"/>
      <w:bookmarkEnd w:id="60"/>
      <w:bookmarkEnd w:id="61"/>
      <w:bookmarkEnd w:id="62"/>
      <w:r>
        <w:rPr>
          <w:sz w:val="36"/>
          <w:szCs w:val="36"/>
        </w:rPr>
        <w:br w:type="page"/>
      </w:r>
    </w:p>
    <w:p w14:paraId="4D64AA73" w14:textId="0725BDA8" w:rsidR="00636882" w:rsidRPr="00666BAC" w:rsidRDefault="00636882" w:rsidP="0078382D">
      <w:pPr>
        <w:pStyle w:val="Heading2"/>
        <w:spacing w:before="600" w:after="240"/>
        <w:rPr>
          <w:sz w:val="36"/>
          <w:szCs w:val="36"/>
        </w:rPr>
      </w:pPr>
      <w:r w:rsidRPr="00666BAC">
        <w:rPr>
          <w:sz w:val="36"/>
          <w:szCs w:val="36"/>
        </w:rPr>
        <w:lastRenderedPageBreak/>
        <w:t>3.</w:t>
      </w:r>
      <w:r w:rsidRPr="00666BAC">
        <w:rPr>
          <w:sz w:val="36"/>
          <w:szCs w:val="36"/>
        </w:rPr>
        <w:tab/>
        <w:t>What did people complain about?</w:t>
      </w:r>
      <w:bookmarkEnd w:id="63"/>
      <w:bookmarkEnd w:id="64"/>
      <w:bookmarkEnd w:id="65"/>
      <w:r w:rsidRPr="00666BAC">
        <w:rPr>
          <w:sz w:val="36"/>
          <w:szCs w:val="36"/>
        </w:rPr>
        <w:t xml:space="preserve"> </w:t>
      </w:r>
    </w:p>
    <w:p w14:paraId="29EBDE70" w14:textId="04201A58" w:rsidR="00636882" w:rsidRPr="003D2C86" w:rsidRDefault="00636882" w:rsidP="00636882">
      <w:pPr>
        <w:pStyle w:val="Heading3"/>
        <w:spacing w:after="120"/>
        <w:rPr>
          <w:b/>
          <w:i w:val="0"/>
          <w:sz w:val="28"/>
          <w:szCs w:val="28"/>
        </w:rPr>
      </w:pPr>
      <w:bookmarkStart w:id="66" w:name="_Toc404344432"/>
      <w:bookmarkStart w:id="67" w:name="_Toc506278071"/>
      <w:bookmarkStart w:id="68" w:name="_Toc58316488"/>
      <w:r w:rsidRPr="00666BAC">
        <w:rPr>
          <w:b/>
          <w:i w:val="0"/>
          <w:sz w:val="28"/>
          <w:szCs w:val="28"/>
        </w:rPr>
        <w:t>3.1</w:t>
      </w:r>
      <w:r w:rsidRPr="00666BAC">
        <w:rPr>
          <w:b/>
          <w:i w:val="0"/>
          <w:sz w:val="28"/>
          <w:szCs w:val="28"/>
        </w:rPr>
        <w:tab/>
      </w:r>
      <w:r>
        <w:rPr>
          <w:b/>
          <w:i w:val="0"/>
          <w:sz w:val="28"/>
          <w:szCs w:val="28"/>
        </w:rPr>
        <w:t xml:space="preserve">Primary </w:t>
      </w:r>
      <w:r w:rsidR="00CC0F87">
        <w:rPr>
          <w:b/>
          <w:i w:val="0"/>
          <w:sz w:val="28"/>
          <w:szCs w:val="28"/>
        </w:rPr>
        <w:t>i</w:t>
      </w:r>
      <w:r w:rsidR="00CC0F87" w:rsidRPr="00666BAC">
        <w:rPr>
          <w:b/>
          <w:i w:val="0"/>
          <w:sz w:val="28"/>
          <w:szCs w:val="28"/>
        </w:rPr>
        <w:t xml:space="preserve">ssues </w:t>
      </w:r>
      <w:r w:rsidRPr="00666BAC">
        <w:rPr>
          <w:b/>
          <w:i w:val="0"/>
          <w:sz w:val="28"/>
          <w:szCs w:val="28"/>
        </w:rPr>
        <w:t>identified in complaints</w:t>
      </w:r>
      <w:bookmarkEnd w:id="66"/>
      <w:bookmarkEnd w:id="67"/>
      <w:bookmarkEnd w:id="68"/>
      <w:r w:rsidRPr="00666BAC">
        <w:rPr>
          <w:b/>
          <w:i w:val="0"/>
          <w:sz w:val="28"/>
          <w:szCs w:val="28"/>
        </w:rPr>
        <w:t xml:space="preserve"> </w:t>
      </w:r>
    </w:p>
    <w:p w14:paraId="3B1D1FE1" w14:textId="4C8E39C3" w:rsidR="00841E1C" w:rsidRDefault="00841E1C" w:rsidP="00841E1C">
      <w:pPr>
        <w:spacing w:after="240"/>
      </w:pPr>
      <w:r>
        <w:t xml:space="preserve">For each complaint received by HDC, one primary complaint issue is identified. The primary issues identified in complaints received in </w:t>
      </w:r>
      <w:r w:rsidR="0086165A">
        <w:rPr>
          <w:lang w:eastAsia="en-NZ" w:bidi="ar-SA"/>
        </w:rPr>
        <w:t xml:space="preserve">Jan–Jun </w:t>
      </w:r>
      <w:r w:rsidR="00B20293">
        <w:rPr>
          <w:lang w:eastAsia="en-NZ" w:bidi="ar-SA"/>
        </w:rPr>
        <w:t>2020</w:t>
      </w:r>
      <w:r>
        <w:rPr>
          <w:lang w:eastAsia="en-NZ" w:bidi="ar-SA"/>
        </w:rPr>
        <w:t xml:space="preserve"> </w:t>
      </w:r>
      <w:r w:rsidR="00636882">
        <w:t>are listed</w:t>
      </w:r>
      <w:r w:rsidR="00CF6D9B">
        <w:t xml:space="preserve"> below</w:t>
      </w:r>
      <w:r w:rsidR="00636882">
        <w:t xml:space="preserve"> in Table 7</w:t>
      </w:r>
      <w:r>
        <w:t xml:space="preserve">. It should be noted that </w:t>
      </w:r>
      <w:r w:rsidRPr="00666BAC">
        <w:t>the issues included are as articul</w:t>
      </w:r>
      <w:r>
        <w:t>ated by the complainant to HDC.</w:t>
      </w:r>
      <w:r w:rsidRPr="00666BAC">
        <w:t xml:space="preserve"> While not all issues raised in complaints are subsequently factually and/or clinically subst</w:t>
      </w:r>
      <w:r>
        <w:t>antiated, those issues</w:t>
      </w:r>
      <w:r w:rsidRPr="00666BAC">
        <w:t xml:space="preserve"> provide a valuable insight into the consumer’s experience of the services provided and the issues they care about most</w:t>
      </w:r>
      <w:r>
        <w:t>.</w:t>
      </w:r>
    </w:p>
    <w:p w14:paraId="4DA51AF9" w14:textId="77777777" w:rsidR="00636882" w:rsidRDefault="00636882" w:rsidP="00636882">
      <w:r>
        <w:t xml:space="preserve">The most common primary issue categories were: </w:t>
      </w:r>
    </w:p>
    <w:p w14:paraId="52088E49" w14:textId="77777777" w:rsidR="00636882" w:rsidRDefault="00636882" w:rsidP="00636882"/>
    <w:p w14:paraId="2D475977" w14:textId="77777777" w:rsidR="00636882" w:rsidRDefault="00636882" w:rsidP="00636882">
      <w:pPr>
        <w:pStyle w:val="ListParagraph"/>
        <w:numPr>
          <w:ilvl w:val="0"/>
          <w:numId w:val="3"/>
        </w:numPr>
        <w:ind w:left="425" w:hanging="425"/>
      </w:pPr>
      <w:r>
        <w:t xml:space="preserve">Care/treatment (43%) </w:t>
      </w:r>
    </w:p>
    <w:p w14:paraId="254006FE" w14:textId="77777777" w:rsidR="00636882" w:rsidRDefault="00636882" w:rsidP="00636882">
      <w:pPr>
        <w:pStyle w:val="ListParagraph"/>
        <w:numPr>
          <w:ilvl w:val="0"/>
          <w:numId w:val="3"/>
        </w:numPr>
        <w:ind w:left="425" w:hanging="425"/>
      </w:pPr>
      <w:r>
        <w:t xml:space="preserve">Access/funding (20%) </w:t>
      </w:r>
    </w:p>
    <w:p w14:paraId="2459132B" w14:textId="77777777" w:rsidR="00636882" w:rsidRDefault="00636882" w:rsidP="00636882">
      <w:pPr>
        <w:pStyle w:val="ListParagraph"/>
        <w:numPr>
          <w:ilvl w:val="0"/>
          <w:numId w:val="3"/>
        </w:numPr>
        <w:ind w:left="425" w:hanging="425"/>
      </w:pPr>
      <w:r>
        <w:t>Consent/information (11%)</w:t>
      </w:r>
    </w:p>
    <w:p w14:paraId="08412ABF" w14:textId="77777777" w:rsidR="00636882" w:rsidRDefault="00636882" w:rsidP="00636882">
      <w:pPr>
        <w:pStyle w:val="ListParagraph"/>
        <w:numPr>
          <w:ilvl w:val="0"/>
          <w:numId w:val="3"/>
        </w:numPr>
        <w:spacing w:after="240"/>
        <w:ind w:left="426" w:hanging="426"/>
      </w:pPr>
      <w:r>
        <w:t>Communication (9%)</w:t>
      </w:r>
    </w:p>
    <w:p w14:paraId="471197DC" w14:textId="77777777" w:rsidR="00636882" w:rsidRDefault="00636882" w:rsidP="00636882">
      <w:r>
        <w:t xml:space="preserve">The most common specific primary issues complained about were: </w:t>
      </w:r>
    </w:p>
    <w:p w14:paraId="08FBAECA" w14:textId="77777777" w:rsidR="00636882" w:rsidRDefault="00636882" w:rsidP="00636882"/>
    <w:p w14:paraId="3A6D2305" w14:textId="77777777" w:rsidR="00636882" w:rsidRDefault="00636882" w:rsidP="00636882">
      <w:pPr>
        <w:pStyle w:val="ListParagraph"/>
        <w:numPr>
          <w:ilvl w:val="0"/>
          <w:numId w:val="4"/>
        </w:numPr>
        <w:tabs>
          <w:tab w:val="left" w:pos="426"/>
        </w:tabs>
        <w:ind w:left="714" w:hanging="714"/>
      </w:pPr>
      <w:r>
        <w:t>Lack of access to services (12%)</w:t>
      </w:r>
    </w:p>
    <w:p w14:paraId="07E55408" w14:textId="77777777" w:rsidR="00636882" w:rsidRDefault="00636882" w:rsidP="00636882">
      <w:pPr>
        <w:pStyle w:val="ListParagraph"/>
        <w:numPr>
          <w:ilvl w:val="0"/>
          <w:numId w:val="4"/>
        </w:numPr>
        <w:tabs>
          <w:tab w:val="left" w:pos="426"/>
        </w:tabs>
        <w:ind w:left="714" w:hanging="714"/>
      </w:pPr>
      <w:r w:rsidRPr="00EB09C2">
        <w:t xml:space="preserve">Missed/incorrect/delayed diagnosis </w:t>
      </w:r>
      <w:r>
        <w:t>(10%)</w:t>
      </w:r>
    </w:p>
    <w:p w14:paraId="03D568E3" w14:textId="77777777" w:rsidR="00636882" w:rsidRDefault="00636882" w:rsidP="00636882">
      <w:pPr>
        <w:pStyle w:val="ListParagraph"/>
        <w:numPr>
          <w:ilvl w:val="0"/>
          <w:numId w:val="4"/>
        </w:numPr>
        <w:tabs>
          <w:tab w:val="left" w:pos="426"/>
        </w:tabs>
        <w:ind w:left="714" w:hanging="714"/>
      </w:pPr>
      <w:r w:rsidRPr="00EB09C2">
        <w:t>Unexpected treatment outcome</w:t>
      </w:r>
      <w:r>
        <w:t xml:space="preserve"> (8%)</w:t>
      </w:r>
    </w:p>
    <w:p w14:paraId="2D2585DD" w14:textId="77777777" w:rsidR="00636882" w:rsidRDefault="00636882" w:rsidP="00636882">
      <w:pPr>
        <w:pStyle w:val="ListParagraph"/>
        <w:numPr>
          <w:ilvl w:val="0"/>
          <w:numId w:val="4"/>
        </w:numPr>
        <w:tabs>
          <w:tab w:val="left" w:pos="426"/>
        </w:tabs>
        <w:ind w:left="714" w:hanging="714"/>
      </w:pPr>
      <w:r w:rsidRPr="00EB09C2">
        <w:t>Waiting list/prioritisation issue</w:t>
      </w:r>
      <w:r>
        <w:t xml:space="preserve"> (7%)</w:t>
      </w:r>
    </w:p>
    <w:p w14:paraId="138D2802" w14:textId="77777777" w:rsidR="00636882" w:rsidRDefault="00636882" w:rsidP="00636882">
      <w:pPr>
        <w:pStyle w:val="ListParagraph"/>
        <w:numPr>
          <w:ilvl w:val="0"/>
          <w:numId w:val="4"/>
        </w:numPr>
        <w:tabs>
          <w:tab w:val="left" w:pos="426"/>
        </w:tabs>
        <w:ind w:left="714" w:hanging="714"/>
      </w:pPr>
      <w:r w:rsidRPr="007817CA">
        <w:t>Inadequate/inappropriate treatment</w:t>
      </w:r>
      <w:r>
        <w:t xml:space="preserve"> (5%)</w:t>
      </w:r>
    </w:p>
    <w:p w14:paraId="29449B76" w14:textId="13612392" w:rsidR="00636882" w:rsidRDefault="00636882" w:rsidP="00636882">
      <w:pPr>
        <w:tabs>
          <w:tab w:val="left" w:pos="426"/>
        </w:tabs>
      </w:pPr>
    </w:p>
    <w:p w14:paraId="3099740D" w14:textId="7B46E8D7" w:rsidR="00FA29FF" w:rsidRDefault="00636882" w:rsidP="0078382D">
      <w:pPr>
        <w:spacing w:before="240" w:after="120"/>
        <w:rPr>
          <w:b/>
        </w:rPr>
      </w:pPr>
      <w:r>
        <w:rPr>
          <w:b/>
        </w:rPr>
        <w:t>Table 7</w:t>
      </w:r>
      <w:r w:rsidR="00FA29FF">
        <w:rPr>
          <w:b/>
        </w:rPr>
        <w:t xml:space="preserve">. </w:t>
      </w:r>
      <w:r w:rsidR="00FA29FF">
        <w:t>Primary issues complained about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701"/>
        <w:gridCol w:w="1418"/>
      </w:tblGrid>
      <w:tr w:rsidR="00F87636" w14:paraId="1A43AA8B" w14:textId="77777777" w:rsidTr="0078382D">
        <w:trPr>
          <w:tblHeader/>
        </w:trPr>
        <w:tc>
          <w:tcPr>
            <w:tcW w:w="5670" w:type="dxa"/>
            <w:tcBorders>
              <w:top w:val="single" w:sz="4" w:space="0" w:color="auto"/>
              <w:left w:val="single" w:sz="4" w:space="0" w:color="auto"/>
              <w:bottom w:val="single" w:sz="4" w:space="0" w:color="auto"/>
              <w:right w:val="single" w:sz="4" w:space="0" w:color="auto"/>
            </w:tcBorders>
            <w:shd w:val="clear" w:color="auto" w:fill="C00000"/>
            <w:hideMark/>
          </w:tcPr>
          <w:p w14:paraId="4289DC09" w14:textId="77777777" w:rsidR="00F87636" w:rsidRDefault="00F87636" w:rsidP="00F87636">
            <w:pPr>
              <w:keepNext/>
              <w:keepLines/>
              <w:tabs>
                <w:tab w:val="left" w:pos="1440"/>
                <w:tab w:val="decimal" w:pos="4320"/>
              </w:tabs>
              <w:spacing w:before="120"/>
              <w:jc w:val="left"/>
              <w:outlineLvl w:val="0"/>
              <w:rPr>
                <w:rFonts w:ascii="Calibri" w:hAnsi="Calibri"/>
                <w:b/>
                <w:szCs w:val="22"/>
              </w:rPr>
            </w:pPr>
            <w:r>
              <w:rPr>
                <w:rFonts w:ascii="Calibri" w:hAnsi="Calibri"/>
                <w:b/>
                <w:szCs w:val="22"/>
              </w:rPr>
              <w:t xml:space="preserve">Primary issue in complaints </w:t>
            </w:r>
          </w:p>
        </w:tc>
        <w:tc>
          <w:tcPr>
            <w:tcW w:w="1701" w:type="dxa"/>
            <w:tcBorders>
              <w:top w:val="single" w:sz="4" w:space="0" w:color="auto"/>
              <w:left w:val="single" w:sz="4" w:space="0" w:color="auto"/>
              <w:bottom w:val="single" w:sz="4" w:space="0" w:color="auto"/>
              <w:right w:val="single" w:sz="4" w:space="0" w:color="auto"/>
            </w:tcBorders>
            <w:shd w:val="clear" w:color="auto" w:fill="C00000"/>
            <w:hideMark/>
          </w:tcPr>
          <w:p w14:paraId="3DCB166B" w14:textId="77777777" w:rsidR="00F87636" w:rsidRDefault="00F87636" w:rsidP="00F87636">
            <w:pPr>
              <w:keepNext/>
              <w:keepLines/>
              <w:tabs>
                <w:tab w:val="left" w:pos="1440"/>
                <w:tab w:val="decimal" w:pos="4320"/>
              </w:tabs>
              <w:spacing w:before="120"/>
              <w:jc w:val="center"/>
              <w:outlineLvl w:val="0"/>
              <w:rPr>
                <w:rFonts w:ascii="Calibri" w:hAnsi="Calibri"/>
                <w:b/>
                <w:szCs w:val="22"/>
              </w:rPr>
            </w:pPr>
            <w:r>
              <w:rPr>
                <w:rFonts w:ascii="Calibri" w:hAnsi="Calibri"/>
                <w:b/>
                <w:szCs w:val="22"/>
              </w:rPr>
              <w:t xml:space="preserve">Number of complaints </w:t>
            </w:r>
          </w:p>
        </w:tc>
        <w:tc>
          <w:tcPr>
            <w:tcW w:w="1418" w:type="dxa"/>
            <w:tcBorders>
              <w:top w:val="single" w:sz="4" w:space="0" w:color="auto"/>
              <w:left w:val="single" w:sz="4" w:space="0" w:color="auto"/>
              <w:bottom w:val="single" w:sz="4" w:space="0" w:color="auto"/>
              <w:right w:val="single" w:sz="4" w:space="0" w:color="auto"/>
            </w:tcBorders>
            <w:shd w:val="clear" w:color="auto" w:fill="C00000"/>
            <w:hideMark/>
          </w:tcPr>
          <w:p w14:paraId="3327D5D9" w14:textId="77777777" w:rsidR="00F87636" w:rsidRDefault="00F87636" w:rsidP="00F87636">
            <w:pPr>
              <w:keepNext/>
              <w:keepLines/>
              <w:tabs>
                <w:tab w:val="left" w:pos="1440"/>
                <w:tab w:val="decimal" w:pos="4320"/>
              </w:tabs>
              <w:spacing w:before="120"/>
              <w:jc w:val="center"/>
              <w:outlineLvl w:val="0"/>
              <w:rPr>
                <w:rFonts w:ascii="Calibri" w:hAnsi="Calibri"/>
                <w:b/>
                <w:szCs w:val="22"/>
              </w:rPr>
            </w:pPr>
            <w:r>
              <w:rPr>
                <w:rFonts w:ascii="Calibri" w:hAnsi="Calibri"/>
                <w:b/>
                <w:szCs w:val="22"/>
              </w:rPr>
              <w:t>Percentage</w:t>
            </w:r>
          </w:p>
        </w:tc>
      </w:tr>
      <w:tr w:rsidR="00F87636" w14:paraId="7214C00F" w14:textId="77777777" w:rsidTr="0078382D">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0F25FA1" w14:textId="77777777" w:rsidR="00F87636" w:rsidRDefault="00F87636" w:rsidP="00F87636">
            <w:pPr>
              <w:keepNext/>
              <w:keepLines/>
              <w:rPr>
                <w:rFonts w:ascii="Calibri" w:hAnsi="Calibri" w:cs="Calibri"/>
                <w:b/>
                <w:i/>
                <w:color w:val="000000"/>
                <w:szCs w:val="22"/>
              </w:rPr>
            </w:pPr>
            <w:r>
              <w:rPr>
                <w:rFonts w:ascii="Calibri" w:hAnsi="Calibri" w:cs="Calibri"/>
                <w:b/>
                <w:i/>
                <w:color w:val="000000"/>
                <w:szCs w:val="22"/>
              </w:rPr>
              <w:t>Access/Funding</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4B61C1" w14:textId="77777777" w:rsidR="00F87636" w:rsidRDefault="00F87636" w:rsidP="00F87636">
            <w:pPr>
              <w:keepNext/>
              <w:keepLines/>
              <w:jc w:val="center"/>
              <w:rPr>
                <w:rFonts w:ascii="Calibri" w:hAnsi="Calibri" w:cs="Calibri"/>
                <w:b/>
                <w:i/>
                <w:color w:val="000000"/>
                <w:szCs w:val="22"/>
              </w:rPr>
            </w:pPr>
            <w:r>
              <w:rPr>
                <w:rFonts w:ascii="Calibri" w:hAnsi="Calibri" w:cs="Calibri"/>
                <w:b/>
                <w:i/>
                <w:color w:val="000000"/>
                <w:szCs w:val="22"/>
              </w:rPr>
              <w:t>79</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F200C8" w14:textId="25652733" w:rsidR="00F87636" w:rsidRDefault="00012CBB" w:rsidP="00F87636">
            <w:pPr>
              <w:keepNext/>
              <w:keepLines/>
              <w:jc w:val="center"/>
              <w:rPr>
                <w:rFonts w:ascii="Calibri" w:hAnsi="Calibri" w:cs="Calibri"/>
                <w:b/>
                <w:i/>
                <w:color w:val="000000"/>
                <w:szCs w:val="22"/>
              </w:rPr>
            </w:pPr>
            <w:r>
              <w:rPr>
                <w:rFonts w:ascii="Calibri" w:hAnsi="Calibri" w:cs="Calibri"/>
                <w:b/>
                <w:i/>
                <w:color w:val="000000"/>
                <w:szCs w:val="22"/>
              </w:rPr>
              <w:t>20.2</w:t>
            </w:r>
            <w:r w:rsidR="00F87636">
              <w:rPr>
                <w:rFonts w:ascii="Calibri" w:hAnsi="Calibri" w:cs="Calibri"/>
                <w:b/>
                <w:i/>
                <w:color w:val="000000"/>
                <w:szCs w:val="22"/>
              </w:rPr>
              <w:t>%</w:t>
            </w:r>
          </w:p>
        </w:tc>
      </w:tr>
      <w:tr w:rsidR="00F87636" w14:paraId="3CD64C9C" w14:textId="77777777" w:rsidTr="0078382D">
        <w:tc>
          <w:tcPr>
            <w:tcW w:w="5670" w:type="dxa"/>
            <w:tcBorders>
              <w:top w:val="single" w:sz="4" w:space="0" w:color="auto"/>
              <w:left w:val="single" w:sz="4" w:space="0" w:color="auto"/>
              <w:bottom w:val="single" w:sz="4" w:space="0" w:color="auto"/>
              <w:right w:val="single" w:sz="4" w:space="0" w:color="auto"/>
            </w:tcBorders>
            <w:vAlign w:val="bottom"/>
            <w:hideMark/>
          </w:tcPr>
          <w:p w14:paraId="211903A0" w14:textId="77777777" w:rsidR="00F87636" w:rsidRDefault="00F87636" w:rsidP="00F87636">
            <w:pPr>
              <w:keepNext/>
              <w:keepLines/>
              <w:tabs>
                <w:tab w:val="left" w:pos="176"/>
              </w:tabs>
              <w:ind w:left="176"/>
              <w:jc w:val="left"/>
              <w:rPr>
                <w:rFonts w:ascii="Calibri" w:hAnsi="Calibri" w:cs="Calibri"/>
                <w:color w:val="000000"/>
                <w:szCs w:val="22"/>
              </w:rPr>
            </w:pPr>
            <w:r>
              <w:rPr>
                <w:rFonts w:ascii="Calibri" w:hAnsi="Calibri" w:cs="Calibri"/>
                <w:color w:val="000000"/>
                <w:szCs w:val="22"/>
              </w:rPr>
              <w:t xml:space="preserve">Lack of access to services </w:t>
            </w:r>
          </w:p>
        </w:tc>
        <w:tc>
          <w:tcPr>
            <w:tcW w:w="1701" w:type="dxa"/>
            <w:tcBorders>
              <w:top w:val="single" w:sz="4" w:space="0" w:color="auto"/>
              <w:left w:val="single" w:sz="4" w:space="0" w:color="auto"/>
              <w:bottom w:val="single" w:sz="4" w:space="0" w:color="auto"/>
              <w:right w:val="single" w:sz="4" w:space="0" w:color="auto"/>
            </w:tcBorders>
            <w:vAlign w:val="center"/>
          </w:tcPr>
          <w:p w14:paraId="57ACD47C" w14:textId="77777777" w:rsidR="00F87636" w:rsidRDefault="00F87636" w:rsidP="00F87636">
            <w:pPr>
              <w:keepNext/>
              <w:keepLines/>
              <w:jc w:val="center"/>
              <w:rPr>
                <w:rFonts w:ascii="Calibri" w:hAnsi="Calibri" w:cs="Calibri"/>
                <w:color w:val="000000"/>
                <w:szCs w:val="22"/>
              </w:rPr>
            </w:pPr>
            <w:r>
              <w:rPr>
                <w:rFonts w:ascii="Calibri" w:hAnsi="Calibri" w:cs="Calibri"/>
                <w:color w:val="000000"/>
                <w:szCs w:val="22"/>
              </w:rPr>
              <w:t>46</w:t>
            </w:r>
          </w:p>
        </w:tc>
        <w:tc>
          <w:tcPr>
            <w:tcW w:w="1418" w:type="dxa"/>
            <w:tcBorders>
              <w:top w:val="single" w:sz="4" w:space="0" w:color="auto"/>
              <w:left w:val="single" w:sz="4" w:space="0" w:color="auto"/>
              <w:bottom w:val="single" w:sz="4" w:space="0" w:color="auto"/>
              <w:right w:val="single" w:sz="4" w:space="0" w:color="auto"/>
            </w:tcBorders>
            <w:vAlign w:val="center"/>
          </w:tcPr>
          <w:p w14:paraId="1C607E34" w14:textId="77777777" w:rsidR="00F87636" w:rsidRDefault="00F87636" w:rsidP="00F87636">
            <w:pPr>
              <w:keepNext/>
              <w:keepLines/>
              <w:jc w:val="center"/>
              <w:rPr>
                <w:rFonts w:ascii="Calibri" w:hAnsi="Calibri" w:cs="Calibri"/>
                <w:color w:val="000000"/>
                <w:szCs w:val="22"/>
              </w:rPr>
            </w:pPr>
            <w:r>
              <w:rPr>
                <w:rFonts w:ascii="Calibri" w:hAnsi="Calibri" w:cs="Calibri"/>
                <w:color w:val="000000"/>
                <w:szCs w:val="22"/>
              </w:rPr>
              <w:t>11.7%</w:t>
            </w:r>
          </w:p>
        </w:tc>
      </w:tr>
      <w:tr w:rsidR="00F87636" w14:paraId="64A07C07" w14:textId="77777777" w:rsidTr="0078382D">
        <w:tc>
          <w:tcPr>
            <w:tcW w:w="5670" w:type="dxa"/>
            <w:tcBorders>
              <w:top w:val="single" w:sz="4" w:space="0" w:color="auto"/>
              <w:left w:val="single" w:sz="4" w:space="0" w:color="auto"/>
              <w:bottom w:val="single" w:sz="4" w:space="0" w:color="auto"/>
              <w:right w:val="single" w:sz="4" w:space="0" w:color="auto"/>
            </w:tcBorders>
            <w:vAlign w:val="bottom"/>
            <w:hideMark/>
          </w:tcPr>
          <w:p w14:paraId="0445CD99" w14:textId="77777777" w:rsidR="00F87636" w:rsidRDefault="00F87636" w:rsidP="00F87636">
            <w:pPr>
              <w:keepNext/>
              <w:keepLines/>
              <w:ind w:left="720" w:hanging="544"/>
              <w:rPr>
                <w:rFonts w:ascii="Calibri" w:hAnsi="Calibri" w:cs="Calibri"/>
                <w:color w:val="000000"/>
                <w:szCs w:val="22"/>
              </w:rPr>
            </w:pPr>
            <w:r>
              <w:rPr>
                <w:rFonts w:ascii="Calibri" w:hAnsi="Calibri" w:cs="Calibri"/>
                <w:color w:val="000000"/>
                <w:szCs w:val="22"/>
              </w:rPr>
              <w:t>Lack of access to subsidies/funding</w:t>
            </w:r>
          </w:p>
        </w:tc>
        <w:tc>
          <w:tcPr>
            <w:tcW w:w="1701" w:type="dxa"/>
            <w:tcBorders>
              <w:top w:val="single" w:sz="4" w:space="0" w:color="auto"/>
              <w:left w:val="single" w:sz="4" w:space="0" w:color="auto"/>
              <w:bottom w:val="single" w:sz="4" w:space="0" w:color="auto"/>
              <w:right w:val="single" w:sz="4" w:space="0" w:color="auto"/>
            </w:tcBorders>
            <w:vAlign w:val="center"/>
          </w:tcPr>
          <w:p w14:paraId="04ED20A8" w14:textId="77777777" w:rsidR="00F87636" w:rsidRDefault="00F87636" w:rsidP="00F87636">
            <w:pPr>
              <w:keepNext/>
              <w:keepLines/>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180A77BE" w14:textId="77777777" w:rsidR="00F87636" w:rsidRDefault="00F87636" w:rsidP="00F87636">
            <w:pPr>
              <w:keepNext/>
              <w:keepLines/>
              <w:jc w:val="center"/>
              <w:rPr>
                <w:rFonts w:ascii="Calibri" w:hAnsi="Calibri" w:cs="Calibri"/>
                <w:color w:val="000000"/>
                <w:szCs w:val="22"/>
              </w:rPr>
            </w:pPr>
            <w:r>
              <w:rPr>
                <w:rFonts w:ascii="Calibri" w:hAnsi="Calibri" w:cs="Calibri"/>
                <w:color w:val="000000"/>
                <w:szCs w:val="22"/>
              </w:rPr>
              <w:t>1.0%</w:t>
            </w:r>
          </w:p>
        </w:tc>
      </w:tr>
      <w:tr w:rsidR="00F87636" w14:paraId="1916B12D" w14:textId="77777777" w:rsidTr="0078382D">
        <w:tc>
          <w:tcPr>
            <w:tcW w:w="5670" w:type="dxa"/>
            <w:tcBorders>
              <w:top w:val="single" w:sz="4" w:space="0" w:color="auto"/>
              <w:left w:val="single" w:sz="4" w:space="0" w:color="auto"/>
              <w:bottom w:val="single" w:sz="4" w:space="0" w:color="auto"/>
              <w:right w:val="single" w:sz="4" w:space="0" w:color="auto"/>
            </w:tcBorders>
            <w:vAlign w:val="bottom"/>
            <w:hideMark/>
          </w:tcPr>
          <w:p w14:paraId="7BC307BC" w14:textId="77777777" w:rsidR="00F87636" w:rsidRDefault="00F87636" w:rsidP="00F87636">
            <w:pPr>
              <w:keepNext/>
              <w:keepLines/>
              <w:tabs>
                <w:tab w:val="left" w:pos="176"/>
              </w:tabs>
              <w:ind w:left="176"/>
              <w:rPr>
                <w:rFonts w:ascii="Calibri" w:hAnsi="Calibri" w:cs="Calibri"/>
                <w:color w:val="000000"/>
                <w:szCs w:val="22"/>
              </w:rPr>
            </w:pPr>
            <w:r>
              <w:rPr>
                <w:rFonts w:ascii="Calibri" w:hAnsi="Calibri" w:cs="Calibri"/>
                <w:color w:val="000000"/>
                <w:szCs w:val="22"/>
              </w:rPr>
              <w:t>Waiting list/prioritisation issue</w:t>
            </w:r>
          </w:p>
        </w:tc>
        <w:tc>
          <w:tcPr>
            <w:tcW w:w="1701" w:type="dxa"/>
            <w:tcBorders>
              <w:top w:val="single" w:sz="4" w:space="0" w:color="auto"/>
              <w:left w:val="single" w:sz="4" w:space="0" w:color="auto"/>
              <w:bottom w:val="single" w:sz="4" w:space="0" w:color="auto"/>
              <w:right w:val="single" w:sz="4" w:space="0" w:color="auto"/>
            </w:tcBorders>
            <w:vAlign w:val="center"/>
          </w:tcPr>
          <w:p w14:paraId="040CA66B" w14:textId="77777777" w:rsidR="00F87636" w:rsidRDefault="00F87636" w:rsidP="00F87636">
            <w:pPr>
              <w:keepNext/>
              <w:keepLines/>
              <w:jc w:val="center"/>
              <w:rPr>
                <w:rFonts w:ascii="Calibri" w:hAnsi="Calibri" w:cs="Calibri"/>
                <w:color w:val="000000"/>
                <w:szCs w:val="22"/>
              </w:rPr>
            </w:pPr>
            <w:r>
              <w:rPr>
                <w:rFonts w:ascii="Calibri" w:hAnsi="Calibri" w:cs="Calibri"/>
                <w:color w:val="000000"/>
                <w:szCs w:val="22"/>
              </w:rPr>
              <w:t>29</w:t>
            </w:r>
          </w:p>
        </w:tc>
        <w:tc>
          <w:tcPr>
            <w:tcW w:w="1418" w:type="dxa"/>
            <w:tcBorders>
              <w:top w:val="single" w:sz="4" w:space="0" w:color="auto"/>
              <w:left w:val="single" w:sz="4" w:space="0" w:color="auto"/>
              <w:bottom w:val="single" w:sz="4" w:space="0" w:color="auto"/>
              <w:right w:val="single" w:sz="4" w:space="0" w:color="auto"/>
            </w:tcBorders>
            <w:vAlign w:val="center"/>
          </w:tcPr>
          <w:p w14:paraId="745918BB" w14:textId="77777777" w:rsidR="00F87636" w:rsidRDefault="00F87636" w:rsidP="00F87636">
            <w:pPr>
              <w:keepNext/>
              <w:keepLines/>
              <w:jc w:val="center"/>
              <w:rPr>
                <w:rFonts w:ascii="Calibri" w:hAnsi="Calibri" w:cs="Calibri"/>
                <w:color w:val="000000"/>
                <w:szCs w:val="22"/>
              </w:rPr>
            </w:pPr>
            <w:r>
              <w:rPr>
                <w:rFonts w:ascii="Calibri" w:hAnsi="Calibri" w:cs="Calibri"/>
                <w:color w:val="000000"/>
                <w:szCs w:val="22"/>
              </w:rPr>
              <w:t>7.4%</w:t>
            </w:r>
          </w:p>
        </w:tc>
      </w:tr>
      <w:tr w:rsidR="00F87636" w14:paraId="6C2CB3D7" w14:textId="77777777" w:rsidTr="0078382D">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697CCEA" w14:textId="77777777" w:rsidR="00F87636" w:rsidRDefault="00F87636" w:rsidP="00F87636">
            <w:pPr>
              <w:keepNext/>
              <w:keepLines/>
              <w:tabs>
                <w:tab w:val="left" w:pos="176"/>
              </w:tabs>
              <w:jc w:val="left"/>
              <w:rPr>
                <w:rFonts w:ascii="Calibri" w:hAnsi="Calibri" w:cs="Calibri"/>
                <w:b/>
                <w:i/>
                <w:color w:val="000000"/>
                <w:szCs w:val="22"/>
              </w:rPr>
            </w:pPr>
            <w:r>
              <w:rPr>
                <w:rFonts w:ascii="Calibri" w:hAnsi="Calibri" w:cs="Calibri"/>
                <w:b/>
                <w:i/>
                <w:color w:val="000000"/>
                <w:szCs w:val="22"/>
              </w:rPr>
              <w:t>Care/Treatment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9CDE02" w14:textId="07EF9158" w:rsidR="00F87636" w:rsidRDefault="0043728B" w:rsidP="00F87636">
            <w:pPr>
              <w:keepNext/>
              <w:keepLines/>
              <w:jc w:val="center"/>
              <w:rPr>
                <w:rFonts w:ascii="Calibri" w:hAnsi="Calibri" w:cs="Calibri"/>
                <w:b/>
                <w:i/>
                <w:color w:val="000000"/>
                <w:szCs w:val="22"/>
              </w:rPr>
            </w:pPr>
            <w:r>
              <w:rPr>
                <w:rFonts w:ascii="Calibri" w:hAnsi="Calibri" w:cs="Calibri"/>
                <w:b/>
                <w:i/>
                <w:color w:val="000000"/>
                <w:szCs w:val="22"/>
              </w:rPr>
              <w:t>168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FDEAFD" w14:textId="6D4C50EC" w:rsidR="00F87636" w:rsidRDefault="000B5E05" w:rsidP="00F87636">
            <w:pPr>
              <w:keepNext/>
              <w:keepLines/>
              <w:jc w:val="center"/>
              <w:rPr>
                <w:rFonts w:ascii="Calibri" w:hAnsi="Calibri" w:cs="Calibri"/>
                <w:b/>
                <w:i/>
                <w:color w:val="000000"/>
                <w:szCs w:val="22"/>
              </w:rPr>
            </w:pPr>
            <w:r>
              <w:rPr>
                <w:rFonts w:ascii="Calibri" w:hAnsi="Calibri" w:cs="Calibri"/>
                <w:b/>
                <w:i/>
                <w:color w:val="000000"/>
                <w:szCs w:val="22"/>
              </w:rPr>
              <w:t>42.9</w:t>
            </w:r>
            <w:r w:rsidR="00F87636">
              <w:rPr>
                <w:rFonts w:ascii="Calibri" w:hAnsi="Calibri" w:cs="Calibri"/>
                <w:b/>
                <w:i/>
                <w:color w:val="000000"/>
                <w:szCs w:val="22"/>
              </w:rPr>
              <w:t>%</w:t>
            </w:r>
          </w:p>
        </w:tc>
      </w:tr>
      <w:tr w:rsidR="00F87636" w14:paraId="4A8F5926" w14:textId="77777777" w:rsidTr="0078382D">
        <w:tc>
          <w:tcPr>
            <w:tcW w:w="5670" w:type="dxa"/>
            <w:tcBorders>
              <w:top w:val="single" w:sz="4" w:space="0" w:color="auto"/>
              <w:left w:val="single" w:sz="4" w:space="0" w:color="auto"/>
              <w:bottom w:val="single" w:sz="4" w:space="0" w:color="auto"/>
              <w:right w:val="single" w:sz="4" w:space="0" w:color="auto"/>
            </w:tcBorders>
            <w:vAlign w:val="bottom"/>
            <w:hideMark/>
          </w:tcPr>
          <w:p w14:paraId="09FC2756" w14:textId="77777777" w:rsidR="00F87636" w:rsidRDefault="00F87636" w:rsidP="00F87636">
            <w:pPr>
              <w:keepNext/>
              <w:keepLines/>
              <w:tabs>
                <w:tab w:val="left" w:pos="176"/>
              </w:tabs>
              <w:ind w:left="176"/>
              <w:rPr>
                <w:rFonts w:ascii="Calibri" w:hAnsi="Calibri" w:cs="Calibri"/>
                <w:color w:val="000000"/>
                <w:szCs w:val="22"/>
              </w:rPr>
            </w:pPr>
            <w:r>
              <w:rPr>
                <w:rFonts w:ascii="Calibri" w:hAnsi="Calibri" w:cs="Calibri"/>
                <w:color w:val="000000"/>
                <w:szCs w:val="22"/>
              </w:rPr>
              <w:t>Delay in treatment</w:t>
            </w:r>
          </w:p>
        </w:tc>
        <w:tc>
          <w:tcPr>
            <w:tcW w:w="1701" w:type="dxa"/>
            <w:tcBorders>
              <w:top w:val="single" w:sz="4" w:space="0" w:color="auto"/>
              <w:left w:val="single" w:sz="4" w:space="0" w:color="auto"/>
              <w:bottom w:val="single" w:sz="4" w:space="0" w:color="auto"/>
              <w:right w:val="single" w:sz="4" w:space="0" w:color="auto"/>
            </w:tcBorders>
            <w:vAlign w:val="center"/>
          </w:tcPr>
          <w:p w14:paraId="297DB4D5" w14:textId="77777777" w:rsidR="00F87636" w:rsidRDefault="00F87636" w:rsidP="00F87636">
            <w:pPr>
              <w:keepNext/>
              <w:keepLines/>
              <w:jc w:val="center"/>
              <w:rPr>
                <w:rFonts w:ascii="Calibri" w:hAnsi="Calibri" w:cs="Calibri"/>
                <w:color w:val="000000"/>
                <w:szCs w:val="22"/>
              </w:rPr>
            </w:pPr>
            <w:r>
              <w:rPr>
                <w:rFonts w:ascii="Calibri" w:hAnsi="Calibri" w:cs="Calibri"/>
                <w:color w:val="000000"/>
                <w:szCs w:val="22"/>
              </w:rPr>
              <w:t>14</w:t>
            </w:r>
          </w:p>
        </w:tc>
        <w:tc>
          <w:tcPr>
            <w:tcW w:w="1418" w:type="dxa"/>
            <w:tcBorders>
              <w:top w:val="single" w:sz="4" w:space="0" w:color="auto"/>
              <w:left w:val="single" w:sz="4" w:space="0" w:color="auto"/>
              <w:bottom w:val="single" w:sz="4" w:space="0" w:color="auto"/>
              <w:right w:val="single" w:sz="4" w:space="0" w:color="auto"/>
            </w:tcBorders>
            <w:vAlign w:val="center"/>
          </w:tcPr>
          <w:p w14:paraId="568F17C2" w14:textId="77777777" w:rsidR="00F87636" w:rsidRDefault="00F87636" w:rsidP="00F87636">
            <w:pPr>
              <w:keepNext/>
              <w:keepLines/>
              <w:jc w:val="center"/>
              <w:rPr>
                <w:rFonts w:ascii="Calibri" w:hAnsi="Calibri" w:cs="Calibri"/>
                <w:color w:val="000000"/>
                <w:szCs w:val="22"/>
              </w:rPr>
            </w:pPr>
            <w:r>
              <w:rPr>
                <w:rFonts w:ascii="Calibri" w:hAnsi="Calibri" w:cs="Calibri"/>
                <w:color w:val="000000"/>
                <w:szCs w:val="22"/>
              </w:rPr>
              <w:t>3.6%</w:t>
            </w:r>
          </w:p>
        </w:tc>
      </w:tr>
      <w:tr w:rsidR="00F87636" w14:paraId="792A3897" w14:textId="77777777" w:rsidTr="0078382D">
        <w:tc>
          <w:tcPr>
            <w:tcW w:w="5670" w:type="dxa"/>
            <w:tcBorders>
              <w:top w:val="single" w:sz="4" w:space="0" w:color="auto"/>
              <w:left w:val="single" w:sz="4" w:space="0" w:color="auto"/>
              <w:bottom w:val="single" w:sz="4" w:space="0" w:color="auto"/>
              <w:right w:val="single" w:sz="4" w:space="0" w:color="auto"/>
            </w:tcBorders>
            <w:vAlign w:val="bottom"/>
            <w:hideMark/>
          </w:tcPr>
          <w:p w14:paraId="785BE151" w14:textId="77777777" w:rsidR="00F87636" w:rsidRDefault="00F87636" w:rsidP="00F87636">
            <w:pPr>
              <w:tabs>
                <w:tab w:val="left" w:pos="204"/>
              </w:tabs>
              <w:ind w:firstLine="176"/>
              <w:rPr>
                <w:rFonts w:ascii="Calibri" w:hAnsi="Calibri" w:cs="Calibri"/>
                <w:color w:val="000000"/>
                <w:szCs w:val="22"/>
              </w:rPr>
            </w:pPr>
            <w:r>
              <w:rPr>
                <w:rFonts w:ascii="Calibri" w:hAnsi="Calibri" w:cs="Calibri"/>
                <w:color w:val="000000"/>
                <w:szCs w:val="22"/>
              </w:rPr>
              <w:t>Inadequate coordination of care/treatment</w:t>
            </w:r>
          </w:p>
        </w:tc>
        <w:tc>
          <w:tcPr>
            <w:tcW w:w="1701" w:type="dxa"/>
            <w:tcBorders>
              <w:top w:val="single" w:sz="4" w:space="0" w:color="auto"/>
              <w:left w:val="single" w:sz="4" w:space="0" w:color="auto"/>
              <w:bottom w:val="single" w:sz="4" w:space="0" w:color="auto"/>
              <w:right w:val="single" w:sz="4" w:space="0" w:color="auto"/>
            </w:tcBorders>
            <w:vAlign w:val="center"/>
          </w:tcPr>
          <w:p w14:paraId="77DFCA72" w14:textId="77777777" w:rsidR="00F87636" w:rsidRDefault="00F87636" w:rsidP="00F87636">
            <w:pPr>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14:paraId="5F667884" w14:textId="77777777" w:rsidR="00F87636" w:rsidRDefault="00F87636" w:rsidP="00F87636">
            <w:pPr>
              <w:jc w:val="center"/>
              <w:rPr>
                <w:rFonts w:ascii="Calibri" w:hAnsi="Calibri" w:cs="Calibri"/>
                <w:color w:val="000000"/>
                <w:szCs w:val="22"/>
              </w:rPr>
            </w:pPr>
            <w:r>
              <w:rPr>
                <w:rFonts w:ascii="Calibri" w:hAnsi="Calibri" w:cs="Calibri"/>
                <w:color w:val="000000"/>
                <w:szCs w:val="22"/>
              </w:rPr>
              <w:t>0.5%</w:t>
            </w:r>
          </w:p>
        </w:tc>
      </w:tr>
      <w:tr w:rsidR="00F87636" w14:paraId="226D884F" w14:textId="77777777" w:rsidTr="0078382D">
        <w:tc>
          <w:tcPr>
            <w:tcW w:w="5670" w:type="dxa"/>
            <w:tcBorders>
              <w:top w:val="single" w:sz="4" w:space="0" w:color="auto"/>
              <w:left w:val="single" w:sz="4" w:space="0" w:color="auto"/>
              <w:bottom w:val="single" w:sz="4" w:space="0" w:color="auto"/>
              <w:right w:val="single" w:sz="4" w:space="0" w:color="auto"/>
            </w:tcBorders>
            <w:hideMark/>
          </w:tcPr>
          <w:p w14:paraId="63C9F47C" w14:textId="77777777" w:rsidR="00F87636" w:rsidRDefault="00F87636" w:rsidP="00F87636">
            <w:pPr>
              <w:keepNext/>
              <w:keepLines/>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clinical treatment</w:t>
            </w:r>
          </w:p>
        </w:tc>
        <w:tc>
          <w:tcPr>
            <w:tcW w:w="1701" w:type="dxa"/>
            <w:tcBorders>
              <w:top w:val="single" w:sz="4" w:space="0" w:color="auto"/>
              <w:left w:val="single" w:sz="4" w:space="0" w:color="auto"/>
              <w:bottom w:val="single" w:sz="4" w:space="0" w:color="auto"/>
              <w:right w:val="single" w:sz="4" w:space="0" w:color="auto"/>
            </w:tcBorders>
            <w:vAlign w:val="center"/>
          </w:tcPr>
          <w:p w14:paraId="55B52E29" w14:textId="45C80381" w:rsidR="00F87636" w:rsidRDefault="0043728B" w:rsidP="00F87636">
            <w:pPr>
              <w:jc w:val="center"/>
              <w:rPr>
                <w:rFonts w:ascii="Calibri" w:hAnsi="Calibri" w:cs="Calibri"/>
                <w:color w:val="000000"/>
                <w:szCs w:val="22"/>
              </w:rPr>
            </w:pPr>
            <w:r>
              <w:rPr>
                <w:rFonts w:ascii="Calibri" w:hAnsi="Calibri" w:cs="Calibri"/>
                <w:color w:val="000000"/>
                <w:szCs w:val="22"/>
              </w:rPr>
              <w:t>18</w:t>
            </w:r>
          </w:p>
        </w:tc>
        <w:tc>
          <w:tcPr>
            <w:tcW w:w="1418" w:type="dxa"/>
            <w:tcBorders>
              <w:top w:val="single" w:sz="4" w:space="0" w:color="auto"/>
              <w:left w:val="single" w:sz="4" w:space="0" w:color="auto"/>
              <w:bottom w:val="single" w:sz="4" w:space="0" w:color="auto"/>
              <w:right w:val="single" w:sz="4" w:space="0" w:color="auto"/>
            </w:tcBorders>
            <w:vAlign w:val="center"/>
          </w:tcPr>
          <w:p w14:paraId="22B8B110" w14:textId="4372818E" w:rsidR="00F87636" w:rsidRDefault="00012CBB" w:rsidP="00F87636">
            <w:pPr>
              <w:jc w:val="center"/>
              <w:rPr>
                <w:rFonts w:ascii="Calibri" w:hAnsi="Calibri" w:cs="Calibri"/>
                <w:color w:val="000000"/>
                <w:szCs w:val="22"/>
              </w:rPr>
            </w:pPr>
            <w:r>
              <w:rPr>
                <w:rFonts w:ascii="Calibri" w:hAnsi="Calibri" w:cs="Calibri"/>
                <w:color w:val="000000"/>
                <w:szCs w:val="22"/>
              </w:rPr>
              <w:t>4.6</w:t>
            </w:r>
            <w:r w:rsidR="00F87636">
              <w:rPr>
                <w:rFonts w:ascii="Calibri" w:hAnsi="Calibri" w:cs="Calibri"/>
                <w:color w:val="000000"/>
                <w:szCs w:val="22"/>
              </w:rPr>
              <w:t>%</w:t>
            </w:r>
          </w:p>
        </w:tc>
      </w:tr>
      <w:tr w:rsidR="00F87636" w14:paraId="5F4A88C9" w14:textId="77777777" w:rsidTr="0078382D">
        <w:tc>
          <w:tcPr>
            <w:tcW w:w="5670" w:type="dxa"/>
            <w:tcBorders>
              <w:top w:val="single" w:sz="4" w:space="0" w:color="auto"/>
              <w:left w:val="single" w:sz="4" w:space="0" w:color="auto"/>
              <w:bottom w:val="single" w:sz="4" w:space="0" w:color="auto"/>
              <w:right w:val="single" w:sz="4" w:space="0" w:color="auto"/>
            </w:tcBorders>
            <w:hideMark/>
          </w:tcPr>
          <w:p w14:paraId="5F12FBD7" w14:textId="77777777" w:rsidR="00F87636" w:rsidRDefault="00F87636" w:rsidP="00F87636">
            <w:pPr>
              <w:keepNext/>
              <w:keepLines/>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examination/assessment</w:t>
            </w:r>
          </w:p>
        </w:tc>
        <w:tc>
          <w:tcPr>
            <w:tcW w:w="1701" w:type="dxa"/>
            <w:tcBorders>
              <w:top w:val="single" w:sz="4" w:space="0" w:color="auto"/>
              <w:left w:val="single" w:sz="4" w:space="0" w:color="auto"/>
              <w:bottom w:val="single" w:sz="4" w:space="0" w:color="auto"/>
              <w:right w:val="single" w:sz="4" w:space="0" w:color="auto"/>
            </w:tcBorders>
            <w:vAlign w:val="center"/>
          </w:tcPr>
          <w:p w14:paraId="76544955" w14:textId="77777777" w:rsidR="00F87636" w:rsidRDefault="00F87636" w:rsidP="00F87636">
            <w:pPr>
              <w:jc w:val="center"/>
              <w:rPr>
                <w:rFonts w:ascii="Calibri" w:hAnsi="Calibri" w:cs="Calibri"/>
                <w:color w:val="000000"/>
                <w:szCs w:val="22"/>
              </w:rPr>
            </w:pPr>
            <w:r>
              <w:rPr>
                <w:rFonts w:ascii="Calibri" w:hAnsi="Calibri" w:cs="Calibri"/>
                <w:color w:val="000000"/>
                <w:szCs w:val="22"/>
              </w:rPr>
              <w:t>15</w:t>
            </w:r>
          </w:p>
        </w:tc>
        <w:tc>
          <w:tcPr>
            <w:tcW w:w="1418" w:type="dxa"/>
            <w:tcBorders>
              <w:top w:val="single" w:sz="4" w:space="0" w:color="auto"/>
              <w:left w:val="single" w:sz="4" w:space="0" w:color="auto"/>
              <w:bottom w:val="single" w:sz="4" w:space="0" w:color="auto"/>
              <w:right w:val="single" w:sz="4" w:space="0" w:color="auto"/>
            </w:tcBorders>
            <w:vAlign w:val="center"/>
          </w:tcPr>
          <w:p w14:paraId="1A8E471B" w14:textId="77777777" w:rsidR="00F87636" w:rsidRDefault="00F87636" w:rsidP="00F87636">
            <w:pPr>
              <w:jc w:val="center"/>
              <w:rPr>
                <w:rFonts w:ascii="Calibri" w:hAnsi="Calibri" w:cs="Calibri"/>
                <w:color w:val="000000"/>
                <w:szCs w:val="22"/>
              </w:rPr>
            </w:pPr>
            <w:r>
              <w:rPr>
                <w:rFonts w:ascii="Calibri" w:hAnsi="Calibri" w:cs="Calibri"/>
                <w:color w:val="000000"/>
                <w:szCs w:val="22"/>
              </w:rPr>
              <w:t>3.8%</w:t>
            </w:r>
          </w:p>
        </w:tc>
      </w:tr>
      <w:tr w:rsidR="00F87636" w14:paraId="2AE1BFEB" w14:textId="77777777" w:rsidTr="0078382D">
        <w:tc>
          <w:tcPr>
            <w:tcW w:w="5670" w:type="dxa"/>
            <w:tcBorders>
              <w:top w:val="single" w:sz="4" w:space="0" w:color="auto"/>
              <w:left w:val="single" w:sz="4" w:space="0" w:color="auto"/>
              <w:bottom w:val="single" w:sz="4" w:space="0" w:color="auto"/>
              <w:right w:val="single" w:sz="4" w:space="0" w:color="auto"/>
            </w:tcBorders>
            <w:vAlign w:val="bottom"/>
            <w:hideMark/>
          </w:tcPr>
          <w:p w14:paraId="496E66C7" w14:textId="77777777" w:rsidR="00F87636" w:rsidRDefault="00F87636" w:rsidP="00F87636">
            <w:pPr>
              <w:tabs>
                <w:tab w:val="left" w:pos="176"/>
              </w:tabs>
              <w:ind w:left="176"/>
              <w:rPr>
                <w:rFonts w:ascii="Calibri" w:hAnsi="Calibri" w:cs="Calibri"/>
                <w:color w:val="000000"/>
                <w:szCs w:val="22"/>
              </w:rPr>
            </w:pPr>
            <w:r>
              <w:rPr>
                <w:rFonts w:ascii="Calibri" w:hAnsi="Calibri" w:cs="Calibri"/>
                <w:color w:val="000000"/>
                <w:szCs w:val="22"/>
              </w:rPr>
              <w:t>Inadequate/inappropriate follow-up</w:t>
            </w:r>
          </w:p>
        </w:tc>
        <w:tc>
          <w:tcPr>
            <w:tcW w:w="1701" w:type="dxa"/>
            <w:tcBorders>
              <w:top w:val="single" w:sz="4" w:space="0" w:color="auto"/>
              <w:left w:val="single" w:sz="4" w:space="0" w:color="auto"/>
              <w:bottom w:val="single" w:sz="4" w:space="0" w:color="auto"/>
              <w:right w:val="single" w:sz="4" w:space="0" w:color="auto"/>
            </w:tcBorders>
            <w:vAlign w:val="center"/>
          </w:tcPr>
          <w:p w14:paraId="2B69BF61" w14:textId="77777777" w:rsidR="00F87636" w:rsidRDefault="00F87636" w:rsidP="00F87636">
            <w:pPr>
              <w:jc w:val="center"/>
              <w:rPr>
                <w:rFonts w:ascii="Calibri" w:hAnsi="Calibri" w:cs="Calibri"/>
                <w:color w:val="000000"/>
                <w:szCs w:val="22"/>
              </w:rPr>
            </w:pPr>
            <w:r>
              <w:rPr>
                <w:rFonts w:ascii="Calibri" w:hAnsi="Calibri" w:cs="Calibri"/>
                <w:color w:val="000000"/>
                <w:szCs w:val="22"/>
              </w:rPr>
              <w:t>12</w:t>
            </w:r>
          </w:p>
        </w:tc>
        <w:tc>
          <w:tcPr>
            <w:tcW w:w="1418" w:type="dxa"/>
            <w:tcBorders>
              <w:top w:val="single" w:sz="4" w:space="0" w:color="auto"/>
              <w:left w:val="single" w:sz="4" w:space="0" w:color="auto"/>
              <w:bottom w:val="single" w:sz="4" w:space="0" w:color="auto"/>
              <w:right w:val="single" w:sz="4" w:space="0" w:color="auto"/>
            </w:tcBorders>
            <w:vAlign w:val="center"/>
          </w:tcPr>
          <w:p w14:paraId="12DFB2F9" w14:textId="0698AFDD" w:rsidR="00F87636" w:rsidRDefault="00012CBB" w:rsidP="00F87636">
            <w:pPr>
              <w:jc w:val="center"/>
              <w:rPr>
                <w:rFonts w:ascii="Calibri" w:hAnsi="Calibri" w:cs="Calibri"/>
                <w:color w:val="000000"/>
                <w:szCs w:val="22"/>
              </w:rPr>
            </w:pPr>
            <w:r>
              <w:rPr>
                <w:rFonts w:ascii="Calibri" w:hAnsi="Calibri" w:cs="Calibri"/>
                <w:color w:val="000000"/>
                <w:szCs w:val="22"/>
              </w:rPr>
              <w:t>3.1</w:t>
            </w:r>
            <w:r w:rsidR="00F87636">
              <w:rPr>
                <w:rFonts w:ascii="Calibri" w:hAnsi="Calibri" w:cs="Calibri"/>
                <w:color w:val="000000"/>
                <w:szCs w:val="22"/>
              </w:rPr>
              <w:t>%</w:t>
            </w:r>
          </w:p>
        </w:tc>
      </w:tr>
      <w:tr w:rsidR="00F87636" w14:paraId="43B86061" w14:textId="77777777" w:rsidTr="0078382D">
        <w:tc>
          <w:tcPr>
            <w:tcW w:w="5670" w:type="dxa"/>
            <w:tcBorders>
              <w:top w:val="single" w:sz="4" w:space="0" w:color="auto"/>
              <w:left w:val="single" w:sz="4" w:space="0" w:color="auto"/>
              <w:bottom w:val="single" w:sz="4" w:space="0" w:color="auto"/>
              <w:right w:val="single" w:sz="4" w:space="0" w:color="auto"/>
            </w:tcBorders>
            <w:vAlign w:val="bottom"/>
            <w:hideMark/>
          </w:tcPr>
          <w:p w14:paraId="318C5C76" w14:textId="77777777" w:rsidR="00F87636" w:rsidRDefault="00F87636" w:rsidP="00F87636">
            <w:pPr>
              <w:tabs>
                <w:tab w:val="left" w:pos="176"/>
              </w:tabs>
              <w:ind w:left="176"/>
              <w:rPr>
                <w:rFonts w:ascii="Calibri" w:hAnsi="Calibri" w:cs="Calibri"/>
                <w:color w:val="000000"/>
                <w:szCs w:val="22"/>
              </w:rPr>
            </w:pPr>
            <w:r>
              <w:rPr>
                <w:rFonts w:ascii="Calibri" w:hAnsi="Calibri" w:cs="Calibri"/>
                <w:color w:val="000000"/>
                <w:szCs w:val="22"/>
              </w:rPr>
              <w:t>Inadequate/inappropriate monitoring</w:t>
            </w:r>
          </w:p>
        </w:tc>
        <w:tc>
          <w:tcPr>
            <w:tcW w:w="1701" w:type="dxa"/>
            <w:tcBorders>
              <w:top w:val="single" w:sz="4" w:space="0" w:color="auto"/>
              <w:left w:val="single" w:sz="4" w:space="0" w:color="auto"/>
              <w:bottom w:val="single" w:sz="4" w:space="0" w:color="auto"/>
              <w:right w:val="single" w:sz="4" w:space="0" w:color="auto"/>
            </w:tcBorders>
            <w:vAlign w:val="center"/>
          </w:tcPr>
          <w:p w14:paraId="70C3D648" w14:textId="0F0F032A" w:rsidR="00F87636" w:rsidRDefault="000B5E05" w:rsidP="00F87636">
            <w:pPr>
              <w:jc w:val="center"/>
              <w:rPr>
                <w:rFonts w:ascii="Calibri" w:hAnsi="Calibri" w:cs="Calibri"/>
                <w:color w:val="000000"/>
                <w:szCs w:val="22"/>
              </w:rPr>
            </w:pPr>
            <w:r>
              <w:rPr>
                <w:rFonts w:ascii="Calibri" w:hAnsi="Calibri" w:cs="Calibri"/>
                <w:color w:val="000000"/>
                <w:szCs w:val="22"/>
              </w:rPr>
              <w:t>8</w:t>
            </w:r>
          </w:p>
        </w:tc>
        <w:tc>
          <w:tcPr>
            <w:tcW w:w="1418" w:type="dxa"/>
            <w:tcBorders>
              <w:top w:val="single" w:sz="4" w:space="0" w:color="auto"/>
              <w:left w:val="single" w:sz="4" w:space="0" w:color="auto"/>
              <w:bottom w:val="single" w:sz="4" w:space="0" w:color="auto"/>
              <w:right w:val="single" w:sz="4" w:space="0" w:color="auto"/>
            </w:tcBorders>
            <w:vAlign w:val="center"/>
          </w:tcPr>
          <w:p w14:paraId="240089EF" w14:textId="099520CF" w:rsidR="00F87636" w:rsidRDefault="00C900D0" w:rsidP="00F87636">
            <w:pPr>
              <w:jc w:val="center"/>
              <w:rPr>
                <w:rFonts w:ascii="Calibri" w:hAnsi="Calibri" w:cs="Calibri"/>
                <w:color w:val="000000"/>
                <w:szCs w:val="22"/>
              </w:rPr>
            </w:pPr>
            <w:r>
              <w:rPr>
                <w:rFonts w:ascii="Calibri" w:hAnsi="Calibri" w:cs="Calibri"/>
                <w:color w:val="000000"/>
                <w:szCs w:val="22"/>
              </w:rPr>
              <w:t>2.0</w:t>
            </w:r>
            <w:r w:rsidR="00F87636">
              <w:rPr>
                <w:rFonts w:ascii="Calibri" w:hAnsi="Calibri" w:cs="Calibri"/>
                <w:color w:val="000000"/>
                <w:szCs w:val="22"/>
              </w:rPr>
              <w:t>%</w:t>
            </w:r>
          </w:p>
        </w:tc>
      </w:tr>
      <w:tr w:rsidR="00F87636" w14:paraId="10E93F37" w14:textId="77777777" w:rsidTr="0078382D">
        <w:tc>
          <w:tcPr>
            <w:tcW w:w="5670" w:type="dxa"/>
            <w:tcBorders>
              <w:top w:val="single" w:sz="4" w:space="0" w:color="auto"/>
              <w:left w:val="single" w:sz="4" w:space="0" w:color="auto"/>
              <w:bottom w:val="single" w:sz="4" w:space="0" w:color="auto"/>
              <w:right w:val="single" w:sz="4" w:space="0" w:color="auto"/>
            </w:tcBorders>
            <w:vAlign w:val="bottom"/>
            <w:hideMark/>
          </w:tcPr>
          <w:p w14:paraId="135638D1" w14:textId="77777777" w:rsidR="00F87636" w:rsidRDefault="00F87636" w:rsidP="00F87636">
            <w:pPr>
              <w:tabs>
                <w:tab w:val="left" w:pos="176"/>
              </w:tabs>
              <w:ind w:left="176"/>
              <w:rPr>
                <w:rFonts w:ascii="Calibri" w:hAnsi="Calibri" w:cs="Calibri"/>
                <w:color w:val="000000"/>
                <w:szCs w:val="22"/>
              </w:rPr>
            </w:pPr>
            <w:r>
              <w:rPr>
                <w:rFonts w:ascii="Calibri" w:hAnsi="Calibri" w:cs="Calibri"/>
                <w:color w:val="000000"/>
                <w:szCs w:val="22"/>
              </w:rPr>
              <w:t>Inadequate/inappropriate non-clinical care</w:t>
            </w:r>
          </w:p>
        </w:tc>
        <w:tc>
          <w:tcPr>
            <w:tcW w:w="1701" w:type="dxa"/>
            <w:tcBorders>
              <w:top w:val="single" w:sz="4" w:space="0" w:color="auto"/>
              <w:left w:val="single" w:sz="4" w:space="0" w:color="auto"/>
              <w:bottom w:val="single" w:sz="4" w:space="0" w:color="auto"/>
              <w:right w:val="single" w:sz="4" w:space="0" w:color="auto"/>
            </w:tcBorders>
            <w:vAlign w:val="center"/>
          </w:tcPr>
          <w:p w14:paraId="6DCE59A7" w14:textId="77777777" w:rsidR="00F87636" w:rsidRDefault="00F87636" w:rsidP="00F87636">
            <w:pPr>
              <w:jc w:val="center"/>
              <w:rPr>
                <w:rFonts w:ascii="Calibri" w:hAnsi="Calibri" w:cs="Calibri"/>
                <w:color w:val="000000"/>
                <w:szCs w:val="22"/>
              </w:rPr>
            </w:pPr>
            <w:r>
              <w:rPr>
                <w:rFonts w:ascii="Calibri" w:hAnsi="Calibri" w:cs="Calibri"/>
                <w:color w:val="000000"/>
                <w:szCs w:val="22"/>
              </w:rPr>
              <w:t>6</w:t>
            </w:r>
          </w:p>
        </w:tc>
        <w:tc>
          <w:tcPr>
            <w:tcW w:w="1418" w:type="dxa"/>
            <w:tcBorders>
              <w:top w:val="single" w:sz="4" w:space="0" w:color="auto"/>
              <w:left w:val="single" w:sz="4" w:space="0" w:color="auto"/>
              <w:bottom w:val="single" w:sz="4" w:space="0" w:color="auto"/>
              <w:right w:val="single" w:sz="4" w:space="0" w:color="auto"/>
            </w:tcBorders>
            <w:vAlign w:val="center"/>
          </w:tcPr>
          <w:p w14:paraId="2052508F" w14:textId="77777777" w:rsidR="00F87636" w:rsidRDefault="00F87636" w:rsidP="00F87636">
            <w:pPr>
              <w:jc w:val="center"/>
              <w:rPr>
                <w:rFonts w:ascii="Calibri" w:hAnsi="Calibri" w:cs="Calibri"/>
                <w:color w:val="000000"/>
                <w:szCs w:val="22"/>
              </w:rPr>
            </w:pPr>
            <w:r>
              <w:rPr>
                <w:rFonts w:ascii="Calibri" w:hAnsi="Calibri" w:cs="Calibri"/>
                <w:color w:val="000000"/>
                <w:szCs w:val="22"/>
              </w:rPr>
              <w:t>1.5%</w:t>
            </w:r>
          </w:p>
        </w:tc>
      </w:tr>
      <w:tr w:rsidR="00F87636" w14:paraId="21534F95" w14:textId="77777777" w:rsidTr="0078382D">
        <w:tc>
          <w:tcPr>
            <w:tcW w:w="5670" w:type="dxa"/>
            <w:tcBorders>
              <w:top w:val="single" w:sz="4" w:space="0" w:color="auto"/>
              <w:left w:val="single" w:sz="4" w:space="0" w:color="auto"/>
              <w:bottom w:val="single" w:sz="4" w:space="0" w:color="auto"/>
              <w:right w:val="single" w:sz="4" w:space="0" w:color="auto"/>
            </w:tcBorders>
            <w:vAlign w:val="bottom"/>
          </w:tcPr>
          <w:p w14:paraId="5F2ADC79" w14:textId="77777777" w:rsidR="00F87636" w:rsidRDefault="00F87636" w:rsidP="00F87636">
            <w:pPr>
              <w:tabs>
                <w:tab w:val="left" w:pos="176"/>
              </w:tabs>
              <w:ind w:left="176"/>
              <w:rPr>
                <w:rFonts w:ascii="Calibri" w:hAnsi="Calibri" w:cs="Calibri"/>
                <w:color w:val="000000"/>
                <w:szCs w:val="22"/>
              </w:rPr>
            </w:pPr>
            <w:r>
              <w:rPr>
                <w:rFonts w:ascii="Calibri" w:hAnsi="Calibri" w:cs="Calibri"/>
                <w:color w:val="000000"/>
                <w:szCs w:val="22"/>
              </w:rPr>
              <w:t>Inadequate/inappropriate testing</w:t>
            </w:r>
          </w:p>
        </w:tc>
        <w:tc>
          <w:tcPr>
            <w:tcW w:w="1701" w:type="dxa"/>
            <w:tcBorders>
              <w:top w:val="single" w:sz="4" w:space="0" w:color="auto"/>
              <w:left w:val="single" w:sz="4" w:space="0" w:color="auto"/>
              <w:bottom w:val="single" w:sz="4" w:space="0" w:color="auto"/>
              <w:right w:val="single" w:sz="4" w:space="0" w:color="auto"/>
            </w:tcBorders>
            <w:vAlign w:val="center"/>
          </w:tcPr>
          <w:p w14:paraId="0A58F057" w14:textId="77777777" w:rsidR="00F87636" w:rsidRDefault="00F87636" w:rsidP="00F87636">
            <w:pPr>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14:paraId="1109000B" w14:textId="77777777" w:rsidR="00F87636" w:rsidRDefault="00F87636" w:rsidP="00F87636">
            <w:pPr>
              <w:jc w:val="center"/>
              <w:rPr>
                <w:rFonts w:ascii="Calibri" w:hAnsi="Calibri" w:cs="Calibri"/>
                <w:color w:val="000000"/>
                <w:szCs w:val="22"/>
              </w:rPr>
            </w:pPr>
            <w:r>
              <w:rPr>
                <w:rFonts w:ascii="Calibri" w:hAnsi="Calibri" w:cs="Calibri"/>
                <w:color w:val="000000"/>
                <w:szCs w:val="22"/>
              </w:rPr>
              <w:t>0.3%</w:t>
            </w:r>
          </w:p>
        </w:tc>
      </w:tr>
      <w:tr w:rsidR="00F87636" w14:paraId="3710FCC7" w14:textId="77777777" w:rsidTr="0078382D">
        <w:tc>
          <w:tcPr>
            <w:tcW w:w="5670" w:type="dxa"/>
            <w:tcBorders>
              <w:top w:val="single" w:sz="4" w:space="0" w:color="auto"/>
              <w:left w:val="single" w:sz="4" w:space="0" w:color="auto"/>
              <w:bottom w:val="single" w:sz="4" w:space="0" w:color="auto"/>
              <w:right w:val="single" w:sz="4" w:space="0" w:color="auto"/>
            </w:tcBorders>
          </w:tcPr>
          <w:p w14:paraId="1420D9B4" w14:textId="77777777" w:rsidR="00F87636" w:rsidRDefault="00F87636" w:rsidP="00F8763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Inappropriate admission/failure to admit</w:t>
            </w:r>
          </w:p>
        </w:tc>
        <w:tc>
          <w:tcPr>
            <w:tcW w:w="1701" w:type="dxa"/>
            <w:tcBorders>
              <w:top w:val="single" w:sz="4" w:space="0" w:color="auto"/>
              <w:left w:val="single" w:sz="4" w:space="0" w:color="auto"/>
              <w:bottom w:val="single" w:sz="4" w:space="0" w:color="auto"/>
              <w:right w:val="single" w:sz="4" w:space="0" w:color="auto"/>
            </w:tcBorders>
            <w:vAlign w:val="center"/>
          </w:tcPr>
          <w:p w14:paraId="4B4C884F" w14:textId="77777777" w:rsidR="00F87636" w:rsidRDefault="00F87636" w:rsidP="00F87636">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14:paraId="52162833" w14:textId="77777777" w:rsidR="00F87636" w:rsidRDefault="00F87636" w:rsidP="00F87636">
            <w:pPr>
              <w:widowControl w:val="0"/>
              <w:jc w:val="center"/>
              <w:rPr>
                <w:rFonts w:ascii="Calibri" w:hAnsi="Calibri" w:cs="Calibri"/>
                <w:color w:val="000000"/>
                <w:szCs w:val="22"/>
              </w:rPr>
            </w:pPr>
            <w:r>
              <w:rPr>
                <w:rFonts w:ascii="Calibri" w:hAnsi="Calibri" w:cs="Calibri"/>
                <w:color w:val="000000"/>
                <w:szCs w:val="22"/>
              </w:rPr>
              <w:t>0.5%</w:t>
            </w:r>
          </w:p>
        </w:tc>
      </w:tr>
      <w:tr w:rsidR="00F87636" w14:paraId="691EA435" w14:textId="77777777" w:rsidTr="0078382D">
        <w:tc>
          <w:tcPr>
            <w:tcW w:w="5670" w:type="dxa"/>
            <w:tcBorders>
              <w:top w:val="single" w:sz="4" w:space="0" w:color="auto"/>
              <w:left w:val="single" w:sz="4" w:space="0" w:color="auto"/>
              <w:bottom w:val="single" w:sz="4" w:space="0" w:color="auto"/>
              <w:right w:val="single" w:sz="4" w:space="0" w:color="auto"/>
            </w:tcBorders>
            <w:hideMark/>
          </w:tcPr>
          <w:p w14:paraId="21BE2660" w14:textId="77777777" w:rsidR="00F87636" w:rsidRDefault="00F87636" w:rsidP="00F8763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Inappropriate/delayed discharge/transfer</w:t>
            </w:r>
          </w:p>
        </w:tc>
        <w:tc>
          <w:tcPr>
            <w:tcW w:w="1701" w:type="dxa"/>
            <w:tcBorders>
              <w:top w:val="single" w:sz="4" w:space="0" w:color="auto"/>
              <w:left w:val="single" w:sz="4" w:space="0" w:color="auto"/>
              <w:bottom w:val="single" w:sz="4" w:space="0" w:color="auto"/>
              <w:right w:val="single" w:sz="4" w:space="0" w:color="auto"/>
            </w:tcBorders>
            <w:vAlign w:val="center"/>
          </w:tcPr>
          <w:p w14:paraId="16D300AD" w14:textId="77777777" w:rsidR="00F87636" w:rsidRDefault="00F87636" w:rsidP="00F87636">
            <w:pPr>
              <w:widowControl w:val="0"/>
              <w:jc w:val="center"/>
              <w:rPr>
                <w:rFonts w:ascii="Calibri" w:hAnsi="Calibri" w:cs="Calibri"/>
                <w:color w:val="000000"/>
                <w:szCs w:val="22"/>
              </w:rPr>
            </w:pPr>
            <w:r>
              <w:rPr>
                <w:rFonts w:ascii="Calibri" w:hAnsi="Calibri" w:cs="Calibri"/>
                <w:color w:val="000000"/>
                <w:szCs w:val="22"/>
              </w:rPr>
              <w:t>14</w:t>
            </w:r>
          </w:p>
        </w:tc>
        <w:tc>
          <w:tcPr>
            <w:tcW w:w="1418" w:type="dxa"/>
            <w:tcBorders>
              <w:top w:val="single" w:sz="4" w:space="0" w:color="auto"/>
              <w:left w:val="single" w:sz="4" w:space="0" w:color="auto"/>
              <w:bottom w:val="single" w:sz="4" w:space="0" w:color="auto"/>
              <w:right w:val="single" w:sz="4" w:space="0" w:color="auto"/>
            </w:tcBorders>
            <w:vAlign w:val="center"/>
          </w:tcPr>
          <w:p w14:paraId="37CDB17C" w14:textId="77777777" w:rsidR="00F87636" w:rsidRDefault="00F87636" w:rsidP="00F87636">
            <w:pPr>
              <w:widowControl w:val="0"/>
              <w:jc w:val="center"/>
              <w:rPr>
                <w:rFonts w:ascii="Calibri" w:hAnsi="Calibri" w:cs="Calibri"/>
                <w:color w:val="000000"/>
                <w:szCs w:val="22"/>
              </w:rPr>
            </w:pPr>
            <w:r>
              <w:rPr>
                <w:rFonts w:ascii="Calibri" w:hAnsi="Calibri" w:cs="Calibri"/>
                <w:color w:val="000000"/>
                <w:szCs w:val="22"/>
              </w:rPr>
              <w:t>3.6%</w:t>
            </w:r>
          </w:p>
        </w:tc>
      </w:tr>
      <w:tr w:rsidR="00F87636" w14:paraId="575A2F6B" w14:textId="77777777" w:rsidTr="0078382D">
        <w:tc>
          <w:tcPr>
            <w:tcW w:w="5670" w:type="dxa"/>
            <w:tcBorders>
              <w:top w:val="single" w:sz="4" w:space="0" w:color="auto"/>
              <w:left w:val="single" w:sz="4" w:space="0" w:color="auto"/>
              <w:bottom w:val="single" w:sz="4" w:space="0" w:color="auto"/>
              <w:right w:val="single" w:sz="4" w:space="0" w:color="auto"/>
            </w:tcBorders>
            <w:vAlign w:val="bottom"/>
            <w:hideMark/>
          </w:tcPr>
          <w:p w14:paraId="578E6E01" w14:textId="77777777" w:rsidR="00F87636" w:rsidRDefault="00F87636" w:rsidP="00F87636">
            <w:pPr>
              <w:tabs>
                <w:tab w:val="left" w:pos="176"/>
              </w:tabs>
              <w:ind w:left="176"/>
              <w:rPr>
                <w:rFonts w:ascii="Calibri" w:hAnsi="Calibri" w:cs="Calibri"/>
                <w:color w:val="000000"/>
                <w:szCs w:val="22"/>
              </w:rPr>
            </w:pPr>
            <w:r>
              <w:rPr>
                <w:rFonts w:ascii="Calibri" w:hAnsi="Calibri" w:cs="Calibri"/>
                <w:color w:val="000000"/>
                <w:szCs w:val="22"/>
              </w:rPr>
              <w:t>Inappropriate withdrawal of treatment</w:t>
            </w:r>
          </w:p>
        </w:tc>
        <w:tc>
          <w:tcPr>
            <w:tcW w:w="1701" w:type="dxa"/>
            <w:tcBorders>
              <w:top w:val="single" w:sz="4" w:space="0" w:color="auto"/>
              <w:left w:val="single" w:sz="4" w:space="0" w:color="auto"/>
              <w:bottom w:val="single" w:sz="4" w:space="0" w:color="auto"/>
              <w:right w:val="single" w:sz="4" w:space="0" w:color="auto"/>
            </w:tcBorders>
            <w:vAlign w:val="center"/>
          </w:tcPr>
          <w:p w14:paraId="0E1EF3A8" w14:textId="77777777" w:rsidR="00F87636" w:rsidRDefault="00F87636" w:rsidP="00F87636">
            <w:pPr>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14:paraId="54763EF5" w14:textId="77777777" w:rsidR="00F87636" w:rsidRDefault="00F87636" w:rsidP="00F87636">
            <w:pPr>
              <w:jc w:val="center"/>
              <w:rPr>
                <w:rFonts w:ascii="Calibri" w:hAnsi="Calibri" w:cs="Calibri"/>
                <w:color w:val="000000"/>
                <w:szCs w:val="22"/>
              </w:rPr>
            </w:pPr>
            <w:r>
              <w:rPr>
                <w:rFonts w:ascii="Calibri" w:hAnsi="Calibri" w:cs="Calibri"/>
                <w:color w:val="000000"/>
                <w:szCs w:val="22"/>
              </w:rPr>
              <w:t>0.3%</w:t>
            </w:r>
          </w:p>
        </w:tc>
      </w:tr>
      <w:tr w:rsidR="00F87636" w14:paraId="3525CE13" w14:textId="77777777" w:rsidTr="0078382D">
        <w:tc>
          <w:tcPr>
            <w:tcW w:w="5670" w:type="dxa"/>
            <w:tcBorders>
              <w:top w:val="single" w:sz="4" w:space="0" w:color="auto"/>
              <w:left w:val="single" w:sz="4" w:space="0" w:color="auto"/>
              <w:bottom w:val="single" w:sz="4" w:space="0" w:color="auto"/>
              <w:right w:val="single" w:sz="4" w:space="0" w:color="auto"/>
            </w:tcBorders>
            <w:hideMark/>
          </w:tcPr>
          <w:p w14:paraId="39DA03B9" w14:textId="77777777" w:rsidR="00F87636" w:rsidRDefault="00F87636" w:rsidP="00F8763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Missed/incorrect/delayed diagnosis</w:t>
            </w:r>
          </w:p>
        </w:tc>
        <w:tc>
          <w:tcPr>
            <w:tcW w:w="1701" w:type="dxa"/>
            <w:tcBorders>
              <w:top w:val="single" w:sz="4" w:space="0" w:color="auto"/>
              <w:left w:val="single" w:sz="4" w:space="0" w:color="auto"/>
              <w:bottom w:val="single" w:sz="4" w:space="0" w:color="auto"/>
              <w:right w:val="single" w:sz="4" w:space="0" w:color="auto"/>
            </w:tcBorders>
            <w:vAlign w:val="center"/>
          </w:tcPr>
          <w:p w14:paraId="7BCDA09A" w14:textId="77777777" w:rsidR="00F87636" w:rsidRDefault="00F87636" w:rsidP="00F87636">
            <w:pPr>
              <w:widowControl w:val="0"/>
              <w:jc w:val="center"/>
              <w:rPr>
                <w:rFonts w:ascii="Calibri" w:hAnsi="Calibri" w:cs="Calibri"/>
                <w:color w:val="000000"/>
                <w:szCs w:val="22"/>
              </w:rPr>
            </w:pPr>
            <w:r>
              <w:rPr>
                <w:rFonts w:ascii="Calibri" w:hAnsi="Calibri" w:cs="Calibri"/>
                <w:color w:val="000000"/>
                <w:szCs w:val="22"/>
              </w:rPr>
              <w:t>40</w:t>
            </w:r>
          </w:p>
        </w:tc>
        <w:tc>
          <w:tcPr>
            <w:tcW w:w="1418" w:type="dxa"/>
            <w:tcBorders>
              <w:top w:val="single" w:sz="4" w:space="0" w:color="auto"/>
              <w:left w:val="single" w:sz="4" w:space="0" w:color="auto"/>
              <w:bottom w:val="single" w:sz="4" w:space="0" w:color="auto"/>
              <w:right w:val="single" w:sz="4" w:space="0" w:color="auto"/>
            </w:tcBorders>
            <w:vAlign w:val="center"/>
          </w:tcPr>
          <w:p w14:paraId="1A973054" w14:textId="77777777" w:rsidR="00F87636" w:rsidRDefault="00F87636" w:rsidP="00F87636">
            <w:pPr>
              <w:widowControl w:val="0"/>
              <w:jc w:val="center"/>
              <w:rPr>
                <w:rFonts w:ascii="Calibri" w:hAnsi="Calibri" w:cs="Calibri"/>
                <w:color w:val="000000"/>
                <w:szCs w:val="22"/>
              </w:rPr>
            </w:pPr>
            <w:r>
              <w:rPr>
                <w:rFonts w:ascii="Calibri" w:hAnsi="Calibri" w:cs="Calibri"/>
                <w:color w:val="000000"/>
                <w:szCs w:val="22"/>
              </w:rPr>
              <w:t>10.2%</w:t>
            </w:r>
          </w:p>
        </w:tc>
      </w:tr>
      <w:tr w:rsidR="00F87636" w14:paraId="3117CFF5" w14:textId="77777777" w:rsidTr="0078382D">
        <w:tc>
          <w:tcPr>
            <w:tcW w:w="5670" w:type="dxa"/>
            <w:tcBorders>
              <w:top w:val="single" w:sz="4" w:space="0" w:color="auto"/>
              <w:left w:val="single" w:sz="4" w:space="0" w:color="auto"/>
              <w:bottom w:val="single" w:sz="4" w:space="0" w:color="auto"/>
              <w:right w:val="single" w:sz="4" w:space="0" w:color="auto"/>
            </w:tcBorders>
            <w:hideMark/>
          </w:tcPr>
          <w:p w14:paraId="065F744A" w14:textId="77777777" w:rsidR="00F87636" w:rsidRDefault="00F87636" w:rsidP="00F87636">
            <w:pPr>
              <w:widowControl w:val="0"/>
              <w:tabs>
                <w:tab w:val="left" w:pos="176"/>
                <w:tab w:val="left" w:pos="1440"/>
                <w:tab w:val="center" w:pos="2815"/>
              </w:tabs>
              <w:ind w:left="176"/>
              <w:jc w:val="left"/>
              <w:outlineLvl w:val="0"/>
              <w:rPr>
                <w:rFonts w:ascii="Calibri" w:hAnsi="Calibri"/>
                <w:szCs w:val="22"/>
              </w:rPr>
            </w:pPr>
            <w:r>
              <w:rPr>
                <w:rFonts w:ascii="Calibri" w:hAnsi="Calibri"/>
                <w:szCs w:val="22"/>
              </w:rPr>
              <w:t>Refusal to treat</w:t>
            </w:r>
            <w:r>
              <w:rPr>
                <w:rFonts w:ascii="Calibri" w:hAnsi="Calibri"/>
                <w:szCs w:val="22"/>
              </w:rPr>
              <w:tab/>
            </w:r>
          </w:p>
        </w:tc>
        <w:tc>
          <w:tcPr>
            <w:tcW w:w="1701" w:type="dxa"/>
            <w:tcBorders>
              <w:top w:val="single" w:sz="4" w:space="0" w:color="auto"/>
              <w:left w:val="single" w:sz="4" w:space="0" w:color="auto"/>
              <w:bottom w:val="single" w:sz="4" w:space="0" w:color="auto"/>
              <w:right w:val="single" w:sz="4" w:space="0" w:color="auto"/>
            </w:tcBorders>
            <w:vAlign w:val="center"/>
          </w:tcPr>
          <w:p w14:paraId="16FCF601" w14:textId="77777777" w:rsidR="00F87636" w:rsidRDefault="00F87636" w:rsidP="00F87636">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14:paraId="017643E8" w14:textId="77777777" w:rsidR="00F87636" w:rsidRDefault="00F87636" w:rsidP="00F87636">
            <w:pPr>
              <w:widowControl w:val="0"/>
              <w:jc w:val="center"/>
              <w:rPr>
                <w:rFonts w:ascii="Calibri" w:hAnsi="Calibri" w:cs="Calibri"/>
                <w:color w:val="000000"/>
                <w:szCs w:val="22"/>
              </w:rPr>
            </w:pPr>
            <w:r>
              <w:rPr>
                <w:rFonts w:ascii="Calibri" w:hAnsi="Calibri" w:cs="Calibri"/>
                <w:color w:val="000000"/>
                <w:szCs w:val="22"/>
              </w:rPr>
              <w:t>0.8%</w:t>
            </w:r>
          </w:p>
        </w:tc>
      </w:tr>
      <w:tr w:rsidR="00F87636" w14:paraId="3B7E6D02" w14:textId="77777777" w:rsidTr="0078382D">
        <w:tc>
          <w:tcPr>
            <w:tcW w:w="5670" w:type="dxa"/>
            <w:tcBorders>
              <w:top w:val="single" w:sz="4" w:space="0" w:color="auto"/>
              <w:left w:val="single" w:sz="4" w:space="0" w:color="auto"/>
              <w:bottom w:val="single" w:sz="4" w:space="0" w:color="auto"/>
              <w:right w:val="single" w:sz="4" w:space="0" w:color="auto"/>
            </w:tcBorders>
            <w:hideMark/>
          </w:tcPr>
          <w:p w14:paraId="7991B814" w14:textId="77777777" w:rsidR="00F87636" w:rsidRDefault="00F87636" w:rsidP="00F8763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Rough/painful care or treatment</w:t>
            </w:r>
          </w:p>
        </w:tc>
        <w:tc>
          <w:tcPr>
            <w:tcW w:w="1701" w:type="dxa"/>
            <w:tcBorders>
              <w:top w:val="single" w:sz="4" w:space="0" w:color="auto"/>
              <w:left w:val="single" w:sz="4" w:space="0" w:color="auto"/>
              <w:bottom w:val="single" w:sz="4" w:space="0" w:color="auto"/>
              <w:right w:val="single" w:sz="4" w:space="0" w:color="auto"/>
            </w:tcBorders>
            <w:vAlign w:val="center"/>
          </w:tcPr>
          <w:p w14:paraId="664FC6F2" w14:textId="77777777" w:rsidR="00F87636" w:rsidRDefault="00F87636" w:rsidP="00F87636">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14:paraId="1D9014E6" w14:textId="77777777" w:rsidR="00F87636" w:rsidRDefault="00F87636" w:rsidP="00F87636">
            <w:pPr>
              <w:widowControl w:val="0"/>
              <w:jc w:val="center"/>
              <w:rPr>
                <w:rFonts w:ascii="Calibri" w:hAnsi="Calibri" w:cs="Calibri"/>
                <w:color w:val="000000"/>
                <w:szCs w:val="22"/>
              </w:rPr>
            </w:pPr>
            <w:r>
              <w:rPr>
                <w:rFonts w:ascii="Calibri" w:hAnsi="Calibri" w:cs="Calibri"/>
                <w:color w:val="000000"/>
                <w:szCs w:val="22"/>
              </w:rPr>
              <w:t>0.3%</w:t>
            </w:r>
          </w:p>
        </w:tc>
      </w:tr>
      <w:tr w:rsidR="00F87636" w14:paraId="03483503" w14:textId="77777777" w:rsidTr="0078382D">
        <w:tc>
          <w:tcPr>
            <w:tcW w:w="5670" w:type="dxa"/>
            <w:tcBorders>
              <w:top w:val="single" w:sz="4" w:space="0" w:color="auto"/>
              <w:left w:val="single" w:sz="4" w:space="0" w:color="auto"/>
              <w:bottom w:val="single" w:sz="4" w:space="0" w:color="auto"/>
              <w:right w:val="single" w:sz="4" w:space="0" w:color="auto"/>
            </w:tcBorders>
            <w:hideMark/>
          </w:tcPr>
          <w:p w14:paraId="7C28BB11" w14:textId="77777777" w:rsidR="00F87636" w:rsidRDefault="00F87636" w:rsidP="00F8763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Unexpected treatment outcome</w:t>
            </w:r>
          </w:p>
        </w:tc>
        <w:tc>
          <w:tcPr>
            <w:tcW w:w="1701" w:type="dxa"/>
            <w:tcBorders>
              <w:top w:val="single" w:sz="4" w:space="0" w:color="auto"/>
              <w:left w:val="single" w:sz="4" w:space="0" w:color="auto"/>
              <w:bottom w:val="single" w:sz="4" w:space="0" w:color="auto"/>
              <w:right w:val="single" w:sz="4" w:space="0" w:color="auto"/>
            </w:tcBorders>
            <w:vAlign w:val="center"/>
          </w:tcPr>
          <w:p w14:paraId="419D771B" w14:textId="77777777" w:rsidR="00F87636" w:rsidRDefault="00F87636" w:rsidP="00F87636">
            <w:pPr>
              <w:widowControl w:val="0"/>
              <w:jc w:val="center"/>
              <w:rPr>
                <w:rFonts w:ascii="Calibri" w:hAnsi="Calibri" w:cs="Calibri"/>
                <w:color w:val="000000"/>
                <w:szCs w:val="22"/>
              </w:rPr>
            </w:pPr>
            <w:r>
              <w:rPr>
                <w:rFonts w:ascii="Calibri" w:hAnsi="Calibri" w:cs="Calibri"/>
                <w:color w:val="000000"/>
                <w:szCs w:val="22"/>
              </w:rPr>
              <w:t>31</w:t>
            </w:r>
          </w:p>
        </w:tc>
        <w:tc>
          <w:tcPr>
            <w:tcW w:w="1418" w:type="dxa"/>
            <w:tcBorders>
              <w:top w:val="single" w:sz="4" w:space="0" w:color="auto"/>
              <w:left w:val="single" w:sz="4" w:space="0" w:color="auto"/>
              <w:bottom w:val="single" w:sz="4" w:space="0" w:color="auto"/>
              <w:right w:val="single" w:sz="4" w:space="0" w:color="auto"/>
            </w:tcBorders>
            <w:vAlign w:val="center"/>
          </w:tcPr>
          <w:p w14:paraId="50EF316E" w14:textId="77777777" w:rsidR="00F87636" w:rsidRDefault="00F87636" w:rsidP="00F87636">
            <w:pPr>
              <w:widowControl w:val="0"/>
              <w:jc w:val="center"/>
              <w:rPr>
                <w:rFonts w:ascii="Calibri" w:hAnsi="Calibri" w:cs="Calibri"/>
                <w:color w:val="000000"/>
                <w:szCs w:val="22"/>
              </w:rPr>
            </w:pPr>
            <w:r>
              <w:rPr>
                <w:rFonts w:ascii="Calibri" w:hAnsi="Calibri" w:cs="Calibri"/>
                <w:color w:val="000000"/>
                <w:szCs w:val="22"/>
              </w:rPr>
              <w:t>7.9%</w:t>
            </w:r>
          </w:p>
        </w:tc>
      </w:tr>
      <w:tr w:rsidR="00F87636" w14:paraId="1A77BE04" w14:textId="77777777" w:rsidTr="0078382D">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2664B9" w14:textId="77777777" w:rsidR="00F87636" w:rsidRDefault="00F87636" w:rsidP="00F87636">
            <w:pPr>
              <w:widowControl w:val="0"/>
              <w:tabs>
                <w:tab w:val="left" w:pos="176"/>
                <w:tab w:val="left" w:pos="1440"/>
                <w:tab w:val="decimal" w:pos="4320"/>
              </w:tabs>
              <w:ind w:left="176" w:hanging="176"/>
              <w:jc w:val="left"/>
              <w:outlineLvl w:val="0"/>
              <w:rPr>
                <w:rFonts w:ascii="Calibri" w:hAnsi="Calibri"/>
                <w:b/>
                <w:i/>
                <w:szCs w:val="22"/>
              </w:rPr>
            </w:pPr>
            <w:r>
              <w:rPr>
                <w:rFonts w:ascii="Calibri" w:hAnsi="Calibri"/>
                <w:b/>
                <w:i/>
                <w:szCs w:val="22"/>
              </w:rPr>
              <w:t>Communication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F2BC44" w14:textId="77777777" w:rsidR="00F87636" w:rsidRDefault="00F87636" w:rsidP="00F87636">
            <w:pPr>
              <w:widowControl w:val="0"/>
              <w:jc w:val="center"/>
              <w:rPr>
                <w:rFonts w:ascii="Calibri" w:hAnsi="Calibri" w:cs="Calibri"/>
                <w:b/>
                <w:i/>
                <w:color w:val="000000"/>
                <w:szCs w:val="22"/>
              </w:rPr>
            </w:pPr>
            <w:r>
              <w:rPr>
                <w:rFonts w:ascii="Calibri" w:hAnsi="Calibri" w:cs="Calibri"/>
                <w:b/>
                <w:i/>
                <w:color w:val="000000"/>
                <w:szCs w:val="22"/>
              </w:rPr>
              <w:t>34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2D49DF" w14:textId="350FD30A" w:rsidR="00F87636" w:rsidRDefault="009F42AE" w:rsidP="00F87636">
            <w:pPr>
              <w:widowControl w:val="0"/>
              <w:jc w:val="center"/>
              <w:rPr>
                <w:rFonts w:ascii="Calibri" w:hAnsi="Calibri" w:cs="Calibri"/>
                <w:b/>
                <w:i/>
                <w:color w:val="000000"/>
                <w:szCs w:val="22"/>
              </w:rPr>
            </w:pPr>
            <w:r>
              <w:rPr>
                <w:rFonts w:ascii="Calibri" w:hAnsi="Calibri" w:cs="Calibri"/>
                <w:b/>
                <w:i/>
                <w:color w:val="000000"/>
                <w:szCs w:val="22"/>
              </w:rPr>
              <w:t>8.7</w:t>
            </w:r>
            <w:r w:rsidR="00F87636">
              <w:rPr>
                <w:rFonts w:ascii="Calibri" w:hAnsi="Calibri" w:cs="Calibri"/>
                <w:b/>
                <w:i/>
                <w:color w:val="000000"/>
                <w:szCs w:val="22"/>
              </w:rPr>
              <w:t>%</w:t>
            </w:r>
          </w:p>
        </w:tc>
      </w:tr>
      <w:tr w:rsidR="00F87636" w14:paraId="6F54C33E" w14:textId="77777777" w:rsidTr="0078382D">
        <w:tc>
          <w:tcPr>
            <w:tcW w:w="5670" w:type="dxa"/>
            <w:tcBorders>
              <w:top w:val="single" w:sz="4" w:space="0" w:color="auto"/>
              <w:left w:val="single" w:sz="4" w:space="0" w:color="auto"/>
              <w:bottom w:val="single" w:sz="4" w:space="0" w:color="auto"/>
              <w:right w:val="single" w:sz="4" w:space="0" w:color="auto"/>
            </w:tcBorders>
            <w:hideMark/>
          </w:tcPr>
          <w:p w14:paraId="7EC1564C" w14:textId="77777777" w:rsidR="00F87636" w:rsidRDefault="00F87636" w:rsidP="00F87636">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Disrespectful manner/attitude</w:t>
            </w:r>
          </w:p>
        </w:tc>
        <w:tc>
          <w:tcPr>
            <w:tcW w:w="1701" w:type="dxa"/>
            <w:tcBorders>
              <w:top w:val="single" w:sz="4" w:space="0" w:color="auto"/>
              <w:left w:val="single" w:sz="4" w:space="0" w:color="auto"/>
              <w:bottom w:val="single" w:sz="4" w:space="0" w:color="auto"/>
              <w:right w:val="single" w:sz="4" w:space="0" w:color="auto"/>
            </w:tcBorders>
            <w:vAlign w:val="center"/>
          </w:tcPr>
          <w:p w14:paraId="5A18A050" w14:textId="77777777" w:rsidR="00F87636" w:rsidRDefault="00F87636" w:rsidP="00F87636">
            <w:pPr>
              <w:widowControl w:val="0"/>
              <w:jc w:val="center"/>
              <w:rPr>
                <w:rFonts w:ascii="Calibri" w:hAnsi="Calibri" w:cs="Calibri"/>
                <w:color w:val="000000"/>
                <w:szCs w:val="22"/>
              </w:rPr>
            </w:pPr>
            <w:r>
              <w:rPr>
                <w:rFonts w:ascii="Calibri" w:hAnsi="Calibri" w:cs="Calibri"/>
                <w:color w:val="000000"/>
                <w:szCs w:val="22"/>
              </w:rPr>
              <w:t>10</w:t>
            </w:r>
          </w:p>
        </w:tc>
        <w:tc>
          <w:tcPr>
            <w:tcW w:w="1418" w:type="dxa"/>
            <w:tcBorders>
              <w:top w:val="single" w:sz="4" w:space="0" w:color="auto"/>
              <w:left w:val="single" w:sz="4" w:space="0" w:color="auto"/>
              <w:bottom w:val="single" w:sz="4" w:space="0" w:color="auto"/>
              <w:right w:val="single" w:sz="4" w:space="0" w:color="auto"/>
            </w:tcBorders>
            <w:vAlign w:val="center"/>
          </w:tcPr>
          <w:p w14:paraId="7DCAFCE4" w14:textId="11BB7669" w:rsidR="00F87636" w:rsidRDefault="009F42AE" w:rsidP="00F87636">
            <w:pPr>
              <w:widowControl w:val="0"/>
              <w:jc w:val="center"/>
              <w:rPr>
                <w:rFonts w:ascii="Calibri" w:hAnsi="Calibri" w:cs="Calibri"/>
                <w:color w:val="000000"/>
                <w:szCs w:val="22"/>
              </w:rPr>
            </w:pPr>
            <w:r>
              <w:rPr>
                <w:rFonts w:ascii="Calibri" w:hAnsi="Calibri" w:cs="Calibri"/>
                <w:color w:val="000000"/>
                <w:szCs w:val="22"/>
              </w:rPr>
              <w:t>2.6</w:t>
            </w:r>
            <w:r w:rsidR="00F87636">
              <w:rPr>
                <w:rFonts w:ascii="Calibri" w:hAnsi="Calibri" w:cs="Calibri"/>
                <w:color w:val="000000"/>
                <w:szCs w:val="22"/>
              </w:rPr>
              <w:t>%</w:t>
            </w:r>
          </w:p>
        </w:tc>
      </w:tr>
      <w:tr w:rsidR="00F87636" w14:paraId="6C6A1FAB" w14:textId="77777777" w:rsidTr="0078382D">
        <w:tc>
          <w:tcPr>
            <w:tcW w:w="5670" w:type="dxa"/>
            <w:tcBorders>
              <w:top w:val="single" w:sz="4" w:space="0" w:color="auto"/>
              <w:left w:val="single" w:sz="4" w:space="0" w:color="auto"/>
              <w:bottom w:val="single" w:sz="4" w:space="0" w:color="auto"/>
              <w:right w:val="single" w:sz="4" w:space="0" w:color="auto"/>
            </w:tcBorders>
            <w:hideMark/>
          </w:tcPr>
          <w:p w14:paraId="21D30AA6" w14:textId="77777777" w:rsidR="00F87636" w:rsidRDefault="00F87636" w:rsidP="00F8763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lastRenderedPageBreak/>
              <w:t>Failure to communicate openly/honestly/effectively with consumer</w:t>
            </w:r>
          </w:p>
        </w:tc>
        <w:tc>
          <w:tcPr>
            <w:tcW w:w="1701" w:type="dxa"/>
            <w:tcBorders>
              <w:top w:val="single" w:sz="4" w:space="0" w:color="auto"/>
              <w:left w:val="single" w:sz="4" w:space="0" w:color="auto"/>
              <w:bottom w:val="single" w:sz="4" w:space="0" w:color="auto"/>
              <w:right w:val="single" w:sz="4" w:space="0" w:color="auto"/>
            </w:tcBorders>
            <w:vAlign w:val="center"/>
          </w:tcPr>
          <w:p w14:paraId="384C5626" w14:textId="77777777" w:rsidR="00F87636" w:rsidRDefault="00F87636" w:rsidP="00F87636">
            <w:pPr>
              <w:widowControl w:val="0"/>
              <w:jc w:val="center"/>
              <w:rPr>
                <w:rFonts w:ascii="Calibri" w:hAnsi="Calibri" w:cs="Calibri"/>
                <w:color w:val="000000"/>
                <w:szCs w:val="22"/>
              </w:rPr>
            </w:pPr>
            <w:r>
              <w:rPr>
                <w:rFonts w:ascii="Calibri" w:hAnsi="Calibri" w:cs="Calibri"/>
                <w:color w:val="000000"/>
                <w:szCs w:val="22"/>
              </w:rPr>
              <w:t>12</w:t>
            </w:r>
          </w:p>
        </w:tc>
        <w:tc>
          <w:tcPr>
            <w:tcW w:w="1418" w:type="dxa"/>
            <w:tcBorders>
              <w:top w:val="single" w:sz="4" w:space="0" w:color="auto"/>
              <w:left w:val="single" w:sz="4" w:space="0" w:color="auto"/>
              <w:bottom w:val="single" w:sz="4" w:space="0" w:color="auto"/>
              <w:right w:val="single" w:sz="4" w:space="0" w:color="auto"/>
            </w:tcBorders>
            <w:vAlign w:val="center"/>
          </w:tcPr>
          <w:p w14:paraId="6391D375" w14:textId="2FFB9856" w:rsidR="00F87636" w:rsidRDefault="009F42AE" w:rsidP="00F87636">
            <w:pPr>
              <w:widowControl w:val="0"/>
              <w:jc w:val="center"/>
              <w:rPr>
                <w:rFonts w:ascii="Calibri" w:hAnsi="Calibri" w:cs="Calibri"/>
                <w:color w:val="000000"/>
                <w:szCs w:val="22"/>
              </w:rPr>
            </w:pPr>
            <w:r>
              <w:rPr>
                <w:rFonts w:ascii="Calibri" w:hAnsi="Calibri" w:cs="Calibri"/>
                <w:color w:val="000000"/>
                <w:szCs w:val="22"/>
              </w:rPr>
              <w:t>3.1</w:t>
            </w:r>
            <w:r w:rsidR="00F87636">
              <w:rPr>
                <w:rFonts w:ascii="Calibri" w:hAnsi="Calibri" w:cs="Calibri"/>
                <w:color w:val="000000"/>
                <w:szCs w:val="22"/>
              </w:rPr>
              <w:t>%</w:t>
            </w:r>
          </w:p>
        </w:tc>
      </w:tr>
      <w:tr w:rsidR="00F87636" w14:paraId="1AE30B81"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hideMark/>
          </w:tcPr>
          <w:p w14:paraId="3E4DE01A" w14:textId="77777777" w:rsidR="00F87636" w:rsidRDefault="00F87636" w:rsidP="00F8763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communicate openly/honestly/effectively with family</w:t>
            </w:r>
          </w:p>
        </w:tc>
        <w:tc>
          <w:tcPr>
            <w:tcW w:w="1701" w:type="dxa"/>
            <w:tcBorders>
              <w:top w:val="single" w:sz="4" w:space="0" w:color="auto"/>
              <w:left w:val="single" w:sz="4" w:space="0" w:color="auto"/>
              <w:bottom w:val="single" w:sz="4" w:space="0" w:color="auto"/>
              <w:right w:val="single" w:sz="4" w:space="0" w:color="auto"/>
            </w:tcBorders>
            <w:vAlign w:val="center"/>
          </w:tcPr>
          <w:p w14:paraId="4C9B1E62" w14:textId="77777777" w:rsidR="00F87636" w:rsidRDefault="00F87636" w:rsidP="00F87636">
            <w:pPr>
              <w:widowControl w:val="0"/>
              <w:jc w:val="center"/>
              <w:rPr>
                <w:rFonts w:ascii="Calibri" w:hAnsi="Calibri" w:cs="Calibri"/>
                <w:color w:val="000000"/>
                <w:szCs w:val="22"/>
              </w:rPr>
            </w:pPr>
            <w:r>
              <w:rPr>
                <w:rFonts w:ascii="Calibri" w:hAnsi="Calibri" w:cs="Calibri"/>
                <w:color w:val="000000"/>
                <w:szCs w:val="22"/>
              </w:rPr>
              <w:t>10</w:t>
            </w:r>
          </w:p>
        </w:tc>
        <w:tc>
          <w:tcPr>
            <w:tcW w:w="1418" w:type="dxa"/>
            <w:tcBorders>
              <w:top w:val="single" w:sz="4" w:space="0" w:color="auto"/>
              <w:left w:val="single" w:sz="4" w:space="0" w:color="auto"/>
              <w:bottom w:val="single" w:sz="4" w:space="0" w:color="auto"/>
              <w:right w:val="single" w:sz="4" w:space="0" w:color="auto"/>
            </w:tcBorders>
            <w:vAlign w:val="center"/>
          </w:tcPr>
          <w:p w14:paraId="75E986BE" w14:textId="198D975B" w:rsidR="00F87636" w:rsidRDefault="009F42AE" w:rsidP="00F87636">
            <w:pPr>
              <w:widowControl w:val="0"/>
              <w:jc w:val="center"/>
              <w:rPr>
                <w:rFonts w:ascii="Calibri" w:hAnsi="Calibri" w:cs="Calibri"/>
                <w:color w:val="000000"/>
                <w:szCs w:val="22"/>
              </w:rPr>
            </w:pPr>
            <w:r>
              <w:rPr>
                <w:rFonts w:ascii="Calibri" w:hAnsi="Calibri" w:cs="Calibri"/>
                <w:color w:val="000000"/>
                <w:szCs w:val="22"/>
              </w:rPr>
              <w:t>2.6</w:t>
            </w:r>
            <w:r w:rsidR="00F87636">
              <w:rPr>
                <w:rFonts w:ascii="Calibri" w:hAnsi="Calibri" w:cs="Calibri"/>
                <w:color w:val="000000"/>
                <w:szCs w:val="22"/>
              </w:rPr>
              <w:t>%</w:t>
            </w:r>
          </w:p>
        </w:tc>
      </w:tr>
      <w:tr w:rsidR="00F87636" w14:paraId="5BA4B4B9"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tcPr>
          <w:p w14:paraId="133D1DAC" w14:textId="77777777" w:rsidR="00F87636" w:rsidRDefault="00F87636" w:rsidP="00F8763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Insensitive/inappropriate comments</w:t>
            </w:r>
          </w:p>
        </w:tc>
        <w:tc>
          <w:tcPr>
            <w:tcW w:w="1701" w:type="dxa"/>
            <w:tcBorders>
              <w:top w:val="single" w:sz="4" w:space="0" w:color="auto"/>
              <w:left w:val="single" w:sz="4" w:space="0" w:color="auto"/>
              <w:bottom w:val="single" w:sz="4" w:space="0" w:color="auto"/>
              <w:right w:val="single" w:sz="4" w:space="0" w:color="auto"/>
            </w:tcBorders>
            <w:vAlign w:val="center"/>
          </w:tcPr>
          <w:p w14:paraId="2AA7FFBD" w14:textId="77777777" w:rsidR="00F87636" w:rsidRDefault="00F87636" w:rsidP="00F87636">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14:paraId="0A0ACE9B" w14:textId="77777777" w:rsidR="00F87636" w:rsidRDefault="00F87636" w:rsidP="00F87636">
            <w:pPr>
              <w:widowControl w:val="0"/>
              <w:jc w:val="center"/>
              <w:rPr>
                <w:rFonts w:ascii="Calibri" w:hAnsi="Calibri" w:cs="Calibri"/>
                <w:color w:val="000000"/>
                <w:szCs w:val="22"/>
              </w:rPr>
            </w:pPr>
            <w:r>
              <w:rPr>
                <w:rFonts w:ascii="Calibri" w:hAnsi="Calibri" w:cs="Calibri"/>
                <w:color w:val="000000"/>
                <w:szCs w:val="22"/>
              </w:rPr>
              <w:t>0.5%</w:t>
            </w:r>
          </w:p>
        </w:tc>
      </w:tr>
      <w:tr w:rsidR="00F87636" w14:paraId="3DF4EBA1"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601AF" w14:textId="77777777" w:rsidR="00F87636" w:rsidRDefault="00F87636" w:rsidP="00F87636">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Consent/Information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6B86AA" w14:textId="77777777" w:rsidR="00F87636" w:rsidRDefault="00F87636" w:rsidP="00F87636">
            <w:pPr>
              <w:widowControl w:val="0"/>
              <w:jc w:val="center"/>
              <w:rPr>
                <w:rFonts w:ascii="Calibri" w:hAnsi="Calibri" w:cs="Calibri"/>
                <w:b/>
                <w:i/>
                <w:color w:val="000000"/>
                <w:szCs w:val="22"/>
              </w:rPr>
            </w:pPr>
            <w:r>
              <w:rPr>
                <w:rFonts w:ascii="Calibri" w:hAnsi="Calibri" w:cs="Calibri"/>
                <w:b/>
                <w:i/>
                <w:color w:val="000000"/>
                <w:szCs w:val="22"/>
              </w:rPr>
              <w:t>44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1A1DC6" w14:textId="77777777" w:rsidR="00F87636" w:rsidRDefault="00F87636" w:rsidP="00F87636">
            <w:pPr>
              <w:widowControl w:val="0"/>
              <w:jc w:val="center"/>
              <w:rPr>
                <w:rFonts w:ascii="Calibri" w:hAnsi="Calibri" w:cs="Calibri"/>
                <w:b/>
                <w:i/>
                <w:color w:val="000000"/>
                <w:szCs w:val="22"/>
              </w:rPr>
            </w:pPr>
            <w:r>
              <w:rPr>
                <w:rFonts w:ascii="Calibri" w:hAnsi="Calibri" w:cs="Calibri"/>
                <w:b/>
                <w:i/>
                <w:color w:val="000000"/>
                <w:szCs w:val="22"/>
              </w:rPr>
              <w:t>11.2%</w:t>
            </w:r>
          </w:p>
        </w:tc>
      </w:tr>
      <w:tr w:rsidR="00F87636" w14:paraId="5CCC1078"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hideMark/>
          </w:tcPr>
          <w:p w14:paraId="780049E4" w14:textId="77777777" w:rsidR="00F87636" w:rsidRDefault="00F87636" w:rsidP="00F8763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Consent not obtained/adequate</w:t>
            </w:r>
          </w:p>
        </w:tc>
        <w:tc>
          <w:tcPr>
            <w:tcW w:w="1701" w:type="dxa"/>
            <w:tcBorders>
              <w:top w:val="single" w:sz="4" w:space="0" w:color="auto"/>
              <w:left w:val="single" w:sz="4" w:space="0" w:color="auto"/>
              <w:bottom w:val="single" w:sz="4" w:space="0" w:color="auto"/>
              <w:right w:val="single" w:sz="4" w:space="0" w:color="auto"/>
            </w:tcBorders>
            <w:vAlign w:val="center"/>
          </w:tcPr>
          <w:p w14:paraId="3E1F97D4" w14:textId="77777777" w:rsidR="00F87636" w:rsidRDefault="00F87636" w:rsidP="00F87636">
            <w:pPr>
              <w:widowControl w:val="0"/>
              <w:jc w:val="center"/>
              <w:rPr>
                <w:rFonts w:ascii="Calibri" w:hAnsi="Calibri" w:cs="Calibri"/>
                <w:color w:val="000000"/>
                <w:szCs w:val="22"/>
              </w:rPr>
            </w:pPr>
            <w:r>
              <w:rPr>
                <w:rFonts w:ascii="Calibri" w:hAnsi="Calibri" w:cs="Calibri"/>
                <w:color w:val="000000"/>
                <w:szCs w:val="22"/>
              </w:rPr>
              <w:t>16</w:t>
            </w:r>
          </w:p>
        </w:tc>
        <w:tc>
          <w:tcPr>
            <w:tcW w:w="1418" w:type="dxa"/>
            <w:tcBorders>
              <w:top w:val="single" w:sz="4" w:space="0" w:color="auto"/>
              <w:left w:val="single" w:sz="4" w:space="0" w:color="auto"/>
              <w:bottom w:val="single" w:sz="4" w:space="0" w:color="auto"/>
              <w:right w:val="single" w:sz="4" w:space="0" w:color="auto"/>
            </w:tcBorders>
            <w:vAlign w:val="center"/>
          </w:tcPr>
          <w:p w14:paraId="5D107E59" w14:textId="77777777" w:rsidR="00F87636" w:rsidRDefault="00F87636" w:rsidP="00F87636">
            <w:pPr>
              <w:widowControl w:val="0"/>
              <w:jc w:val="center"/>
              <w:rPr>
                <w:rFonts w:ascii="Calibri" w:hAnsi="Calibri" w:cs="Calibri"/>
                <w:color w:val="000000"/>
                <w:szCs w:val="22"/>
              </w:rPr>
            </w:pPr>
            <w:r>
              <w:rPr>
                <w:rFonts w:ascii="Calibri" w:hAnsi="Calibri" w:cs="Calibri"/>
                <w:color w:val="000000"/>
                <w:szCs w:val="22"/>
              </w:rPr>
              <w:t>4.1%</w:t>
            </w:r>
          </w:p>
        </w:tc>
      </w:tr>
      <w:tr w:rsidR="00F87636" w14:paraId="04EB4724"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tcPr>
          <w:p w14:paraId="1BA0BA44" w14:textId="77777777" w:rsidR="00F87636" w:rsidRDefault="00F87636" w:rsidP="00F8763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condition</w:t>
            </w:r>
          </w:p>
        </w:tc>
        <w:tc>
          <w:tcPr>
            <w:tcW w:w="1701" w:type="dxa"/>
            <w:tcBorders>
              <w:top w:val="single" w:sz="4" w:space="0" w:color="auto"/>
              <w:left w:val="single" w:sz="4" w:space="0" w:color="auto"/>
              <w:bottom w:val="single" w:sz="4" w:space="0" w:color="auto"/>
              <w:right w:val="single" w:sz="4" w:space="0" w:color="auto"/>
            </w:tcBorders>
            <w:vAlign w:val="center"/>
          </w:tcPr>
          <w:p w14:paraId="0016810C" w14:textId="77777777" w:rsidR="00F87636" w:rsidRDefault="00F87636" w:rsidP="00F87636">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14:paraId="7A6161A1" w14:textId="77777777" w:rsidR="00F87636" w:rsidRDefault="00F87636" w:rsidP="00F87636">
            <w:pPr>
              <w:jc w:val="center"/>
            </w:pPr>
            <w:r>
              <w:t>0.5%</w:t>
            </w:r>
          </w:p>
        </w:tc>
      </w:tr>
      <w:tr w:rsidR="00F87636" w14:paraId="118A6E72"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tcPr>
          <w:p w14:paraId="5114F5B0" w14:textId="77777777" w:rsidR="00F87636" w:rsidRDefault="00F87636" w:rsidP="00F8763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provider</w:t>
            </w:r>
          </w:p>
        </w:tc>
        <w:tc>
          <w:tcPr>
            <w:tcW w:w="1701" w:type="dxa"/>
            <w:tcBorders>
              <w:top w:val="single" w:sz="4" w:space="0" w:color="auto"/>
              <w:left w:val="single" w:sz="4" w:space="0" w:color="auto"/>
              <w:bottom w:val="single" w:sz="4" w:space="0" w:color="auto"/>
              <w:right w:val="single" w:sz="4" w:space="0" w:color="auto"/>
            </w:tcBorders>
            <w:vAlign w:val="center"/>
          </w:tcPr>
          <w:p w14:paraId="2C2230F6" w14:textId="77777777" w:rsidR="00F87636" w:rsidRDefault="00F87636" w:rsidP="00F87636">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tcPr>
          <w:p w14:paraId="36BD26E8" w14:textId="77777777" w:rsidR="00F87636" w:rsidRDefault="00F87636" w:rsidP="00F87636">
            <w:pPr>
              <w:jc w:val="center"/>
            </w:pPr>
            <w:r>
              <w:t>0.3%</w:t>
            </w:r>
          </w:p>
        </w:tc>
      </w:tr>
      <w:tr w:rsidR="00F87636" w14:paraId="6CB12185"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hideMark/>
          </w:tcPr>
          <w:p w14:paraId="06BBCEEE" w14:textId="77777777" w:rsidR="00F87636" w:rsidRDefault="00F87636" w:rsidP="00F8763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results</w:t>
            </w:r>
          </w:p>
        </w:tc>
        <w:tc>
          <w:tcPr>
            <w:tcW w:w="1701" w:type="dxa"/>
            <w:tcBorders>
              <w:top w:val="single" w:sz="4" w:space="0" w:color="auto"/>
              <w:left w:val="single" w:sz="4" w:space="0" w:color="auto"/>
              <w:bottom w:val="single" w:sz="4" w:space="0" w:color="auto"/>
              <w:right w:val="single" w:sz="4" w:space="0" w:color="auto"/>
            </w:tcBorders>
            <w:vAlign w:val="center"/>
          </w:tcPr>
          <w:p w14:paraId="6DFE26D2" w14:textId="77777777" w:rsidR="00F87636" w:rsidRDefault="00F87636" w:rsidP="00F87636">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14:paraId="4A24467E" w14:textId="77777777" w:rsidR="00F87636" w:rsidRDefault="00F87636" w:rsidP="00F87636">
            <w:pPr>
              <w:jc w:val="center"/>
            </w:pPr>
            <w:r>
              <w:t>0.5%</w:t>
            </w:r>
          </w:p>
        </w:tc>
      </w:tr>
      <w:tr w:rsidR="00F87636" w14:paraId="6F876ACD"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hideMark/>
          </w:tcPr>
          <w:p w14:paraId="625FCBAC" w14:textId="77777777" w:rsidR="00F87636" w:rsidRDefault="00F87636" w:rsidP="00F8763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treatment</w:t>
            </w:r>
          </w:p>
        </w:tc>
        <w:tc>
          <w:tcPr>
            <w:tcW w:w="1701" w:type="dxa"/>
            <w:tcBorders>
              <w:top w:val="single" w:sz="4" w:space="0" w:color="auto"/>
              <w:left w:val="single" w:sz="4" w:space="0" w:color="auto"/>
              <w:bottom w:val="single" w:sz="4" w:space="0" w:color="auto"/>
              <w:right w:val="single" w:sz="4" w:space="0" w:color="auto"/>
            </w:tcBorders>
            <w:vAlign w:val="center"/>
          </w:tcPr>
          <w:p w14:paraId="1015761B" w14:textId="77777777" w:rsidR="00F87636" w:rsidRDefault="00F87636" w:rsidP="00F87636">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tcPr>
          <w:p w14:paraId="22609D83" w14:textId="77777777" w:rsidR="00F87636" w:rsidRDefault="00F87636" w:rsidP="00F87636">
            <w:pPr>
              <w:jc w:val="center"/>
            </w:pPr>
            <w:r>
              <w:t>1.0%</w:t>
            </w:r>
          </w:p>
        </w:tc>
      </w:tr>
      <w:tr w:rsidR="00F87636" w14:paraId="6E1FF64E"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tcPr>
          <w:p w14:paraId="39192DDD" w14:textId="77777777" w:rsidR="00F87636" w:rsidRDefault="00F87636" w:rsidP="00F8763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Incorrect/misleading information provided</w:t>
            </w:r>
          </w:p>
        </w:tc>
        <w:tc>
          <w:tcPr>
            <w:tcW w:w="1701" w:type="dxa"/>
            <w:tcBorders>
              <w:top w:val="single" w:sz="4" w:space="0" w:color="auto"/>
              <w:left w:val="single" w:sz="4" w:space="0" w:color="auto"/>
              <w:bottom w:val="single" w:sz="4" w:space="0" w:color="auto"/>
              <w:right w:val="single" w:sz="4" w:space="0" w:color="auto"/>
            </w:tcBorders>
            <w:vAlign w:val="center"/>
          </w:tcPr>
          <w:p w14:paraId="160146A3" w14:textId="77777777" w:rsidR="00F87636" w:rsidRDefault="00F87636" w:rsidP="00F87636">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14:paraId="49FF9C67" w14:textId="77777777" w:rsidR="00F87636" w:rsidRDefault="00F87636" w:rsidP="00F87636">
            <w:pPr>
              <w:jc w:val="center"/>
            </w:pPr>
            <w:r>
              <w:t>0.5%</w:t>
            </w:r>
          </w:p>
        </w:tc>
      </w:tr>
      <w:tr w:rsidR="00F87636" w14:paraId="3A24DEBF"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tcPr>
          <w:p w14:paraId="5B38F4D6" w14:textId="77777777" w:rsidR="00F87636" w:rsidRDefault="00F87636" w:rsidP="00F8763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Issues regarding consent when consumer not competent</w:t>
            </w:r>
          </w:p>
        </w:tc>
        <w:tc>
          <w:tcPr>
            <w:tcW w:w="1701" w:type="dxa"/>
            <w:tcBorders>
              <w:top w:val="single" w:sz="4" w:space="0" w:color="auto"/>
              <w:left w:val="single" w:sz="4" w:space="0" w:color="auto"/>
              <w:bottom w:val="single" w:sz="4" w:space="0" w:color="auto"/>
              <w:right w:val="single" w:sz="4" w:space="0" w:color="auto"/>
            </w:tcBorders>
            <w:vAlign w:val="center"/>
          </w:tcPr>
          <w:p w14:paraId="3315A22A" w14:textId="77777777" w:rsidR="00F87636" w:rsidRDefault="00F87636" w:rsidP="00F87636">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14:paraId="5FFAF8BA" w14:textId="77777777" w:rsidR="00F87636" w:rsidRDefault="00F87636" w:rsidP="00F87636">
            <w:pPr>
              <w:widowControl w:val="0"/>
              <w:jc w:val="center"/>
              <w:rPr>
                <w:rFonts w:ascii="Calibri" w:hAnsi="Calibri" w:cs="Calibri"/>
                <w:color w:val="000000"/>
                <w:szCs w:val="22"/>
              </w:rPr>
            </w:pPr>
            <w:r>
              <w:rPr>
                <w:rFonts w:ascii="Calibri" w:hAnsi="Calibri" w:cs="Calibri"/>
                <w:color w:val="000000"/>
                <w:szCs w:val="22"/>
              </w:rPr>
              <w:t>0.5%</w:t>
            </w:r>
          </w:p>
        </w:tc>
      </w:tr>
      <w:tr w:rsidR="00F87636" w14:paraId="3E1A441A"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hideMark/>
          </w:tcPr>
          <w:p w14:paraId="338223CC" w14:textId="77777777" w:rsidR="00F87636" w:rsidRDefault="00F87636" w:rsidP="00F8763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Issues with involuntary admission/treatment</w:t>
            </w:r>
          </w:p>
        </w:tc>
        <w:tc>
          <w:tcPr>
            <w:tcW w:w="1701" w:type="dxa"/>
            <w:tcBorders>
              <w:top w:val="single" w:sz="4" w:space="0" w:color="auto"/>
              <w:left w:val="single" w:sz="4" w:space="0" w:color="auto"/>
              <w:bottom w:val="single" w:sz="4" w:space="0" w:color="auto"/>
              <w:right w:val="single" w:sz="4" w:space="0" w:color="auto"/>
            </w:tcBorders>
            <w:vAlign w:val="center"/>
          </w:tcPr>
          <w:p w14:paraId="22A41DDB" w14:textId="77777777" w:rsidR="00F87636" w:rsidRDefault="00F87636" w:rsidP="00F87636">
            <w:pPr>
              <w:widowControl w:val="0"/>
              <w:jc w:val="center"/>
              <w:rPr>
                <w:rFonts w:ascii="Calibri" w:hAnsi="Calibri" w:cs="Calibri"/>
                <w:color w:val="000000"/>
                <w:szCs w:val="22"/>
              </w:rPr>
            </w:pPr>
            <w:r>
              <w:rPr>
                <w:rFonts w:ascii="Calibri" w:hAnsi="Calibri" w:cs="Calibri"/>
                <w:color w:val="000000"/>
                <w:szCs w:val="22"/>
              </w:rPr>
              <w:t>15</w:t>
            </w:r>
          </w:p>
        </w:tc>
        <w:tc>
          <w:tcPr>
            <w:tcW w:w="1418" w:type="dxa"/>
            <w:tcBorders>
              <w:top w:val="single" w:sz="4" w:space="0" w:color="auto"/>
              <w:left w:val="single" w:sz="4" w:space="0" w:color="auto"/>
              <w:bottom w:val="single" w:sz="4" w:space="0" w:color="auto"/>
              <w:right w:val="single" w:sz="4" w:space="0" w:color="auto"/>
            </w:tcBorders>
            <w:vAlign w:val="center"/>
          </w:tcPr>
          <w:p w14:paraId="0D1A1EBF" w14:textId="77777777" w:rsidR="00F87636" w:rsidRDefault="00F87636" w:rsidP="00F87636">
            <w:pPr>
              <w:widowControl w:val="0"/>
              <w:jc w:val="center"/>
              <w:rPr>
                <w:rFonts w:ascii="Calibri" w:hAnsi="Calibri" w:cs="Calibri"/>
                <w:color w:val="000000"/>
                <w:szCs w:val="22"/>
              </w:rPr>
            </w:pPr>
            <w:r>
              <w:rPr>
                <w:rFonts w:ascii="Calibri" w:hAnsi="Calibri" w:cs="Calibri"/>
                <w:color w:val="000000"/>
                <w:szCs w:val="22"/>
              </w:rPr>
              <w:t>3.8%</w:t>
            </w:r>
          </w:p>
        </w:tc>
      </w:tr>
      <w:tr w:rsidR="00F87636" w14:paraId="04FBD77A"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B37490" w14:textId="77777777" w:rsidR="00F87636" w:rsidRDefault="00F87636" w:rsidP="00F87636">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Documentation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8B66FE" w14:textId="77777777" w:rsidR="00F87636" w:rsidRDefault="00F87636" w:rsidP="00F87636">
            <w:pPr>
              <w:widowControl w:val="0"/>
              <w:jc w:val="center"/>
              <w:rPr>
                <w:rFonts w:ascii="Calibri" w:hAnsi="Calibri" w:cs="Calibri"/>
                <w:b/>
                <w:i/>
                <w:color w:val="000000"/>
                <w:szCs w:val="22"/>
              </w:rPr>
            </w:pPr>
            <w:r>
              <w:rPr>
                <w:rFonts w:ascii="Calibri" w:hAnsi="Calibri" w:cs="Calibri"/>
                <w:b/>
                <w:i/>
                <w:color w:val="000000"/>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FAFE55" w14:textId="77777777" w:rsidR="00F87636" w:rsidRDefault="00F87636" w:rsidP="00F87636">
            <w:pPr>
              <w:widowControl w:val="0"/>
              <w:jc w:val="center"/>
              <w:rPr>
                <w:rFonts w:ascii="Calibri" w:hAnsi="Calibri" w:cs="Calibri"/>
                <w:b/>
                <w:i/>
                <w:color w:val="000000"/>
                <w:szCs w:val="22"/>
              </w:rPr>
            </w:pPr>
            <w:r>
              <w:rPr>
                <w:rFonts w:ascii="Calibri" w:hAnsi="Calibri" w:cs="Calibri"/>
                <w:b/>
                <w:i/>
                <w:color w:val="000000"/>
                <w:szCs w:val="22"/>
              </w:rPr>
              <w:t>0.8%</w:t>
            </w:r>
          </w:p>
        </w:tc>
      </w:tr>
      <w:tr w:rsidR="00F87636" w14:paraId="6AC6A516"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hideMark/>
          </w:tcPr>
          <w:p w14:paraId="4C861991" w14:textId="77777777" w:rsidR="00F87636" w:rsidRDefault="00F87636" w:rsidP="00F8763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 xml:space="preserve">Inadequate/inaccurate documentation </w:t>
            </w:r>
          </w:p>
        </w:tc>
        <w:tc>
          <w:tcPr>
            <w:tcW w:w="1701" w:type="dxa"/>
            <w:tcBorders>
              <w:top w:val="single" w:sz="4" w:space="0" w:color="auto"/>
              <w:left w:val="single" w:sz="4" w:space="0" w:color="auto"/>
              <w:bottom w:val="single" w:sz="4" w:space="0" w:color="auto"/>
              <w:right w:val="single" w:sz="4" w:space="0" w:color="auto"/>
            </w:tcBorders>
            <w:vAlign w:val="center"/>
          </w:tcPr>
          <w:p w14:paraId="4F8FBCFF" w14:textId="77777777" w:rsidR="00F87636" w:rsidRDefault="00F87636" w:rsidP="00F87636">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14:paraId="58525D00" w14:textId="77777777" w:rsidR="00F87636" w:rsidRDefault="00F87636" w:rsidP="00F87636">
            <w:pPr>
              <w:widowControl w:val="0"/>
              <w:jc w:val="center"/>
              <w:rPr>
                <w:rFonts w:ascii="Calibri" w:hAnsi="Calibri" w:cs="Calibri"/>
                <w:color w:val="000000"/>
                <w:szCs w:val="22"/>
              </w:rPr>
            </w:pPr>
            <w:r>
              <w:rPr>
                <w:rFonts w:ascii="Calibri" w:hAnsi="Calibri" w:cs="Calibri"/>
                <w:color w:val="000000"/>
                <w:szCs w:val="22"/>
              </w:rPr>
              <w:t>0.8%</w:t>
            </w:r>
          </w:p>
        </w:tc>
      </w:tr>
      <w:tr w:rsidR="00F87636" w14:paraId="6D3CFE71"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B81FE5" w14:textId="77777777" w:rsidR="00F87636" w:rsidRDefault="00F87636" w:rsidP="00F87636">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Facility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AC8B66" w14:textId="77777777" w:rsidR="00F87636" w:rsidRDefault="00F87636" w:rsidP="00F87636">
            <w:pPr>
              <w:widowControl w:val="0"/>
              <w:jc w:val="center"/>
              <w:rPr>
                <w:rFonts w:ascii="Calibri" w:hAnsi="Calibri" w:cs="Calibri"/>
                <w:b/>
                <w:i/>
                <w:color w:val="000000"/>
                <w:szCs w:val="22"/>
              </w:rPr>
            </w:pPr>
            <w:r>
              <w:rPr>
                <w:rFonts w:ascii="Calibri" w:hAnsi="Calibri" w:cs="Calibri"/>
                <w:b/>
                <w:i/>
                <w:color w:val="000000"/>
                <w:szCs w:val="22"/>
              </w:rPr>
              <w:t>17</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6CC7E2" w14:textId="77777777" w:rsidR="00F87636" w:rsidRDefault="00F87636" w:rsidP="00F87636">
            <w:pPr>
              <w:widowControl w:val="0"/>
              <w:jc w:val="center"/>
              <w:rPr>
                <w:rFonts w:ascii="Calibri" w:hAnsi="Calibri" w:cs="Calibri"/>
                <w:b/>
                <w:i/>
                <w:color w:val="000000"/>
                <w:szCs w:val="22"/>
              </w:rPr>
            </w:pPr>
            <w:r>
              <w:rPr>
                <w:rFonts w:ascii="Calibri" w:hAnsi="Calibri" w:cs="Calibri"/>
                <w:b/>
                <w:i/>
                <w:color w:val="000000"/>
                <w:szCs w:val="22"/>
              </w:rPr>
              <w:t>4.3%</w:t>
            </w:r>
          </w:p>
        </w:tc>
      </w:tr>
      <w:tr w:rsidR="00F87636" w14:paraId="18CD0619"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hideMark/>
          </w:tcPr>
          <w:p w14:paraId="57FA30FB" w14:textId="77777777" w:rsidR="00F87636" w:rsidRDefault="00F87636" w:rsidP="00F8763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General safety issue for consumer in facility</w:t>
            </w:r>
          </w:p>
        </w:tc>
        <w:tc>
          <w:tcPr>
            <w:tcW w:w="1701" w:type="dxa"/>
            <w:tcBorders>
              <w:top w:val="single" w:sz="4" w:space="0" w:color="auto"/>
              <w:left w:val="single" w:sz="4" w:space="0" w:color="auto"/>
              <w:bottom w:val="single" w:sz="4" w:space="0" w:color="auto"/>
              <w:right w:val="single" w:sz="4" w:space="0" w:color="auto"/>
            </w:tcBorders>
            <w:vAlign w:val="center"/>
          </w:tcPr>
          <w:p w14:paraId="3435F7CF" w14:textId="77777777" w:rsidR="00F87636" w:rsidRDefault="00F87636" w:rsidP="00F87636">
            <w:pPr>
              <w:widowControl w:val="0"/>
              <w:jc w:val="center"/>
              <w:rPr>
                <w:rFonts w:ascii="Calibri" w:hAnsi="Calibri" w:cs="Calibri"/>
                <w:color w:val="000000"/>
                <w:szCs w:val="22"/>
              </w:rPr>
            </w:pPr>
            <w:r>
              <w:rPr>
                <w:rFonts w:ascii="Calibri" w:hAnsi="Calibri" w:cs="Calibri"/>
                <w:color w:val="000000"/>
                <w:szCs w:val="22"/>
              </w:rPr>
              <w:t>8</w:t>
            </w:r>
          </w:p>
        </w:tc>
        <w:tc>
          <w:tcPr>
            <w:tcW w:w="1418" w:type="dxa"/>
            <w:tcBorders>
              <w:top w:val="single" w:sz="4" w:space="0" w:color="auto"/>
              <w:left w:val="single" w:sz="4" w:space="0" w:color="auto"/>
              <w:bottom w:val="single" w:sz="4" w:space="0" w:color="auto"/>
              <w:right w:val="single" w:sz="4" w:space="0" w:color="auto"/>
            </w:tcBorders>
          </w:tcPr>
          <w:p w14:paraId="157085E3" w14:textId="77777777" w:rsidR="00F87636" w:rsidRDefault="00F87636" w:rsidP="00F87636">
            <w:pPr>
              <w:jc w:val="center"/>
            </w:pPr>
            <w:r>
              <w:t>2.0%</w:t>
            </w:r>
          </w:p>
        </w:tc>
      </w:tr>
      <w:tr w:rsidR="00F87636" w14:paraId="11119A6F"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tcPr>
          <w:p w14:paraId="0C6F9C24" w14:textId="77777777" w:rsidR="00F87636" w:rsidRDefault="00F87636" w:rsidP="00F8763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policies/procedures</w:t>
            </w:r>
          </w:p>
        </w:tc>
        <w:tc>
          <w:tcPr>
            <w:tcW w:w="1701" w:type="dxa"/>
            <w:tcBorders>
              <w:top w:val="single" w:sz="4" w:space="0" w:color="auto"/>
              <w:left w:val="single" w:sz="4" w:space="0" w:color="auto"/>
              <w:bottom w:val="single" w:sz="4" w:space="0" w:color="auto"/>
              <w:right w:val="single" w:sz="4" w:space="0" w:color="auto"/>
            </w:tcBorders>
            <w:vAlign w:val="center"/>
          </w:tcPr>
          <w:p w14:paraId="30C5C741" w14:textId="77777777" w:rsidR="00F87636" w:rsidRDefault="00F87636" w:rsidP="00F87636">
            <w:pPr>
              <w:widowControl w:val="0"/>
              <w:jc w:val="center"/>
              <w:rPr>
                <w:rFonts w:ascii="Calibri" w:hAnsi="Calibri" w:cs="Calibri"/>
                <w:color w:val="000000"/>
                <w:szCs w:val="22"/>
              </w:rPr>
            </w:pPr>
            <w:r>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tcPr>
          <w:p w14:paraId="2E79C89A" w14:textId="77777777" w:rsidR="00F87636" w:rsidRDefault="00F87636" w:rsidP="00F87636">
            <w:pPr>
              <w:jc w:val="center"/>
            </w:pPr>
            <w:r>
              <w:t>1.8%</w:t>
            </w:r>
          </w:p>
        </w:tc>
      </w:tr>
      <w:tr w:rsidR="00F87636" w14:paraId="338A7F8C"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hideMark/>
          </w:tcPr>
          <w:p w14:paraId="6B5E49AC" w14:textId="77777777" w:rsidR="00F87636" w:rsidRDefault="00F87636" w:rsidP="00F8763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Staffing/rostering/other HR issue</w:t>
            </w:r>
          </w:p>
        </w:tc>
        <w:tc>
          <w:tcPr>
            <w:tcW w:w="1701" w:type="dxa"/>
            <w:tcBorders>
              <w:top w:val="single" w:sz="4" w:space="0" w:color="auto"/>
              <w:left w:val="single" w:sz="4" w:space="0" w:color="auto"/>
              <w:bottom w:val="single" w:sz="4" w:space="0" w:color="auto"/>
              <w:right w:val="single" w:sz="4" w:space="0" w:color="auto"/>
            </w:tcBorders>
            <w:vAlign w:val="center"/>
          </w:tcPr>
          <w:p w14:paraId="1B3D31EA" w14:textId="77777777" w:rsidR="00F87636" w:rsidRDefault="00F87636" w:rsidP="00F87636">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tcPr>
          <w:p w14:paraId="15B09D2D" w14:textId="77777777" w:rsidR="00F87636" w:rsidRDefault="00F87636" w:rsidP="00F87636">
            <w:pPr>
              <w:jc w:val="center"/>
            </w:pPr>
            <w:r>
              <w:t>0.3%</w:t>
            </w:r>
          </w:p>
        </w:tc>
      </w:tr>
      <w:tr w:rsidR="00F87636" w14:paraId="19427A49"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tcPr>
          <w:p w14:paraId="634BDA2D" w14:textId="77777777" w:rsidR="00F87636" w:rsidRDefault="00F87636" w:rsidP="00F8763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vAlign w:val="center"/>
          </w:tcPr>
          <w:p w14:paraId="6FFDD2A7" w14:textId="77777777" w:rsidR="00F87636" w:rsidRDefault="00F87636" w:rsidP="00F87636">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tcPr>
          <w:p w14:paraId="7787367E" w14:textId="77777777" w:rsidR="00F87636" w:rsidRDefault="00F87636" w:rsidP="00F87636">
            <w:pPr>
              <w:jc w:val="center"/>
            </w:pPr>
            <w:r>
              <w:t>0.3%</w:t>
            </w:r>
          </w:p>
        </w:tc>
      </w:tr>
      <w:tr w:rsidR="00F87636" w14:paraId="78E8BFF5"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59F566" w14:textId="77777777" w:rsidR="00F87636" w:rsidRDefault="00F87636" w:rsidP="00F87636">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Medication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280A57" w14:textId="77777777" w:rsidR="00F87636" w:rsidRDefault="00F87636" w:rsidP="00F87636">
            <w:pPr>
              <w:widowControl w:val="0"/>
              <w:jc w:val="center"/>
              <w:rPr>
                <w:rFonts w:ascii="Calibri" w:hAnsi="Calibri" w:cs="Calibri"/>
                <w:b/>
                <w:i/>
                <w:color w:val="000000"/>
                <w:szCs w:val="22"/>
              </w:rPr>
            </w:pPr>
            <w:r>
              <w:rPr>
                <w:rFonts w:ascii="Calibri" w:hAnsi="Calibri" w:cs="Calibri"/>
                <w:b/>
                <w:i/>
                <w:color w:val="000000"/>
                <w:szCs w:val="22"/>
              </w:rPr>
              <w:t>20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21A5F6" w14:textId="77777777" w:rsidR="00F87636" w:rsidRDefault="00F87636" w:rsidP="00F87636">
            <w:pPr>
              <w:widowControl w:val="0"/>
              <w:jc w:val="center"/>
              <w:rPr>
                <w:rFonts w:ascii="Calibri" w:hAnsi="Calibri" w:cs="Calibri"/>
                <w:b/>
                <w:i/>
                <w:color w:val="000000"/>
                <w:szCs w:val="22"/>
              </w:rPr>
            </w:pPr>
            <w:r>
              <w:rPr>
                <w:rFonts w:ascii="Calibri" w:hAnsi="Calibri" w:cs="Calibri"/>
                <w:b/>
                <w:i/>
                <w:color w:val="000000"/>
                <w:szCs w:val="22"/>
              </w:rPr>
              <w:t>5.1%</w:t>
            </w:r>
          </w:p>
        </w:tc>
      </w:tr>
      <w:tr w:rsidR="00F87636" w14:paraId="2E840ED5"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hideMark/>
          </w:tcPr>
          <w:p w14:paraId="141901EF" w14:textId="77777777" w:rsidR="00F87636" w:rsidRDefault="00F87636" w:rsidP="00F87636">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Administration error</w:t>
            </w:r>
          </w:p>
        </w:tc>
        <w:tc>
          <w:tcPr>
            <w:tcW w:w="1701" w:type="dxa"/>
            <w:tcBorders>
              <w:top w:val="single" w:sz="4" w:space="0" w:color="auto"/>
              <w:left w:val="single" w:sz="4" w:space="0" w:color="auto"/>
              <w:bottom w:val="single" w:sz="4" w:space="0" w:color="auto"/>
              <w:right w:val="single" w:sz="4" w:space="0" w:color="auto"/>
            </w:tcBorders>
            <w:vAlign w:val="center"/>
          </w:tcPr>
          <w:p w14:paraId="1E6BDEE8" w14:textId="77777777" w:rsidR="00F87636" w:rsidRDefault="00F87636" w:rsidP="00F87636">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tcPr>
          <w:p w14:paraId="2B531CC9" w14:textId="77777777" w:rsidR="00F87636" w:rsidRDefault="00F87636" w:rsidP="00F87636">
            <w:pPr>
              <w:jc w:val="center"/>
            </w:pPr>
            <w:r>
              <w:t>0.3%</w:t>
            </w:r>
          </w:p>
        </w:tc>
      </w:tr>
      <w:tr w:rsidR="00F87636" w14:paraId="51D393D2"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hideMark/>
          </w:tcPr>
          <w:p w14:paraId="1B39C39E" w14:textId="77777777" w:rsidR="00F87636" w:rsidRDefault="00F87636" w:rsidP="00F87636">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prescribing</w:t>
            </w:r>
          </w:p>
        </w:tc>
        <w:tc>
          <w:tcPr>
            <w:tcW w:w="1701" w:type="dxa"/>
            <w:tcBorders>
              <w:top w:val="single" w:sz="4" w:space="0" w:color="auto"/>
              <w:left w:val="single" w:sz="4" w:space="0" w:color="auto"/>
              <w:bottom w:val="single" w:sz="4" w:space="0" w:color="auto"/>
              <w:right w:val="single" w:sz="4" w:space="0" w:color="auto"/>
            </w:tcBorders>
            <w:vAlign w:val="center"/>
          </w:tcPr>
          <w:p w14:paraId="12124DC2" w14:textId="77777777" w:rsidR="00F87636" w:rsidRDefault="00F87636" w:rsidP="00F87636">
            <w:pPr>
              <w:widowControl w:val="0"/>
              <w:jc w:val="center"/>
              <w:rPr>
                <w:rFonts w:ascii="Calibri" w:hAnsi="Calibri" w:cs="Calibri"/>
                <w:color w:val="000000"/>
                <w:szCs w:val="22"/>
              </w:rPr>
            </w:pPr>
            <w:r>
              <w:rPr>
                <w:rFonts w:ascii="Calibri" w:hAnsi="Calibri" w:cs="Calibri"/>
                <w:color w:val="000000"/>
                <w:szCs w:val="22"/>
              </w:rPr>
              <w:t>11</w:t>
            </w:r>
          </w:p>
        </w:tc>
        <w:tc>
          <w:tcPr>
            <w:tcW w:w="1418" w:type="dxa"/>
            <w:tcBorders>
              <w:top w:val="single" w:sz="4" w:space="0" w:color="auto"/>
              <w:left w:val="single" w:sz="4" w:space="0" w:color="auto"/>
              <w:bottom w:val="single" w:sz="4" w:space="0" w:color="auto"/>
              <w:right w:val="single" w:sz="4" w:space="0" w:color="auto"/>
            </w:tcBorders>
            <w:vAlign w:val="center"/>
          </w:tcPr>
          <w:p w14:paraId="633DB848" w14:textId="77777777" w:rsidR="00F87636" w:rsidRDefault="00F87636" w:rsidP="00F87636">
            <w:pPr>
              <w:widowControl w:val="0"/>
              <w:jc w:val="center"/>
              <w:rPr>
                <w:rFonts w:ascii="Calibri" w:hAnsi="Calibri" w:cs="Calibri"/>
                <w:color w:val="000000"/>
                <w:szCs w:val="22"/>
              </w:rPr>
            </w:pPr>
            <w:r>
              <w:rPr>
                <w:rFonts w:ascii="Calibri" w:hAnsi="Calibri" w:cs="Calibri"/>
                <w:color w:val="000000"/>
                <w:szCs w:val="22"/>
              </w:rPr>
              <w:t>2.8%</w:t>
            </w:r>
          </w:p>
        </w:tc>
      </w:tr>
      <w:tr w:rsidR="00F87636" w14:paraId="280BAA39"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tcPr>
          <w:p w14:paraId="3CDACE2F" w14:textId="77777777" w:rsidR="00F87636" w:rsidRDefault="00F87636" w:rsidP="00F87636">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Prescribing error</w:t>
            </w:r>
          </w:p>
        </w:tc>
        <w:tc>
          <w:tcPr>
            <w:tcW w:w="1701" w:type="dxa"/>
            <w:tcBorders>
              <w:top w:val="single" w:sz="4" w:space="0" w:color="auto"/>
              <w:left w:val="single" w:sz="4" w:space="0" w:color="auto"/>
              <w:bottom w:val="single" w:sz="4" w:space="0" w:color="auto"/>
              <w:right w:val="single" w:sz="4" w:space="0" w:color="auto"/>
            </w:tcBorders>
            <w:vAlign w:val="center"/>
          </w:tcPr>
          <w:p w14:paraId="3124B452" w14:textId="77777777" w:rsidR="00F87636" w:rsidRDefault="00F87636" w:rsidP="00F87636">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tcPr>
          <w:p w14:paraId="6826800F" w14:textId="77777777" w:rsidR="00F87636" w:rsidRDefault="00F87636" w:rsidP="00F87636">
            <w:pPr>
              <w:jc w:val="center"/>
            </w:pPr>
            <w:r>
              <w:t>0.3%</w:t>
            </w:r>
          </w:p>
        </w:tc>
      </w:tr>
      <w:tr w:rsidR="00F87636" w14:paraId="14B75B82"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hideMark/>
          </w:tcPr>
          <w:p w14:paraId="628E2053" w14:textId="77777777" w:rsidR="00F87636" w:rsidRDefault="00F87636" w:rsidP="00F87636">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Refusal to prescribe/dispense/supply</w:t>
            </w:r>
          </w:p>
        </w:tc>
        <w:tc>
          <w:tcPr>
            <w:tcW w:w="1701" w:type="dxa"/>
            <w:tcBorders>
              <w:top w:val="single" w:sz="4" w:space="0" w:color="auto"/>
              <w:left w:val="single" w:sz="4" w:space="0" w:color="auto"/>
              <w:bottom w:val="single" w:sz="4" w:space="0" w:color="auto"/>
              <w:right w:val="single" w:sz="4" w:space="0" w:color="auto"/>
            </w:tcBorders>
            <w:vAlign w:val="center"/>
          </w:tcPr>
          <w:p w14:paraId="017B0545" w14:textId="77777777" w:rsidR="00F87636" w:rsidRDefault="00F87636" w:rsidP="00F87636">
            <w:pPr>
              <w:widowControl w:val="0"/>
              <w:jc w:val="center"/>
              <w:rPr>
                <w:rFonts w:ascii="Calibri" w:hAnsi="Calibri" w:cs="Calibri"/>
                <w:color w:val="000000"/>
                <w:szCs w:val="22"/>
              </w:rPr>
            </w:pPr>
            <w:r>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tcPr>
          <w:p w14:paraId="6785D7DE" w14:textId="77777777" w:rsidR="00F87636" w:rsidRDefault="00F87636" w:rsidP="00F87636">
            <w:pPr>
              <w:jc w:val="center"/>
            </w:pPr>
            <w:r>
              <w:t>1.8%</w:t>
            </w:r>
          </w:p>
        </w:tc>
      </w:tr>
      <w:tr w:rsidR="00F87636" w14:paraId="2205694C"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3E52D5" w14:textId="77777777" w:rsidR="00F87636" w:rsidRDefault="00F87636" w:rsidP="00F87636">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Reports/certificates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FC8F98" w14:textId="3E7C5E00" w:rsidR="00F87636" w:rsidRDefault="0043728B" w:rsidP="00F87636">
            <w:pPr>
              <w:widowControl w:val="0"/>
              <w:jc w:val="center"/>
              <w:rPr>
                <w:rFonts w:ascii="Calibri" w:hAnsi="Calibri" w:cs="Calibri"/>
                <w:b/>
                <w:i/>
                <w:color w:val="000000"/>
                <w:szCs w:val="22"/>
              </w:rPr>
            </w:pPr>
            <w:r>
              <w:rPr>
                <w:rFonts w:ascii="Calibri" w:hAnsi="Calibri" w:cs="Calibri"/>
                <w:b/>
                <w:i/>
                <w:color w:val="000000"/>
                <w:szCs w:val="22"/>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1D885E" w14:textId="61205D65" w:rsidR="00F87636" w:rsidRDefault="009F42AE" w:rsidP="00F87636">
            <w:pPr>
              <w:widowControl w:val="0"/>
              <w:jc w:val="center"/>
              <w:rPr>
                <w:rFonts w:ascii="Calibri" w:hAnsi="Calibri" w:cs="Calibri"/>
                <w:b/>
                <w:i/>
                <w:color w:val="000000"/>
                <w:szCs w:val="22"/>
              </w:rPr>
            </w:pPr>
            <w:r>
              <w:rPr>
                <w:rFonts w:ascii="Calibri" w:hAnsi="Calibri" w:cs="Calibri"/>
                <w:b/>
                <w:i/>
                <w:color w:val="000000"/>
                <w:szCs w:val="22"/>
              </w:rPr>
              <w:t>1.3</w:t>
            </w:r>
            <w:r w:rsidR="00F87636">
              <w:rPr>
                <w:rFonts w:ascii="Calibri" w:hAnsi="Calibri" w:cs="Calibri"/>
                <w:b/>
                <w:i/>
                <w:color w:val="000000"/>
                <w:szCs w:val="22"/>
              </w:rPr>
              <w:t>%</w:t>
            </w:r>
          </w:p>
        </w:tc>
      </w:tr>
      <w:tr w:rsidR="00F87636" w14:paraId="3E5A457D"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44A558B5" w14:textId="77777777" w:rsidR="00F87636" w:rsidRDefault="00F87636" w:rsidP="00F87636">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Inaccurate report/certificate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648F844" w14:textId="411C95ED" w:rsidR="00F87636" w:rsidRPr="004D62A7" w:rsidRDefault="0043728B" w:rsidP="00F87636">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68FA62" w14:textId="38AB5C5E" w:rsidR="00F87636" w:rsidRPr="00F16F2F" w:rsidRDefault="009F42AE" w:rsidP="00F87636">
            <w:pPr>
              <w:widowControl w:val="0"/>
              <w:jc w:val="center"/>
              <w:rPr>
                <w:rFonts w:ascii="Calibri" w:hAnsi="Calibri" w:cs="Calibri"/>
                <w:color w:val="000000"/>
                <w:szCs w:val="22"/>
              </w:rPr>
            </w:pPr>
            <w:r>
              <w:rPr>
                <w:rFonts w:ascii="Calibri" w:hAnsi="Calibri" w:cs="Calibri"/>
                <w:color w:val="000000"/>
                <w:szCs w:val="22"/>
              </w:rPr>
              <w:t>0.7</w:t>
            </w:r>
            <w:r w:rsidR="00F87636">
              <w:rPr>
                <w:rFonts w:ascii="Calibri" w:hAnsi="Calibri" w:cs="Calibri"/>
                <w:color w:val="000000"/>
                <w:szCs w:val="22"/>
              </w:rPr>
              <w:t>%</w:t>
            </w:r>
          </w:p>
        </w:tc>
      </w:tr>
      <w:tr w:rsidR="00F87636" w14:paraId="0B6CEDD7"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2828959E" w14:textId="77777777" w:rsidR="00F87636" w:rsidRDefault="00F87636" w:rsidP="00F87636">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Refusal to complete report/certificate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0093A2" w14:textId="77777777" w:rsidR="00F87636" w:rsidRDefault="00F87636" w:rsidP="00F87636">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2C8166" w14:textId="77777777" w:rsidR="00F87636" w:rsidRPr="00F16F2F" w:rsidRDefault="00F87636" w:rsidP="00F87636">
            <w:pPr>
              <w:widowControl w:val="0"/>
              <w:jc w:val="center"/>
              <w:rPr>
                <w:rFonts w:ascii="Calibri" w:hAnsi="Calibri" w:cs="Calibri"/>
                <w:color w:val="000000"/>
                <w:szCs w:val="22"/>
              </w:rPr>
            </w:pPr>
            <w:r>
              <w:rPr>
                <w:rFonts w:ascii="Calibri" w:hAnsi="Calibri" w:cs="Calibri"/>
                <w:color w:val="000000"/>
                <w:szCs w:val="22"/>
              </w:rPr>
              <w:t>0.5%</w:t>
            </w:r>
          </w:p>
        </w:tc>
      </w:tr>
      <w:tr w:rsidR="00F87636" w14:paraId="78FB9BB9"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ED0507" w14:textId="77777777" w:rsidR="00F87636" w:rsidRDefault="00F87636" w:rsidP="00F87636">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Other professional conduct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E6D906" w14:textId="77777777" w:rsidR="00F87636" w:rsidRDefault="00F87636" w:rsidP="00F87636">
            <w:pPr>
              <w:widowControl w:val="0"/>
              <w:jc w:val="center"/>
              <w:rPr>
                <w:rFonts w:ascii="Calibri" w:hAnsi="Calibri" w:cs="Calibri"/>
                <w:b/>
                <w:i/>
                <w:color w:val="000000"/>
                <w:szCs w:val="22"/>
              </w:rPr>
            </w:pPr>
            <w:r>
              <w:rPr>
                <w:rFonts w:ascii="Calibri" w:hAnsi="Calibri" w:cs="Calibri"/>
                <w:b/>
                <w:i/>
                <w:color w:val="000000"/>
                <w:szCs w:val="22"/>
              </w:rPr>
              <w:t>14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20A235" w14:textId="77777777" w:rsidR="00F87636" w:rsidRDefault="00F87636" w:rsidP="00F87636">
            <w:pPr>
              <w:widowControl w:val="0"/>
              <w:jc w:val="center"/>
              <w:rPr>
                <w:rFonts w:ascii="Calibri" w:hAnsi="Calibri" w:cs="Calibri"/>
                <w:b/>
                <w:i/>
                <w:color w:val="000000"/>
                <w:szCs w:val="22"/>
              </w:rPr>
            </w:pPr>
            <w:r>
              <w:rPr>
                <w:rFonts w:ascii="Calibri" w:hAnsi="Calibri" w:cs="Calibri"/>
                <w:b/>
                <w:i/>
                <w:color w:val="000000"/>
                <w:szCs w:val="22"/>
              </w:rPr>
              <w:t>3.6%</w:t>
            </w:r>
          </w:p>
        </w:tc>
      </w:tr>
      <w:tr w:rsidR="00F87636" w14:paraId="45F0000F"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tcPr>
          <w:p w14:paraId="67920B8E" w14:textId="77777777" w:rsidR="00F87636" w:rsidRDefault="00F87636" w:rsidP="00F87636">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Disrespectful behaviour</w:t>
            </w:r>
          </w:p>
        </w:tc>
        <w:tc>
          <w:tcPr>
            <w:tcW w:w="1701" w:type="dxa"/>
            <w:tcBorders>
              <w:top w:val="single" w:sz="4" w:space="0" w:color="auto"/>
              <w:left w:val="single" w:sz="4" w:space="0" w:color="auto"/>
              <w:bottom w:val="single" w:sz="4" w:space="0" w:color="auto"/>
              <w:right w:val="single" w:sz="4" w:space="0" w:color="auto"/>
            </w:tcBorders>
            <w:vAlign w:val="center"/>
          </w:tcPr>
          <w:p w14:paraId="68D23075" w14:textId="77777777" w:rsidR="00F87636" w:rsidRDefault="00F87636" w:rsidP="00F87636">
            <w:pPr>
              <w:widowControl w:val="0"/>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14:paraId="6299EB98" w14:textId="77777777" w:rsidR="00F87636" w:rsidRDefault="00F87636" w:rsidP="00F87636">
            <w:pPr>
              <w:widowControl w:val="0"/>
              <w:jc w:val="center"/>
              <w:rPr>
                <w:rFonts w:ascii="Calibri" w:hAnsi="Calibri" w:cs="Calibri"/>
                <w:color w:val="000000"/>
                <w:szCs w:val="22"/>
              </w:rPr>
            </w:pPr>
            <w:r>
              <w:rPr>
                <w:rFonts w:ascii="Calibri" w:hAnsi="Calibri" w:cs="Calibri"/>
                <w:color w:val="000000"/>
                <w:szCs w:val="22"/>
              </w:rPr>
              <w:t>1.3%</w:t>
            </w:r>
          </w:p>
        </w:tc>
      </w:tr>
      <w:tr w:rsidR="00F87636" w14:paraId="3AAA63F2"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hideMark/>
          </w:tcPr>
          <w:p w14:paraId="233F1120" w14:textId="77777777" w:rsidR="00F87636" w:rsidRDefault="00F87636" w:rsidP="00F87636">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collection/use/disclosure of information</w:t>
            </w:r>
          </w:p>
        </w:tc>
        <w:tc>
          <w:tcPr>
            <w:tcW w:w="1701" w:type="dxa"/>
            <w:tcBorders>
              <w:top w:val="single" w:sz="4" w:space="0" w:color="auto"/>
              <w:left w:val="single" w:sz="4" w:space="0" w:color="auto"/>
              <w:bottom w:val="single" w:sz="4" w:space="0" w:color="auto"/>
              <w:right w:val="single" w:sz="4" w:space="0" w:color="auto"/>
            </w:tcBorders>
            <w:vAlign w:val="center"/>
          </w:tcPr>
          <w:p w14:paraId="4580ABA7" w14:textId="77777777" w:rsidR="00F87636" w:rsidRDefault="00F87636" w:rsidP="00F87636">
            <w:pPr>
              <w:widowControl w:val="0"/>
              <w:jc w:val="center"/>
              <w:rPr>
                <w:rFonts w:ascii="Calibri" w:hAnsi="Calibri" w:cs="Calibri"/>
                <w:color w:val="000000"/>
                <w:szCs w:val="22"/>
              </w:rPr>
            </w:pPr>
            <w:r>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tcPr>
          <w:p w14:paraId="7445F3E4" w14:textId="77777777" w:rsidR="00F87636" w:rsidRDefault="00F87636" w:rsidP="00F87636">
            <w:pPr>
              <w:jc w:val="center"/>
            </w:pPr>
            <w:r>
              <w:t>1.8%</w:t>
            </w:r>
          </w:p>
        </w:tc>
      </w:tr>
      <w:tr w:rsidR="00F87636" w14:paraId="438AC623"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tcPr>
          <w:p w14:paraId="35C906F8" w14:textId="77777777" w:rsidR="00F87636" w:rsidRDefault="00F87636" w:rsidP="00F87636">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 xml:space="preserve">Other </w:t>
            </w:r>
          </w:p>
        </w:tc>
        <w:tc>
          <w:tcPr>
            <w:tcW w:w="1701" w:type="dxa"/>
            <w:tcBorders>
              <w:top w:val="single" w:sz="4" w:space="0" w:color="auto"/>
              <w:left w:val="single" w:sz="4" w:space="0" w:color="auto"/>
              <w:bottom w:val="single" w:sz="4" w:space="0" w:color="auto"/>
              <w:right w:val="single" w:sz="4" w:space="0" w:color="auto"/>
            </w:tcBorders>
            <w:vAlign w:val="center"/>
          </w:tcPr>
          <w:p w14:paraId="7C1D1994" w14:textId="77777777" w:rsidR="00F87636" w:rsidRDefault="00F87636" w:rsidP="00F87636">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14:paraId="036B3988" w14:textId="77777777" w:rsidR="00F87636" w:rsidRDefault="00F87636" w:rsidP="00F87636">
            <w:pPr>
              <w:jc w:val="center"/>
            </w:pPr>
            <w:r>
              <w:t>0.5%</w:t>
            </w:r>
          </w:p>
        </w:tc>
      </w:tr>
      <w:tr w:rsidR="00F87636" w14:paraId="2DB2FDC2"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DFFB3D" w14:textId="77777777" w:rsidR="00F87636" w:rsidRDefault="00F87636" w:rsidP="00F87636">
            <w:pPr>
              <w:widowControl w:val="0"/>
              <w:tabs>
                <w:tab w:val="left" w:pos="176"/>
                <w:tab w:val="left" w:pos="1440"/>
                <w:tab w:val="decimal" w:pos="4320"/>
              </w:tabs>
              <w:outlineLvl w:val="0"/>
              <w:rPr>
                <w:rFonts w:ascii="Calibri" w:hAnsi="Calibri"/>
                <w:b/>
                <w:i/>
                <w:szCs w:val="22"/>
              </w:rPr>
            </w:pPr>
            <w:r>
              <w:rPr>
                <w:rFonts w:ascii="Calibri" w:hAnsi="Calibri"/>
                <w:b/>
                <w:i/>
                <w:szCs w:val="22"/>
              </w:rPr>
              <w:t>Disability-related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B63AC9" w14:textId="77777777" w:rsidR="00F87636" w:rsidRDefault="00F87636" w:rsidP="00F87636">
            <w:pPr>
              <w:widowControl w:val="0"/>
              <w:jc w:val="center"/>
              <w:rPr>
                <w:rFonts w:ascii="Calibri" w:hAnsi="Calibri" w:cs="Calibri"/>
                <w:b/>
                <w:i/>
                <w:color w:val="000000"/>
                <w:szCs w:val="22"/>
              </w:rPr>
            </w:pPr>
            <w:r>
              <w:rPr>
                <w:rFonts w:ascii="Calibri" w:hAnsi="Calibri" w:cs="Calibri"/>
                <w:b/>
                <w:i/>
                <w:color w:val="000000"/>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FA12E0" w14:textId="77777777" w:rsidR="00F87636" w:rsidRPr="00756A8F" w:rsidRDefault="00F87636" w:rsidP="00F87636">
            <w:pPr>
              <w:widowControl w:val="0"/>
              <w:jc w:val="center"/>
              <w:rPr>
                <w:rFonts w:ascii="Calibri" w:hAnsi="Calibri" w:cs="Calibri"/>
                <w:b/>
                <w:i/>
                <w:color w:val="000000"/>
                <w:szCs w:val="22"/>
              </w:rPr>
            </w:pPr>
            <w:r>
              <w:rPr>
                <w:rFonts w:ascii="Calibri" w:hAnsi="Calibri" w:cs="Calibri"/>
                <w:b/>
                <w:i/>
                <w:color w:val="000000"/>
                <w:szCs w:val="22"/>
              </w:rPr>
              <w:t>0.5%</w:t>
            </w:r>
          </w:p>
        </w:tc>
      </w:tr>
      <w:tr w:rsidR="00F87636" w14:paraId="5163D9F1"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DC1FC" w14:textId="77777777" w:rsidR="00F87636" w:rsidRDefault="00F87636" w:rsidP="00F87636">
            <w:pPr>
              <w:widowControl w:val="0"/>
              <w:tabs>
                <w:tab w:val="left" w:pos="176"/>
                <w:tab w:val="left" w:pos="1440"/>
                <w:tab w:val="decimal" w:pos="4320"/>
              </w:tabs>
              <w:outlineLvl w:val="0"/>
              <w:rPr>
                <w:rFonts w:ascii="Calibri" w:hAnsi="Calibri"/>
                <w:b/>
                <w:i/>
                <w:szCs w:val="22"/>
              </w:rPr>
            </w:pPr>
            <w:r>
              <w:rPr>
                <w:rFonts w:ascii="Calibri" w:hAnsi="Calibri"/>
                <w:b/>
                <w:i/>
                <w:szCs w:val="22"/>
              </w:rPr>
              <w:t>Issues regarding right to support person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C7B776" w14:textId="77777777" w:rsidR="00F87636" w:rsidRDefault="00F87636" w:rsidP="00F87636">
            <w:pPr>
              <w:widowControl w:val="0"/>
              <w:jc w:val="center"/>
              <w:rPr>
                <w:rFonts w:ascii="Calibri" w:hAnsi="Calibri" w:cs="Calibri"/>
                <w:b/>
                <w:i/>
                <w:color w:val="000000"/>
                <w:szCs w:val="22"/>
              </w:rPr>
            </w:pPr>
            <w:r>
              <w:rPr>
                <w:rFonts w:ascii="Calibri" w:hAnsi="Calibri" w:cs="Calibri"/>
                <w:b/>
                <w:i/>
                <w:color w:val="000000"/>
                <w:szCs w:val="22"/>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D61EAF" w14:textId="77777777" w:rsidR="00F87636" w:rsidRDefault="00F87636" w:rsidP="00F87636">
            <w:pPr>
              <w:widowControl w:val="0"/>
              <w:jc w:val="center"/>
              <w:rPr>
                <w:rFonts w:ascii="Calibri" w:hAnsi="Calibri" w:cs="Calibri"/>
                <w:b/>
                <w:i/>
                <w:color w:val="000000"/>
                <w:szCs w:val="22"/>
              </w:rPr>
            </w:pPr>
            <w:r>
              <w:rPr>
                <w:rFonts w:ascii="Calibri" w:hAnsi="Calibri" w:cs="Calibri"/>
                <w:b/>
                <w:i/>
                <w:color w:val="000000"/>
                <w:szCs w:val="22"/>
              </w:rPr>
              <w:t>1.0%</w:t>
            </w:r>
          </w:p>
        </w:tc>
      </w:tr>
      <w:tr w:rsidR="00F87636" w14:paraId="3EAE1D21"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ACDF7E" w14:textId="77777777" w:rsidR="00F87636" w:rsidRDefault="00F87636" w:rsidP="00F87636">
            <w:pPr>
              <w:widowControl w:val="0"/>
              <w:tabs>
                <w:tab w:val="left" w:pos="176"/>
                <w:tab w:val="left" w:pos="1440"/>
                <w:tab w:val="decimal" w:pos="4320"/>
              </w:tabs>
              <w:outlineLvl w:val="0"/>
              <w:rPr>
                <w:rFonts w:ascii="Calibri" w:hAnsi="Calibri"/>
                <w:b/>
                <w:i/>
                <w:szCs w:val="22"/>
              </w:rPr>
            </w:pPr>
            <w:r>
              <w:rPr>
                <w:rFonts w:ascii="Calibri" w:hAnsi="Calibri"/>
                <w:b/>
                <w:i/>
                <w:szCs w:val="22"/>
              </w:rPr>
              <w:t>Other</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06E906" w14:textId="77777777" w:rsidR="00F87636" w:rsidRDefault="00F87636" w:rsidP="00F87636">
            <w:pPr>
              <w:widowControl w:val="0"/>
              <w:jc w:val="center"/>
              <w:rPr>
                <w:rFonts w:ascii="Calibri" w:hAnsi="Calibri" w:cs="Calibri"/>
                <w:b/>
                <w:i/>
                <w:color w:val="000000"/>
                <w:szCs w:val="22"/>
              </w:rPr>
            </w:pPr>
            <w:r>
              <w:rPr>
                <w:rFonts w:ascii="Calibri" w:hAnsi="Calibri" w:cs="Calibri"/>
                <w:b/>
                <w:i/>
                <w:color w:val="000000"/>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65596" w14:textId="77777777" w:rsidR="00F87636" w:rsidRDefault="00F87636" w:rsidP="00F87636">
            <w:pPr>
              <w:widowControl w:val="0"/>
              <w:jc w:val="center"/>
              <w:rPr>
                <w:rFonts w:ascii="Calibri" w:hAnsi="Calibri" w:cs="Calibri"/>
                <w:b/>
                <w:i/>
                <w:color w:val="000000"/>
                <w:szCs w:val="22"/>
              </w:rPr>
            </w:pPr>
            <w:r>
              <w:rPr>
                <w:rFonts w:ascii="Calibri" w:hAnsi="Calibri" w:cs="Calibri"/>
                <w:b/>
                <w:i/>
                <w:color w:val="000000"/>
                <w:szCs w:val="22"/>
              </w:rPr>
              <w:t>0.5%</w:t>
            </w:r>
          </w:p>
        </w:tc>
      </w:tr>
      <w:tr w:rsidR="00F87636" w14:paraId="54334FFB" w14:textId="77777777" w:rsidTr="0078382D">
        <w:trPr>
          <w:trHeight w:val="70"/>
        </w:trPr>
        <w:tc>
          <w:tcPr>
            <w:tcW w:w="5670" w:type="dxa"/>
            <w:tcBorders>
              <w:top w:val="single" w:sz="4" w:space="0" w:color="auto"/>
              <w:left w:val="single" w:sz="4" w:space="0" w:color="auto"/>
              <w:bottom w:val="single" w:sz="4" w:space="0" w:color="auto"/>
              <w:right w:val="single" w:sz="4" w:space="0" w:color="auto"/>
            </w:tcBorders>
            <w:shd w:val="clear" w:color="auto" w:fill="C00000"/>
            <w:hideMark/>
          </w:tcPr>
          <w:p w14:paraId="38A05953" w14:textId="77777777" w:rsidR="00F87636" w:rsidRDefault="00F87636" w:rsidP="00F87636">
            <w:pPr>
              <w:widowControl w:val="0"/>
              <w:tabs>
                <w:tab w:val="left" w:pos="176"/>
                <w:tab w:val="left" w:pos="1440"/>
                <w:tab w:val="decimal" w:pos="4320"/>
              </w:tabs>
              <w:jc w:val="left"/>
              <w:outlineLvl w:val="0"/>
              <w:rPr>
                <w:rFonts w:ascii="Calibri" w:hAnsi="Calibri"/>
                <w:b/>
                <w:szCs w:val="22"/>
              </w:rPr>
            </w:pPr>
            <w:r>
              <w:rPr>
                <w:rFonts w:ascii="Calibri" w:hAnsi="Calibri"/>
                <w:b/>
                <w:szCs w:val="22"/>
              </w:rPr>
              <w:t>TOTAL</w:t>
            </w:r>
          </w:p>
        </w:tc>
        <w:tc>
          <w:tcPr>
            <w:tcW w:w="1701" w:type="dxa"/>
            <w:tcBorders>
              <w:top w:val="single" w:sz="4" w:space="0" w:color="auto"/>
              <w:left w:val="single" w:sz="4" w:space="0" w:color="auto"/>
              <w:bottom w:val="single" w:sz="4" w:space="0" w:color="auto"/>
              <w:right w:val="single" w:sz="4" w:space="0" w:color="auto"/>
            </w:tcBorders>
            <w:shd w:val="clear" w:color="auto" w:fill="C00000"/>
            <w:vAlign w:val="center"/>
          </w:tcPr>
          <w:p w14:paraId="7A8F92ED" w14:textId="4B13D9D6" w:rsidR="00F87636" w:rsidRDefault="00012CBB" w:rsidP="00F87636">
            <w:pPr>
              <w:widowControl w:val="0"/>
              <w:jc w:val="center"/>
              <w:rPr>
                <w:rFonts w:ascii="Calibri" w:hAnsi="Calibri" w:cs="Calibri"/>
                <w:b/>
                <w:color w:val="000000"/>
                <w:szCs w:val="22"/>
              </w:rPr>
            </w:pPr>
            <w:r w:rsidRPr="00CF6D9B">
              <w:rPr>
                <w:rFonts w:ascii="Calibri" w:hAnsi="Calibri" w:cs="Calibri"/>
                <w:b/>
                <w:color w:val="FFFFFF" w:themeColor="background1"/>
                <w:szCs w:val="22"/>
              </w:rPr>
              <w:t>392</w:t>
            </w:r>
          </w:p>
        </w:tc>
        <w:tc>
          <w:tcPr>
            <w:tcW w:w="1418" w:type="dxa"/>
            <w:tcBorders>
              <w:top w:val="single" w:sz="4" w:space="0" w:color="auto"/>
              <w:left w:val="single" w:sz="4" w:space="0" w:color="auto"/>
              <w:bottom w:val="single" w:sz="4" w:space="0" w:color="auto"/>
              <w:right w:val="single" w:sz="4" w:space="0" w:color="auto"/>
            </w:tcBorders>
            <w:shd w:val="clear" w:color="auto" w:fill="C00000"/>
            <w:vAlign w:val="center"/>
          </w:tcPr>
          <w:p w14:paraId="71047CC4" w14:textId="77777777" w:rsidR="00F87636" w:rsidRDefault="00F87636" w:rsidP="00F87636">
            <w:pPr>
              <w:widowControl w:val="0"/>
              <w:jc w:val="center"/>
              <w:rPr>
                <w:rFonts w:ascii="Calibri" w:hAnsi="Calibri" w:cs="Calibri"/>
                <w:b/>
                <w:color w:val="000000"/>
                <w:szCs w:val="22"/>
              </w:rPr>
            </w:pPr>
          </w:p>
        </w:tc>
      </w:tr>
    </w:tbl>
    <w:p w14:paraId="0FE6A89B" w14:textId="1B537AE9" w:rsidR="00F87636" w:rsidRDefault="00F87636" w:rsidP="00F87636">
      <w:pPr>
        <w:tabs>
          <w:tab w:val="left" w:pos="426"/>
        </w:tabs>
      </w:pPr>
    </w:p>
    <w:p w14:paraId="578704F0" w14:textId="77777777" w:rsidR="00EC04B3" w:rsidRDefault="00EC04B3" w:rsidP="00CC0F87">
      <w:pPr>
        <w:spacing w:before="480" w:after="240"/>
      </w:pPr>
      <w:r>
        <w:br w:type="page"/>
      </w:r>
    </w:p>
    <w:p w14:paraId="41D35419" w14:textId="5984D25C" w:rsidR="00841E1C" w:rsidRDefault="0086165A" w:rsidP="0078382D">
      <w:pPr>
        <w:spacing w:before="480" w:after="240"/>
      </w:pPr>
      <w:r>
        <w:lastRenderedPageBreak/>
        <w:t>Table 8</w:t>
      </w:r>
      <w:r w:rsidR="00841E1C">
        <w:t xml:space="preserve"> shows a comparison over time for the top five primary issues complained about. </w:t>
      </w:r>
    </w:p>
    <w:p w14:paraId="6D03351C" w14:textId="5E9F488E" w:rsidR="00F87636" w:rsidRDefault="00F87636" w:rsidP="0078382D">
      <w:pPr>
        <w:spacing w:after="480"/>
      </w:pPr>
      <w:r>
        <w:t>In Jan–Jun 2020, lack of access to service</w:t>
      </w:r>
      <w:r w:rsidR="0001347E">
        <w:t>s</w:t>
      </w:r>
      <w:r>
        <w:t xml:space="preserve"> became the most commonly complained about primary issue for the first time</w:t>
      </w:r>
      <w:r w:rsidR="000D5357">
        <w:t>, increasing from being the primary issue in around 7</w:t>
      </w:r>
      <w:r w:rsidR="00CC0F87">
        <w:t>–</w:t>
      </w:r>
      <w:r w:rsidR="000D5357">
        <w:t xml:space="preserve">8% of complaints received in previous periods to 12% of complaints in Jan–Jun </w:t>
      </w:r>
      <w:r w:rsidR="00CC0F87">
        <w:t>20</w:t>
      </w:r>
      <w:r w:rsidR="000D5357">
        <w:t xml:space="preserve">20. This may </w:t>
      </w:r>
      <w:r w:rsidR="00CF6D9B">
        <w:t xml:space="preserve">be due to </w:t>
      </w:r>
      <w:r w:rsidR="00EF6752">
        <w:t xml:space="preserve">restricted </w:t>
      </w:r>
      <w:r w:rsidR="00CF6D9B">
        <w:t>access to many services during the COVID-19 emergency response</w:t>
      </w:r>
      <w:r w:rsidR="000D5357">
        <w:t xml:space="preserve">. </w:t>
      </w:r>
    </w:p>
    <w:p w14:paraId="634E1833" w14:textId="327D7105" w:rsidR="00841E1C" w:rsidRDefault="0086165A" w:rsidP="00841E1C">
      <w:pPr>
        <w:spacing w:after="120"/>
      </w:pPr>
      <w:r>
        <w:rPr>
          <w:b/>
        </w:rPr>
        <w:t>Table 8</w:t>
      </w:r>
      <w:r w:rsidR="00841E1C">
        <w:rPr>
          <w:b/>
        </w:rPr>
        <w:t xml:space="preserve">. </w:t>
      </w:r>
      <w:r w:rsidR="00841E1C">
        <w:t>Top five primary issues in complaints received over the last four six-month periods</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562"/>
        <w:gridCol w:w="1625"/>
        <w:gridCol w:w="562"/>
        <w:gridCol w:w="1630"/>
        <w:gridCol w:w="562"/>
        <w:gridCol w:w="1676"/>
        <w:gridCol w:w="677"/>
      </w:tblGrid>
      <w:tr w:rsidR="00A16504" w14:paraId="222B083B" w14:textId="77777777" w:rsidTr="0078382D">
        <w:trPr>
          <w:tblHeader/>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5D79BBEB" w14:textId="77777777" w:rsidR="00A16504" w:rsidRDefault="00A16504" w:rsidP="00A16504">
            <w:pPr>
              <w:keepNext/>
              <w:keepLines/>
              <w:tabs>
                <w:tab w:val="left" w:pos="1440"/>
                <w:tab w:val="decimal" w:pos="4320"/>
              </w:tabs>
              <w:spacing w:before="120" w:after="120"/>
              <w:jc w:val="center"/>
              <w:outlineLvl w:val="0"/>
              <w:rPr>
                <w:rFonts w:ascii="Calibri" w:hAnsi="Calibri"/>
                <w:b/>
              </w:rPr>
            </w:pPr>
            <w:r>
              <w:rPr>
                <w:rFonts w:ascii="Calibri" w:hAnsi="Calibri"/>
                <w:b/>
                <w:szCs w:val="22"/>
              </w:rPr>
              <w:t xml:space="preserve">Top five primary issues in all complaints </w:t>
            </w:r>
            <w:r>
              <w:rPr>
                <w:rFonts w:ascii="Calibri" w:hAnsi="Calibri"/>
                <w:szCs w:val="22"/>
              </w:rPr>
              <w:t>(%)</w:t>
            </w:r>
          </w:p>
        </w:tc>
      </w:tr>
      <w:tr w:rsidR="00A16504" w14:paraId="12EDF5EA" w14:textId="77777777" w:rsidTr="0078382D">
        <w:tc>
          <w:tcPr>
            <w:tcW w:w="1229" w:type="pct"/>
            <w:gridSpan w:val="2"/>
            <w:tcBorders>
              <w:top w:val="single" w:sz="4" w:space="0" w:color="auto"/>
              <w:left w:val="single" w:sz="4" w:space="0" w:color="auto"/>
              <w:bottom w:val="single" w:sz="4" w:space="0" w:color="auto"/>
              <w:right w:val="single" w:sz="4" w:space="0" w:color="auto"/>
            </w:tcBorders>
            <w:shd w:val="clear" w:color="auto" w:fill="C00000"/>
            <w:hideMark/>
          </w:tcPr>
          <w:p w14:paraId="3AA21F76" w14:textId="77777777" w:rsidR="00F87636" w:rsidRDefault="00F87636" w:rsidP="00F87636">
            <w:pPr>
              <w:keepNext/>
              <w:keepLines/>
              <w:tabs>
                <w:tab w:val="left" w:pos="1440"/>
                <w:tab w:val="decimal" w:pos="4320"/>
              </w:tabs>
              <w:ind w:firstLine="152"/>
              <w:jc w:val="center"/>
              <w:outlineLvl w:val="0"/>
              <w:rPr>
                <w:rFonts w:ascii="Calibri" w:hAnsi="Calibri"/>
                <w:b/>
              </w:rPr>
            </w:pPr>
            <w:r>
              <w:rPr>
                <w:rFonts w:ascii="Calibri" w:hAnsi="Calibri"/>
                <w:b/>
                <w:szCs w:val="22"/>
              </w:rPr>
              <w:t>Jul–Dec 18</w:t>
            </w:r>
          </w:p>
          <w:p w14:paraId="3677D793" w14:textId="789DB2D4" w:rsidR="00A16504" w:rsidRDefault="00F87636" w:rsidP="00F87636">
            <w:pPr>
              <w:keepNext/>
              <w:keepLines/>
              <w:tabs>
                <w:tab w:val="left" w:pos="1440"/>
                <w:tab w:val="decimal" w:pos="4320"/>
              </w:tabs>
              <w:ind w:left="139" w:right="10" w:firstLine="13"/>
              <w:jc w:val="center"/>
              <w:outlineLvl w:val="0"/>
              <w:rPr>
                <w:rFonts w:ascii="Calibri" w:hAnsi="Calibri"/>
                <w:b/>
                <w:szCs w:val="22"/>
              </w:rPr>
            </w:pPr>
            <w:r>
              <w:rPr>
                <w:rFonts w:ascii="Calibri" w:hAnsi="Calibri"/>
                <w:b/>
                <w:szCs w:val="22"/>
              </w:rPr>
              <w:t>n=442</w:t>
            </w:r>
          </w:p>
        </w:tc>
        <w:tc>
          <w:tcPr>
            <w:tcW w:w="1225" w:type="pct"/>
            <w:gridSpan w:val="2"/>
            <w:tcBorders>
              <w:top w:val="single" w:sz="4" w:space="0" w:color="auto"/>
              <w:left w:val="single" w:sz="4" w:space="0" w:color="auto"/>
              <w:bottom w:val="single" w:sz="4" w:space="0" w:color="auto"/>
              <w:right w:val="single" w:sz="4" w:space="0" w:color="auto"/>
            </w:tcBorders>
            <w:shd w:val="clear" w:color="auto" w:fill="C00000"/>
            <w:hideMark/>
          </w:tcPr>
          <w:p w14:paraId="213D38EF" w14:textId="77777777" w:rsidR="00F87636" w:rsidRDefault="00F87636" w:rsidP="00F87636">
            <w:pPr>
              <w:keepNext/>
              <w:keepLines/>
              <w:tabs>
                <w:tab w:val="left" w:pos="1440"/>
                <w:tab w:val="decimal" w:pos="4320"/>
              </w:tabs>
              <w:ind w:firstLine="152"/>
              <w:jc w:val="center"/>
              <w:outlineLvl w:val="0"/>
              <w:rPr>
                <w:rFonts w:ascii="Calibri" w:hAnsi="Calibri"/>
                <w:b/>
              </w:rPr>
            </w:pPr>
            <w:r>
              <w:rPr>
                <w:rFonts w:ascii="Calibri" w:hAnsi="Calibri"/>
                <w:b/>
                <w:szCs w:val="22"/>
              </w:rPr>
              <w:t>Jan–Jun 19</w:t>
            </w:r>
          </w:p>
          <w:p w14:paraId="497F3944" w14:textId="44BDEE82" w:rsidR="00A16504" w:rsidRDefault="00F87636" w:rsidP="00F87636">
            <w:pPr>
              <w:keepNext/>
              <w:keepLines/>
              <w:tabs>
                <w:tab w:val="left" w:pos="1440"/>
                <w:tab w:val="decimal" w:pos="4320"/>
              </w:tabs>
              <w:ind w:left="139" w:right="10" w:firstLine="13"/>
              <w:jc w:val="center"/>
              <w:outlineLvl w:val="0"/>
              <w:rPr>
                <w:rFonts w:ascii="Calibri" w:hAnsi="Calibri"/>
                <w:b/>
                <w:szCs w:val="22"/>
              </w:rPr>
            </w:pPr>
            <w:r>
              <w:rPr>
                <w:rFonts w:ascii="Calibri" w:hAnsi="Calibri"/>
                <w:b/>
                <w:szCs w:val="22"/>
              </w:rPr>
              <w:t>n=427</w:t>
            </w:r>
          </w:p>
        </w:tc>
        <w:tc>
          <w:tcPr>
            <w:tcW w:w="1228" w:type="pct"/>
            <w:gridSpan w:val="2"/>
            <w:tcBorders>
              <w:top w:val="single" w:sz="4" w:space="0" w:color="auto"/>
              <w:left w:val="single" w:sz="4" w:space="0" w:color="auto"/>
              <w:bottom w:val="single" w:sz="4" w:space="0" w:color="auto"/>
              <w:right w:val="single" w:sz="4" w:space="0" w:color="auto"/>
            </w:tcBorders>
            <w:shd w:val="clear" w:color="auto" w:fill="C00000"/>
            <w:hideMark/>
          </w:tcPr>
          <w:p w14:paraId="2D2575C6" w14:textId="77777777" w:rsidR="00F87636" w:rsidRDefault="00F87636" w:rsidP="00F87636">
            <w:pPr>
              <w:keepNext/>
              <w:keepLines/>
              <w:tabs>
                <w:tab w:val="left" w:pos="1440"/>
                <w:tab w:val="decimal" w:pos="4320"/>
              </w:tabs>
              <w:ind w:firstLine="152"/>
              <w:jc w:val="center"/>
              <w:outlineLvl w:val="0"/>
              <w:rPr>
                <w:rFonts w:ascii="Calibri" w:hAnsi="Calibri"/>
                <w:b/>
              </w:rPr>
            </w:pPr>
            <w:r>
              <w:rPr>
                <w:rFonts w:ascii="Calibri" w:hAnsi="Calibri"/>
                <w:b/>
                <w:szCs w:val="22"/>
              </w:rPr>
              <w:t>Jul–Dec 19</w:t>
            </w:r>
          </w:p>
          <w:p w14:paraId="07EC3E0D" w14:textId="1123EECB" w:rsidR="00A16504" w:rsidRDefault="00F87636" w:rsidP="00F87636">
            <w:pPr>
              <w:keepNext/>
              <w:keepLines/>
              <w:tabs>
                <w:tab w:val="left" w:pos="1440"/>
                <w:tab w:val="decimal" w:pos="4320"/>
              </w:tabs>
              <w:ind w:left="139" w:right="10" w:firstLine="13"/>
              <w:jc w:val="center"/>
              <w:outlineLvl w:val="0"/>
              <w:rPr>
                <w:rFonts w:ascii="Calibri" w:hAnsi="Calibri"/>
                <w:b/>
                <w:szCs w:val="22"/>
              </w:rPr>
            </w:pPr>
            <w:r>
              <w:rPr>
                <w:rFonts w:ascii="Calibri" w:hAnsi="Calibri"/>
                <w:b/>
                <w:szCs w:val="22"/>
              </w:rPr>
              <w:t>n=472</w:t>
            </w:r>
          </w:p>
        </w:tc>
        <w:tc>
          <w:tcPr>
            <w:tcW w:w="1318" w:type="pct"/>
            <w:gridSpan w:val="2"/>
            <w:tcBorders>
              <w:top w:val="single" w:sz="4" w:space="0" w:color="auto"/>
              <w:left w:val="single" w:sz="4" w:space="0" w:color="auto"/>
              <w:bottom w:val="single" w:sz="4" w:space="0" w:color="auto"/>
              <w:right w:val="single" w:sz="4" w:space="0" w:color="auto"/>
            </w:tcBorders>
            <w:shd w:val="clear" w:color="auto" w:fill="C00000"/>
            <w:hideMark/>
          </w:tcPr>
          <w:p w14:paraId="20D0408A" w14:textId="734397F3" w:rsidR="0050633F" w:rsidRDefault="00F87636" w:rsidP="0050633F">
            <w:pPr>
              <w:keepNext/>
              <w:keepLines/>
              <w:tabs>
                <w:tab w:val="left" w:pos="1440"/>
                <w:tab w:val="decimal" w:pos="4320"/>
              </w:tabs>
              <w:ind w:firstLine="152"/>
              <w:jc w:val="center"/>
              <w:outlineLvl w:val="0"/>
              <w:rPr>
                <w:rFonts w:ascii="Calibri" w:hAnsi="Calibri"/>
                <w:b/>
              </w:rPr>
            </w:pPr>
            <w:r>
              <w:rPr>
                <w:rFonts w:ascii="Calibri" w:hAnsi="Calibri"/>
                <w:b/>
                <w:szCs w:val="22"/>
              </w:rPr>
              <w:t>Jan–Jun 20</w:t>
            </w:r>
          </w:p>
          <w:p w14:paraId="7EDD82C0" w14:textId="6E6C9C49" w:rsidR="00A16504" w:rsidRDefault="009F42AE" w:rsidP="0050633F">
            <w:pPr>
              <w:jc w:val="center"/>
              <w:rPr>
                <w:rFonts w:ascii="Calibri" w:hAnsi="Calibri"/>
                <w:b/>
                <w:szCs w:val="22"/>
              </w:rPr>
            </w:pPr>
            <w:r>
              <w:rPr>
                <w:rFonts w:ascii="Calibri" w:hAnsi="Calibri"/>
                <w:b/>
                <w:szCs w:val="22"/>
              </w:rPr>
              <w:t>n=392</w:t>
            </w:r>
          </w:p>
        </w:tc>
      </w:tr>
      <w:tr w:rsidR="00F87636" w14:paraId="227F4FD1" w14:textId="77777777" w:rsidTr="0078382D">
        <w:trPr>
          <w:trHeight w:val="450"/>
        </w:trPr>
        <w:tc>
          <w:tcPr>
            <w:tcW w:w="914" w:type="pct"/>
            <w:tcBorders>
              <w:top w:val="single" w:sz="4" w:space="0" w:color="auto"/>
              <w:left w:val="single" w:sz="4" w:space="0" w:color="auto"/>
              <w:bottom w:val="single" w:sz="4" w:space="0" w:color="auto"/>
              <w:right w:val="single" w:sz="4" w:space="0" w:color="auto"/>
            </w:tcBorders>
            <w:vAlign w:val="center"/>
            <w:hideMark/>
          </w:tcPr>
          <w:p w14:paraId="4DFFD6B7" w14:textId="77777777" w:rsidR="00F87636" w:rsidRDefault="00F87636" w:rsidP="00F87636">
            <w:pPr>
              <w:jc w:val="left"/>
              <w:rPr>
                <w:rFonts w:ascii="Calibri" w:hAnsi="Calibri"/>
                <w:sz w:val="20"/>
                <w:szCs w:val="20"/>
              </w:rPr>
            </w:pPr>
            <w:r>
              <w:rPr>
                <w:rFonts w:ascii="Calibri" w:hAnsi="Calibri"/>
                <w:sz w:val="20"/>
                <w:szCs w:val="20"/>
              </w:rPr>
              <w:t>Misdiagnosis</w:t>
            </w:r>
          </w:p>
        </w:tc>
        <w:tc>
          <w:tcPr>
            <w:tcW w:w="315" w:type="pct"/>
            <w:tcBorders>
              <w:top w:val="single" w:sz="4" w:space="0" w:color="auto"/>
              <w:left w:val="single" w:sz="4" w:space="0" w:color="auto"/>
              <w:bottom w:val="single" w:sz="4" w:space="0" w:color="auto"/>
              <w:right w:val="single" w:sz="4" w:space="0" w:color="auto"/>
            </w:tcBorders>
            <w:vAlign w:val="center"/>
            <w:hideMark/>
          </w:tcPr>
          <w:p w14:paraId="6ADD19F9" w14:textId="5D36BAAB" w:rsidR="00F87636" w:rsidRDefault="00F87636" w:rsidP="00F87636">
            <w:pPr>
              <w:jc w:val="center"/>
              <w:rPr>
                <w:rFonts w:ascii="Calibri" w:hAnsi="Calibri"/>
                <w:sz w:val="20"/>
                <w:szCs w:val="20"/>
              </w:rPr>
            </w:pPr>
            <w:r>
              <w:rPr>
                <w:rFonts w:ascii="Calibri" w:hAnsi="Calibri"/>
                <w:sz w:val="20"/>
                <w:szCs w:val="20"/>
              </w:rPr>
              <w:t>14%</w:t>
            </w:r>
          </w:p>
        </w:tc>
        <w:tc>
          <w:tcPr>
            <w:tcW w:w="910" w:type="pct"/>
            <w:tcBorders>
              <w:top w:val="single" w:sz="4" w:space="0" w:color="auto"/>
              <w:left w:val="single" w:sz="4" w:space="0" w:color="auto"/>
              <w:bottom w:val="single" w:sz="4" w:space="0" w:color="auto"/>
              <w:right w:val="single" w:sz="4" w:space="0" w:color="auto"/>
            </w:tcBorders>
            <w:vAlign w:val="center"/>
          </w:tcPr>
          <w:p w14:paraId="3F3A4A16" w14:textId="77777777" w:rsidR="00F87636" w:rsidRDefault="00F87636" w:rsidP="00F87636">
            <w:pPr>
              <w:jc w:val="left"/>
              <w:rPr>
                <w:rFonts w:ascii="Calibri" w:hAnsi="Calibri"/>
                <w:sz w:val="20"/>
                <w:szCs w:val="20"/>
              </w:rPr>
            </w:pPr>
            <w:r>
              <w:rPr>
                <w:rFonts w:ascii="Calibri" w:hAnsi="Calibri"/>
                <w:sz w:val="20"/>
                <w:szCs w:val="20"/>
              </w:rPr>
              <w:t>Misdiagnosis</w:t>
            </w:r>
          </w:p>
        </w:tc>
        <w:tc>
          <w:tcPr>
            <w:tcW w:w="315" w:type="pct"/>
            <w:tcBorders>
              <w:top w:val="single" w:sz="4" w:space="0" w:color="auto"/>
              <w:left w:val="single" w:sz="4" w:space="0" w:color="auto"/>
              <w:bottom w:val="single" w:sz="4" w:space="0" w:color="auto"/>
              <w:right w:val="single" w:sz="4" w:space="0" w:color="auto"/>
            </w:tcBorders>
            <w:vAlign w:val="center"/>
          </w:tcPr>
          <w:p w14:paraId="3A3905BC" w14:textId="40D1C62A" w:rsidR="00F87636" w:rsidRDefault="00F87636" w:rsidP="00F87636">
            <w:pPr>
              <w:jc w:val="center"/>
              <w:rPr>
                <w:rFonts w:ascii="Calibri" w:hAnsi="Calibri"/>
                <w:sz w:val="20"/>
                <w:szCs w:val="20"/>
              </w:rPr>
            </w:pPr>
            <w:r>
              <w:rPr>
                <w:rFonts w:ascii="Calibri" w:hAnsi="Calibri"/>
                <w:sz w:val="20"/>
                <w:szCs w:val="20"/>
              </w:rPr>
              <w:t>16%</w:t>
            </w:r>
          </w:p>
        </w:tc>
        <w:tc>
          <w:tcPr>
            <w:tcW w:w="913" w:type="pct"/>
            <w:tcBorders>
              <w:top w:val="single" w:sz="4" w:space="0" w:color="auto"/>
              <w:left w:val="single" w:sz="4" w:space="0" w:color="auto"/>
              <w:bottom w:val="single" w:sz="4" w:space="0" w:color="auto"/>
              <w:right w:val="single" w:sz="4" w:space="0" w:color="auto"/>
            </w:tcBorders>
            <w:vAlign w:val="center"/>
          </w:tcPr>
          <w:p w14:paraId="389DCBAC" w14:textId="77777777" w:rsidR="00F87636" w:rsidRDefault="00F87636" w:rsidP="00F87636">
            <w:pPr>
              <w:jc w:val="left"/>
              <w:rPr>
                <w:rFonts w:ascii="Calibri" w:hAnsi="Calibri"/>
                <w:sz w:val="20"/>
                <w:szCs w:val="20"/>
              </w:rPr>
            </w:pPr>
            <w:r>
              <w:rPr>
                <w:rFonts w:ascii="Calibri" w:hAnsi="Calibri"/>
                <w:sz w:val="20"/>
                <w:szCs w:val="20"/>
              </w:rPr>
              <w:t>Misdiagnosis</w:t>
            </w:r>
          </w:p>
        </w:tc>
        <w:tc>
          <w:tcPr>
            <w:tcW w:w="315" w:type="pct"/>
            <w:tcBorders>
              <w:top w:val="single" w:sz="4" w:space="0" w:color="auto"/>
              <w:left w:val="single" w:sz="4" w:space="0" w:color="auto"/>
              <w:bottom w:val="single" w:sz="4" w:space="0" w:color="auto"/>
              <w:right w:val="single" w:sz="4" w:space="0" w:color="auto"/>
            </w:tcBorders>
            <w:vAlign w:val="center"/>
          </w:tcPr>
          <w:p w14:paraId="189B5F2D" w14:textId="57D1D84C" w:rsidR="00F87636" w:rsidRDefault="00F87636" w:rsidP="00F87636">
            <w:pPr>
              <w:jc w:val="center"/>
              <w:rPr>
                <w:rFonts w:ascii="Calibri" w:hAnsi="Calibri"/>
                <w:sz w:val="20"/>
                <w:szCs w:val="20"/>
              </w:rPr>
            </w:pPr>
            <w:r>
              <w:rPr>
                <w:rFonts w:ascii="Calibri" w:hAnsi="Calibri"/>
                <w:sz w:val="20"/>
                <w:szCs w:val="20"/>
              </w:rPr>
              <w:t>14%</w:t>
            </w:r>
          </w:p>
        </w:tc>
        <w:tc>
          <w:tcPr>
            <w:tcW w:w="939" w:type="pct"/>
            <w:tcBorders>
              <w:top w:val="single" w:sz="4" w:space="0" w:color="auto"/>
              <w:left w:val="single" w:sz="4" w:space="0" w:color="auto"/>
              <w:bottom w:val="single" w:sz="4" w:space="0" w:color="auto"/>
              <w:right w:val="single" w:sz="4" w:space="0" w:color="auto"/>
            </w:tcBorders>
            <w:vAlign w:val="center"/>
          </w:tcPr>
          <w:p w14:paraId="1B9F0516" w14:textId="0F525F46" w:rsidR="00F87636" w:rsidRDefault="00F87636" w:rsidP="00F87636">
            <w:pPr>
              <w:jc w:val="left"/>
              <w:rPr>
                <w:rFonts w:ascii="Calibri" w:hAnsi="Calibri"/>
                <w:sz w:val="20"/>
                <w:szCs w:val="20"/>
              </w:rPr>
            </w:pPr>
            <w:r>
              <w:rPr>
                <w:rFonts w:ascii="Calibri" w:hAnsi="Calibri"/>
                <w:sz w:val="20"/>
                <w:szCs w:val="20"/>
              </w:rPr>
              <w:t>Lack of access to services</w:t>
            </w:r>
          </w:p>
        </w:tc>
        <w:tc>
          <w:tcPr>
            <w:tcW w:w="379" w:type="pct"/>
            <w:tcBorders>
              <w:top w:val="single" w:sz="4" w:space="0" w:color="auto"/>
              <w:left w:val="single" w:sz="4" w:space="0" w:color="auto"/>
              <w:bottom w:val="single" w:sz="4" w:space="0" w:color="auto"/>
              <w:right w:val="single" w:sz="4" w:space="0" w:color="auto"/>
            </w:tcBorders>
            <w:vAlign w:val="center"/>
          </w:tcPr>
          <w:p w14:paraId="3E92D843" w14:textId="2F1025B2" w:rsidR="00F87636" w:rsidRDefault="00F87636" w:rsidP="00F87636">
            <w:pPr>
              <w:jc w:val="center"/>
              <w:rPr>
                <w:rFonts w:ascii="Calibri" w:hAnsi="Calibri"/>
                <w:sz w:val="20"/>
                <w:szCs w:val="20"/>
              </w:rPr>
            </w:pPr>
            <w:r>
              <w:rPr>
                <w:rFonts w:ascii="Calibri" w:hAnsi="Calibri"/>
                <w:sz w:val="20"/>
                <w:szCs w:val="20"/>
              </w:rPr>
              <w:t>12%</w:t>
            </w:r>
          </w:p>
        </w:tc>
      </w:tr>
      <w:tr w:rsidR="00F87636" w14:paraId="04613B39" w14:textId="77777777" w:rsidTr="0078382D">
        <w:trPr>
          <w:trHeight w:val="400"/>
        </w:trPr>
        <w:tc>
          <w:tcPr>
            <w:tcW w:w="914" w:type="pct"/>
            <w:tcBorders>
              <w:top w:val="single" w:sz="4" w:space="0" w:color="auto"/>
              <w:left w:val="single" w:sz="4" w:space="0" w:color="auto"/>
              <w:bottom w:val="single" w:sz="4" w:space="0" w:color="auto"/>
              <w:right w:val="single" w:sz="4" w:space="0" w:color="auto"/>
            </w:tcBorders>
            <w:vAlign w:val="center"/>
            <w:hideMark/>
          </w:tcPr>
          <w:p w14:paraId="0925D7BA" w14:textId="6A3F9AA5" w:rsidR="00F87636" w:rsidRDefault="00F87636" w:rsidP="00F87636">
            <w:pPr>
              <w:jc w:val="left"/>
              <w:rPr>
                <w:rFonts w:ascii="Calibri" w:hAnsi="Calibri"/>
                <w:sz w:val="20"/>
                <w:szCs w:val="20"/>
              </w:rPr>
            </w:pPr>
            <w:r>
              <w:rPr>
                <w:rFonts w:ascii="Calibri" w:hAnsi="Calibri"/>
                <w:sz w:val="20"/>
                <w:szCs w:val="20"/>
              </w:rPr>
              <w:t>Lack of access to services</w:t>
            </w:r>
          </w:p>
        </w:tc>
        <w:tc>
          <w:tcPr>
            <w:tcW w:w="315" w:type="pct"/>
            <w:tcBorders>
              <w:top w:val="single" w:sz="4" w:space="0" w:color="auto"/>
              <w:left w:val="single" w:sz="4" w:space="0" w:color="auto"/>
              <w:bottom w:val="single" w:sz="4" w:space="0" w:color="auto"/>
              <w:right w:val="single" w:sz="4" w:space="0" w:color="auto"/>
            </w:tcBorders>
            <w:vAlign w:val="center"/>
            <w:hideMark/>
          </w:tcPr>
          <w:p w14:paraId="0BD1A309" w14:textId="547B61DA" w:rsidR="00F87636" w:rsidRDefault="00F87636" w:rsidP="00F87636">
            <w:pPr>
              <w:jc w:val="center"/>
              <w:rPr>
                <w:rFonts w:ascii="Calibri" w:hAnsi="Calibri"/>
                <w:sz w:val="20"/>
                <w:szCs w:val="20"/>
              </w:rPr>
            </w:pPr>
            <w:r>
              <w:rPr>
                <w:rFonts w:ascii="Calibri" w:hAnsi="Calibri"/>
                <w:sz w:val="20"/>
                <w:szCs w:val="20"/>
              </w:rPr>
              <w:t>9%</w:t>
            </w:r>
          </w:p>
        </w:tc>
        <w:tc>
          <w:tcPr>
            <w:tcW w:w="910" w:type="pct"/>
            <w:tcBorders>
              <w:top w:val="single" w:sz="4" w:space="0" w:color="auto"/>
              <w:left w:val="single" w:sz="4" w:space="0" w:color="auto"/>
              <w:bottom w:val="single" w:sz="4" w:space="0" w:color="auto"/>
              <w:right w:val="single" w:sz="4" w:space="0" w:color="auto"/>
            </w:tcBorders>
            <w:vAlign w:val="center"/>
          </w:tcPr>
          <w:p w14:paraId="1386CDC1" w14:textId="77777777" w:rsidR="00F87636" w:rsidRDefault="00F87636" w:rsidP="00F87636">
            <w:pPr>
              <w:jc w:val="left"/>
              <w:rPr>
                <w:rFonts w:ascii="Calibri" w:hAnsi="Calibri"/>
                <w:sz w:val="20"/>
                <w:szCs w:val="20"/>
              </w:rPr>
            </w:pPr>
            <w:r>
              <w:rPr>
                <w:rFonts w:ascii="Calibri" w:hAnsi="Calibri"/>
                <w:sz w:val="20"/>
                <w:szCs w:val="20"/>
              </w:rPr>
              <w:t>Waiting list/</w:t>
            </w:r>
          </w:p>
          <w:p w14:paraId="2F7A425F" w14:textId="3590276D" w:rsidR="00F87636" w:rsidRDefault="00F87636" w:rsidP="00F87636">
            <w:pPr>
              <w:jc w:val="left"/>
              <w:rPr>
                <w:rFonts w:ascii="Calibri" w:hAnsi="Calibri"/>
                <w:sz w:val="20"/>
                <w:szCs w:val="20"/>
              </w:rPr>
            </w:pPr>
            <w:r>
              <w:rPr>
                <w:rFonts w:ascii="Calibri" w:hAnsi="Calibri"/>
                <w:sz w:val="20"/>
                <w:szCs w:val="20"/>
              </w:rPr>
              <w:t>prioritisation</w:t>
            </w:r>
          </w:p>
        </w:tc>
        <w:tc>
          <w:tcPr>
            <w:tcW w:w="315" w:type="pct"/>
            <w:tcBorders>
              <w:top w:val="single" w:sz="4" w:space="0" w:color="auto"/>
              <w:left w:val="single" w:sz="4" w:space="0" w:color="auto"/>
              <w:bottom w:val="single" w:sz="4" w:space="0" w:color="auto"/>
              <w:right w:val="single" w:sz="4" w:space="0" w:color="auto"/>
            </w:tcBorders>
            <w:vAlign w:val="center"/>
          </w:tcPr>
          <w:p w14:paraId="0050F408" w14:textId="5C3E3CC8" w:rsidR="00F87636" w:rsidRDefault="00F87636" w:rsidP="00F87636">
            <w:pPr>
              <w:jc w:val="center"/>
              <w:rPr>
                <w:rFonts w:ascii="Calibri" w:hAnsi="Calibri"/>
                <w:sz w:val="20"/>
                <w:szCs w:val="20"/>
              </w:rPr>
            </w:pPr>
            <w:r>
              <w:rPr>
                <w:rFonts w:ascii="Calibri" w:hAnsi="Calibri"/>
                <w:sz w:val="20"/>
                <w:szCs w:val="20"/>
              </w:rPr>
              <w:t>12%</w:t>
            </w:r>
          </w:p>
        </w:tc>
        <w:tc>
          <w:tcPr>
            <w:tcW w:w="913" w:type="pct"/>
            <w:tcBorders>
              <w:top w:val="single" w:sz="4" w:space="0" w:color="auto"/>
              <w:left w:val="single" w:sz="4" w:space="0" w:color="auto"/>
              <w:bottom w:val="single" w:sz="4" w:space="0" w:color="auto"/>
              <w:right w:val="single" w:sz="4" w:space="0" w:color="auto"/>
            </w:tcBorders>
            <w:vAlign w:val="center"/>
          </w:tcPr>
          <w:p w14:paraId="0FBA7ADF" w14:textId="676E6E3A" w:rsidR="00F87636" w:rsidRDefault="00F87636" w:rsidP="00F87636">
            <w:pPr>
              <w:jc w:val="left"/>
              <w:rPr>
                <w:rFonts w:ascii="Calibri" w:hAnsi="Calibri"/>
                <w:sz w:val="20"/>
                <w:szCs w:val="20"/>
              </w:rPr>
            </w:pPr>
            <w:r>
              <w:rPr>
                <w:rFonts w:ascii="Calibri" w:hAnsi="Calibri"/>
                <w:sz w:val="20"/>
                <w:szCs w:val="20"/>
              </w:rPr>
              <w:t>Unexpected treatment outcome</w:t>
            </w:r>
          </w:p>
        </w:tc>
        <w:tc>
          <w:tcPr>
            <w:tcW w:w="315" w:type="pct"/>
            <w:tcBorders>
              <w:top w:val="single" w:sz="4" w:space="0" w:color="auto"/>
              <w:left w:val="single" w:sz="4" w:space="0" w:color="auto"/>
              <w:bottom w:val="single" w:sz="4" w:space="0" w:color="auto"/>
              <w:right w:val="single" w:sz="4" w:space="0" w:color="auto"/>
            </w:tcBorders>
            <w:vAlign w:val="center"/>
          </w:tcPr>
          <w:p w14:paraId="00087F1A" w14:textId="77996C13" w:rsidR="00F87636" w:rsidRDefault="00F87636" w:rsidP="00F87636">
            <w:pPr>
              <w:jc w:val="center"/>
              <w:rPr>
                <w:rFonts w:ascii="Calibri" w:hAnsi="Calibri"/>
                <w:sz w:val="20"/>
                <w:szCs w:val="20"/>
              </w:rPr>
            </w:pPr>
            <w:r>
              <w:rPr>
                <w:rFonts w:ascii="Calibri" w:hAnsi="Calibri"/>
                <w:sz w:val="20"/>
                <w:szCs w:val="20"/>
              </w:rPr>
              <w:t>9%</w:t>
            </w:r>
          </w:p>
        </w:tc>
        <w:tc>
          <w:tcPr>
            <w:tcW w:w="939" w:type="pct"/>
            <w:tcBorders>
              <w:top w:val="single" w:sz="4" w:space="0" w:color="auto"/>
              <w:left w:val="single" w:sz="4" w:space="0" w:color="auto"/>
              <w:bottom w:val="single" w:sz="4" w:space="0" w:color="auto"/>
              <w:right w:val="single" w:sz="4" w:space="0" w:color="auto"/>
            </w:tcBorders>
            <w:vAlign w:val="center"/>
          </w:tcPr>
          <w:p w14:paraId="6100C3DD" w14:textId="0C936C80" w:rsidR="00F87636" w:rsidRDefault="00F87636" w:rsidP="00F87636">
            <w:pPr>
              <w:jc w:val="left"/>
              <w:rPr>
                <w:rFonts w:ascii="Calibri" w:hAnsi="Calibri"/>
                <w:sz w:val="20"/>
                <w:szCs w:val="20"/>
              </w:rPr>
            </w:pPr>
            <w:r>
              <w:rPr>
                <w:rFonts w:ascii="Calibri" w:hAnsi="Calibri"/>
                <w:sz w:val="20"/>
                <w:szCs w:val="20"/>
              </w:rPr>
              <w:t>Misdiagnosis</w:t>
            </w:r>
          </w:p>
        </w:tc>
        <w:tc>
          <w:tcPr>
            <w:tcW w:w="379" w:type="pct"/>
            <w:tcBorders>
              <w:top w:val="single" w:sz="4" w:space="0" w:color="auto"/>
              <w:left w:val="single" w:sz="4" w:space="0" w:color="auto"/>
              <w:bottom w:val="single" w:sz="4" w:space="0" w:color="auto"/>
              <w:right w:val="single" w:sz="4" w:space="0" w:color="auto"/>
            </w:tcBorders>
            <w:vAlign w:val="center"/>
          </w:tcPr>
          <w:p w14:paraId="7566D0B2" w14:textId="3818AB1A" w:rsidR="00F87636" w:rsidRDefault="00F87636" w:rsidP="00F87636">
            <w:pPr>
              <w:jc w:val="center"/>
              <w:rPr>
                <w:rFonts w:ascii="Calibri" w:hAnsi="Calibri"/>
                <w:sz w:val="20"/>
                <w:szCs w:val="20"/>
              </w:rPr>
            </w:pPr>
            <w:r>
              <w:rPr>
                <w:rFonts w:ascii="Calibri" w:hAnsi="Calibri"/>
                <w:sz w:val="20"/>
                <w:szCs w:val="20"/>
              </w:rPr>
              <w:t>10%</w:t>
            </w:r>
          </w:p>
        </w:tc>
      </w:tr>
      <w:tr w:rsidR="00F87636" w14:paraId="108E224F" w14:textId="77777777" w:rsidTr="0078382D">
        <w:tc>
          <w:tcPr>
            <w:tcW w:w="914" w:type="pct"/>
            <w:tcBorders>
              <w:top w:val="single" w:sz="4" w:space="0" w:color="auto"/>
              <w:left w:val="single" w:sz="4" w:space="0" w:color="auto"/>
              <w:bottom w:val="single" w:sz="4" w:space="0" w:color="auto"/>
              <w:right w:val="single" w:sz="4" w:space="0" w:color="auto"/>
            </w:tcBorders>
            <w:vAlign w:val="center"/>
            <w:hideMark/>
          </w:tcPr>
          <w:p w14:paraId="2129A53E" w14:textId="4D0785C6" w:rsidR="00F87636" w:rsidRDefault="00F87636" w:rsidP="00F87636">
            <w:pPr>
              <w:jc w:val="left"/>
              <w:rPr>
                <w:rFonts w:ascii="Calibri" w:hAnsi="Calibri"/>
                <w:sz w:val="20"/>
                <w:szCs w:val="20"/>
              </w:rPr>
            </w:pPr>
            <w:r>
              <w:rPr>
                <w:rFonts w:ascii="Calibri" w:hAnsi="Calibri"/>
                <w:sz w:val="20"/>
                <w:szCs w:val="20"/>
              </w:rPr>
              <w:t>Unexpected treatment outcome</w:t>
            </w:r>
          </w:p>
        </w:tc>
        <w:tc>
          <w:tcPr>
            <w:tcW w:w="315" w:type="pct"/>
            <w:tcBorders>
              <w:top w:val="single" w:sz="4" w:space="0" w:color="auto"/>
              <w:left w:val="single" w:sz="4" w:space="0" w:color="auto"/>
              <w:bottom w:val="single" w:sz="4" w:space="0" w:color="auto"/>
              <w:right w:val="single" w:sz="4" w:space="0" w:color="auto"/>
            </w:tcBorders>
            <w:vAlign w:val="center"/>
            <w:hideMark/>
          </w:tcPr>
          <w:p w14:paraId="55B50374" w14:textId="0B25A43E" w:rsidR="00F87636" w:rsidRDefault="00F87636" w:rsidP="00F87636">
            <w:pPr>
              <w:jc w:val="center"/>
              <w:rPr>
                <w:rFonts w:ascii="Calibri" w:hAnsi="Calibri"/>
                <w:sz w:val="20"/>
                <w:szCs w:val="20"/>
              </w:rPr>
            </w:pPr>
            <w:r>
              <w:rPr>
                <w:rFonts w:ascii="Calibri" w:hAnsi="Calibri"/>
                <w:sz w:val="20"/>
                <w:szCs w:val="20"/>
              </w:rPr>
              <w:t>9%</w:t>
            </w:r>
          </w:p>
        </w:tc>
        <w:tc>
          <w:tcPr>
            <w:tcW w:w="910" w:type="pct"/>
            <w:tcBorders>
              <w:top w:val="single" w:sz="4" w:space="0" w:color="auto"/>
              <w:left w:val="single" w:sz="4" w:space="0" w:color="auto"/>
              <w:bottom w:val="single" w:sz="4" w:space="0" w:color="auto"/>
              <w:right w:val="single" w:sz="4" w:space="0" w:color="auto"/>
            </w:tcBorders>
            <w:vAlign w:val="center"/>
          </w:tcPr>
          <w:p w14:paraId="1C52615E" w14:textId="77777777" w:rsidR="00F87636" w:rsidRDefault="00F87636" w:rsidP="00F87636">
            <w:pPr>
              <w:jc w:val="left"/>
              <w:rPr>
                <w:rFonts w:ascii="Calibri" w:hAnsi="Calibri"/>
                <w:sz w:val="20"/>
                <w:szCs w:val="20"/>
              </w:rPr>
            </w:pPr>
            <w:r>
              <w:rPr>
                <w:rFonts w:ascii="Calibri" w:hAnsi="Calibri"/>
                <w:sz w:val="20"/>
                <w:szCs w:val="20"/>
              </w:rPr>
              <w:t>Unexpected treatment outcome</w:t>
            </w:r>
          </w:p>
        </w:tc>
        <w:tc>
          <w:tcPr>
            <w:tcW w:w="315" w:type="pct"/>
            <w:tcBorders>
              <w:top w:val="single" w:sz="4" w:space="0" w:color="auto"/>
              <w:left w:val="single" w:sz="4" w:space="0" w:color="auto"/>
              <w:bottom w:val="single" w:sz="4" w:space="0" w:color="auto"/>
              <w:right w:val="single" w:sz="4" w:space="0" w:color="auto"/>
            </w:tcBorders>
            <w:vAlign w:val="center"/>
          </w:tcPr>
          <w:p w14:paraId="1F6E2007" w14:textId="4247C2A3" w:rsidR="00F87636" w:rsidRDefault="00F87636" w:rsidP="00F87636">
            <w:pPr>
              <w:jc w:val="center"/>
              <w:rPr>
                <w:rFonts w:ascii="Calibri" w:hAnsi="Calibri"/>
                <w:sz w:val="20"/>
                <w:szCs w:val="20"/>
              </w:rPr>
            </w:pPr>
            <w:r>
              <w:rPr>
                <w:rFonts w:ascii="Calibri" w:hAnsi="Calibri"/>
                <w:sz w:val="20"/>
                <w:szCs w:val="20"/>
              </w:rPr>
              <w:t>9%</w:t>
            </w:r>
          </w:p>
        </w:tc>
        <w:tc>
          <w:tcPr>
            <w:tcW w:w="913" w:type="pct"/>
            <w:tcBorders>
              <w:top w:val="single" w:sz="4" w:space="0" w:color="auto"/>
              <w:left w:val="single" w:sz="4" w:space="0" w:color="auto"/>
              <w:bottom w:val="single" w:sz="4" w:space="0" w:color="auto"/>
              <w:right w:val="single" w:sz="4" w:space="0" w:color="auto"/>
            </w:tcBorders>
            <w:vAlign w:val="center"/>
          </w:tcPr>
          <w:p w14:paraId="6BFC97E9" w14:textId="77777777" w:rsidR="00F87636" w:rsidRDefault="00F87636" w:rsidP="00F87636">
            <w:pPr>
              <w:jc w:val="left"/>
              <w:rPr>
                <w:rFonts w:ascii="Calibri" w:hAnsi="Calibri"/>
                <w:sz w:val="20"/>
                <w:szCs w:val="20"/>
              </w:rPr>
            </w:pPr>
            <w:r>
              <w:rPr>
                <w:rFonts w:ascii="Calibri" w:hAnsi="Calibri"/>
                <w:sz w:val="20"/>
                <w:szCs w:val="20"/>
              </w:rPr>
              <w:t>Waiting list/</w:t>
            </w:r>
          </w:p>
          <w:p w14:paraId="5ECF6DF4" w14:textId="545CBC8E" w:rsidR="00F87636" w:rsidRDefault="00F87636" w:rsidP="00F87636">
            <w:pPr>
              <w:jc w:val="left"/>
              <w:rPr>
                <w:rFonts w:ascii="Calibri" w:hAnsi="Calibri"/>
                <w:sz w:val="20"/>
                <w:szCs w:val="20"/>
              </w:rPr>
            </w:pPr>
            <w:r>
              <w:rPr>
                <w:rFonts w:ascii="Calibri" w:hAnsi="Calibri"/>
                <w:sz w:val="20"/>
                <w:szCs w:val="20"/>
              </w:rPr>
              <w:t>prioritisation</w:t>
            </w:r>
          </w:p>
        </w:tc>
        <w:tc>
          <w:tcPr>
            <w:tcW w:w="315" w:type="pct"/>
            <w:tcBorders>
              <w:top w:val="single" w:sz="4" w:space="0" w:color="auto"/>
              <w:left w:val="single" w:sz="4" w:space="0" w:color="auto"/>
              <w:bottom w:val="single" w:sz="4" w:space="0" w:color="auto"/>
              <w:right w:val="single" w:sz="4" w:space="0" w:color="auto"/>
            </w:tcBorders>
            <w:vAlign w:val="center"/>
          </w:tcPr>
          <w:p w14:paraId="56BA196F" w14:textId="008BAEAF" w:rsidR="00F87636" w:rsidRDefault="00F87636" w:rsidP="00F87636">
            <w:pPr>
              <w:jc w:val="center"/>
              <w:rPr>
                <w:rFonts w:ascii="Calibri" w:hAnsi="Calibri"/>
                <w:sz w:val="20"/>
                <w:szCs w:val="20"/>
              </w:rPr>
            </w:pPr>
            <w:r>
              <w:rPr>
                <w:rFonts w:ascii="Calibri" w:hAnsi="Calibri"/>
                <w:sz w:val="20"/>
                <w:szCs w:val="20"/>
              </w:rPr>
              <w:t>8%</w:t>
            </w:r>
          </w:p>
        </w:tc>
        <w:tc>
          <w:tcPr>
            <w:tcW w:w="939" w:type="pct"/>
            <w:tcBorders>
              <w:top w:val="single" w:sz="4" w:space="0" w:color="auto"/>
              <w:left w:val="single" w:sz="4" w:space="0" w:color="auto"/>
              <w:bottom w:val="single" w:sz="4" w:space="0" w:color="auto"/>
              <w:right w:val="single" w:sz="4" w:space="0" w:color="auto"/>
            </w:tcBorders>
            <w:vAlign w:val="center"/>
          </w:tcPr>
          <w:p w14:paraId="78CF4969" w14:textId="3358FDD2" w:rsidR="00F87636" w:rsidRDefault="00F87636" w:rsidP="00F87636">
            <w:pPr>
              <w:jc w:val="left"/>
              <w:rPr>
                <w:rFonts w:ascii="Calibri" w:hAnsi="Calibri"/>
                <w:sz w:val="20"/>
                <w:szCs w:val="20"/>
              </w:rPr>
            </w:pPr>
            <w:r>
              <w:rPr>
                <w:rFonts w:ascii="Calibri" w:hAnsi="Calibri"/>
                <w:sz w:val="20"/>
                <w:szCs w:val="20"/>
              </w:rPr>
              <w:t>Unexpected treatment outcome</w:t>
            </w:r>
          </w:p>
        </w:tc>
        <w:tc>
          <w:tcPr>
            <w:tcW w:w="379" w:type="pct"/>
            <w:tcBorders>
              <w:top w:val="single" w:sz="4" w:space="0" w:color="auto"/>
              <w:left w:val="single" w:sz="4" w:space="0" w:color="auto"/>
              <w:bottom w:val="single" w:sz="4" w:space="0" w:color="auto"/>
              <w:right w:val="single" w:sz="4" w:space="0" w:color="auto"/>
            </w:tcBorders>
            <w:vAlign w:val="center"/>
          </w:tcPr>
          <w:p w14:paraId="4340306A" w14:textId="391C982F" w:rsidR="00F87636" w:rsidRDefault="00F87636" w:rsidP="00F87636">
            <w:pPr>
              <w:jc w:val="center"/>
              <w:rPr>
                <w:rFonts w:ascii="Calibri" w:hAnsi="Calibri"/>
                <w:sz w:val="20"/>
                <w:szCs w:val="20"/>
              </w:rPr>
            </w:pPr>
            <w:r>
              <w:rPr>
                <w:rFonts w:ascii="Calibri" w:hAnsi="Calibri"/>
                <w:sz w:val="20"/>
                <w:szCs w:val="20"/>
              </w:rPr>
              <w:t>8%</w:t>
            </w:r>
          </w:p>
        </w:tc>
      </w:tr>
      <w:tr w:rsidR="00F87636" w14:paraId="52AB3651" w14:textId="77777777" w:rsidTr="0078382D">
        <w:trPr>
          <w:trHeight w:val="639"/>
        </w:trPr>
        <w:tc>
          <w:tcPr>
            <w:tcW w:w="914" w:type="pct"/>
            <w:tcBorders>
              <w:top w:val="single" w:sz="4" w:space="0" w:color="auto"/>
              <w:left w:val="single" w:sz="4" w:space="0" w:color="auto"/>
              <w:bottom w:val="single" w:sz="4" w:space="0" w:color="auto"/>
              <w:right w:val="single" w:sz="4" w:space="0" w:color="auto"/>
            </w:tcBorders>
            <w:vAlign w:val="center"/>
            <w:hideMark/>
          </w:tcPr>
          <w:p w14:paraId="7641243F" w14:textId="77777777" w:rsidR="00F87636" w:rsidRDefault="00F87636" w:rsidP="00F87636">
            <w:pPr>
              <w:jc w:val="left"/>
              <w:rPr>
                <w:rFonts w:ascii="Calibri" w:hAnsi="Calibri"/>
                <w:sz w:val="20"/>
                <w:szCs w:val="20"/>
              </w:rPr>
            </w:pPr>
            <w:r>
              <w:rPr>
                <w:rFonts w:ascii="Calibri" w:hAnsi="Calibri"/>
                <w:sz w:val="20"/>
                <w:szCs w:val="20"/>
              </w:rPr>
              <w:t>Waiting list/</w:t>
            </w:r>
          </w:p>
          <w:p w14:paraId="37C6F556" w14:textId="3C187C53" w:rsidR="00F87636" w:rsidRDefault="00F87636" w:rsidP="00F87636">
            <w:pPr>
              <w:jc w:val="left"/>
              <w:rPr>
                <w:rFonts w:ascii="Calibri" w:hAnsi="Calibri"/>
                <w:sz w:val="20"/>
                <w:szCs w:val="20"/>
              </w:rPr>
            </w:pPr>
            <w:r>
              <w:rPr>
                <w:rFonts w:ascii="Calibri" w:hAnsi="Calibri"/>
                <w:sz w:val="20"/>
                <w:szCs w:val="20"/>
              </w:rPr>
              <w:t>Prioritisation</w:t>
            </w:r>
          </w:p>
        </w:tc>
        <w:tc>
          <w:tcPr>
            <w:tcW w:w="315" w:type="pct"/>
            <w:tcBorders>
              <w:top w:val="single" w:sz="4" w:space="0" w:color="auto"/>
              <w:left w:val="single" w:sz="4" w:space="0" w:color="auto"/>
              <w:bottom w:val="single" w:sz="4" w:space="0" w:color="auto"/>
              <w:right w:val="single" w:sz="4" w:space="0" w:color="auto"/>
            </w:tcBorders>
            <w:vAlign w:val="center"/>
            <w:hideMark/>
          </w:tcPr>
          <w:p w14:paraId="66BEA667" w14:textId="78576177" w:rsidR="00F87636" w:rsidRDefault="00F87636" w:rsidP="00F87636">
            <w:pPr>
              <w:jc w:val="center"/>
              <w:rPr>
                <w:rFonts w:ascii="Calibri" w:hAnsi="Calibri"/>
                <w:sz w:val="20"/>
                <w:szCs w:val="20"/>
              </w:rPr>
            </w:pPr>
            <w:r>
              <w:rPr>
                <w:rFonts w:ascii="Calibri" w:hAnsi="Calibri"/>
                <w:sz w:val="20"/>
                <w:szCs w:val="20"/>
              </w:rPr>
              <w:t xml:space="preserve">7% </w:t>
            </w:r>
          </w:p>
        </w:tc>
        <w:tc>
          <w:tcPr>
            <w:tcW w:w="910" w:type="pct"/>
            <w:tcBorders>
              <w:top w:val="single" w:sz="4" w:space="0" w:color="auto"/>
              <w:left w:val="single" w:sz="4" w:space="0" w:color="auto"/>
              <w:bottom w:val="single" w:sz="4" w:space="0" w:color="auto"/>
              <w:right w:val="single" w:sz="4" w:space="0" w:color="auto"/>
            </w:tcBorders>
            <w:vAlign w:val="center"/>
          </w:tcPr>
          <w:p w14:paraId="3B02A62B" w14:textId="37395659" w:rsidR="00F87636" w:rsidRDefault="00F87636" w:rsidP="00F87636">
            <w:pPr>
              <w:jc w:val="left"/>
              <w:rPr>
                <w:rFonts w:ascii="Calibri" w:hAnsi="Calibri"/>
                <w:sz w:val="20"/>
                <w:szCs w:val="20"/>
              </w:rPr>
            </w:pPr>
            <w:r>
              <w:rPr>
                <w:rFonts w:ascii="Calibri" w:hAnsi="Calibri"/>
                <w:sz w:val="20"/>
                <w:szCs w:val="20"/>
              </w:rPr>
              <w:t>Inadequate treatment</w:t>
            </w:r>
          </w:p>
        </w:tc>
        <w:tc>
          <w:tcPr>
            <w:tcW w:w="315" w:type="pct"/>
            <w:tcBorders>
              <w:top w:val="single" w:sz="4" w:space="0" w:color="auto"/>
              <w:left w:val="single" w:sz="4" w:space="0" w:color="auto"/>
              <w:bottom w:val="single" w:sz="4" w:space="0" w:color="auto"/>
              <w:right w:val="single" w:sz="4" w:space="0" w:color="auto"/>
            </w:tcBorders>
            <w:vAlign w:val="center"/>
          </w:tcPr>
          <w:p w14:paraId="6FAD96E9" w14:textId="2DF7C52A" w:rsidR="00F87636" w:rsidRDefault="00F87636" w:rsidP="00F87636">
            <w:pPr>
              <w:jc w:val="center"/>
              <w:rPr>
                <w:rFonts w:ascii="Calibri" w:hAnsi="Calibri"/>
                <w:sz w:val="20"/>
                <w:szCs w:val="20"/>
              </w:rPr>
            </w:pPr>
            <w:r>
              <w:rPr>
                <w:rFonts w:ascii="Calibri" w:hAnsi="Calibri"/>
                <w:sz w:val="20"/>
                <w:szCs w:val="20"/>
              </w:rPr>
              <w:t xml:space="preserve">7% </w:t>
            </w:r>
          </w:p>
        </w:tc>
        <w:tc>
          <w:tcPr>
            <w:tcW w:w="913" w:type="pct"/>
            <w:tcBorders>
              <w:top w:val="single" w:sz="4" w:space="0" w:color="auto"/>
              <w:left w:val="single" w:sz="4" w:space="0" w:color="auto"/>
              <w:bottom w:val="single" w:sz="4" w:space="0" w:color="auto"/>
              <w:right w:val="single" w:sz="4" w:space="0" w:color="auto"/>
            </w:tcBorders>
            <w:vAlign w:val="center"/>
          </w:tcPr>
          <w:p w14:paraId="718359EF" w14:textId="5958829D" w:rsidR="00F87636" w:rsidRDefault="00F87636" w:rsidP="00F87636">
            <w:pPr>
              <w:jc w:val="left"/>
              <w:rPr>
                <w:rFonts w:ascii="Calibri" w:hAnsi="Calibri"/>
                <w:sz w:val="20"/>
                <w:szCs w:val="20"/>
              </w:rPr>
            </w:pPr>
            <w:r>
              <w:rPr>
                <w:rFonts w:ascii="Calibri" w:hAnsi="Calibri"/>
                <w:sz w:val="20"/>
                <w:szCs w:val="20"/>
              </w:rPr>
              <w:t>Inadequate treatment</w:t>
            </w:r>
          </w:p>
        </w:tc>
        <w:tc>
          <w:tcPr>
            <w:tcW w:w="315" w:type="pct"/>
            <w:tcBorders>
              <w:top w:val="single" w:sz="4" w:space="0" w:color="auto"/>
              <w:left w:val="single" w:sz="4" w:space="0" w:color="auto"/>
              <w:bottom w:val="single" w:sz="4" w:space="0" w:color="auto"/>
              <w:right w:val="single" w:sz="4" w:space="0" w:color="auto"/>
            </w:tcBorders>
            <w:vAlign w:val="center"/>
          </w:tcPr>
          <w:p w14:paraId="571E183D" w14:textId="2020F560" w:rsidR="00F87636" w:rsidRDefault="00F87636" w:rsidP="00F87636">
            <w:pPr>
              <w:jc w:val="center"/>
              <w:rPr>
                <w:rFonts w:ascii="Calibri" w:hAnsi="Calibri"/>
                <w:sz w:val="20"/>
                <w:szCs w:val="20"/>
              </w:rPr>
            </w:pPr>
            <w:r>
              <w:rPr>
                <w:rFonts w:ascii="Calibri" w:hAnsi="Calibri"/>
                <w:sz w:val="20"/>
                <w:szCs w:val="20"/>
              </w:rPr>
              <w:t xml:space="preserve">8% </w:t>
            </w:r>
          </w:p>
        </w:tc>
        <w:tc>
          <w:tcPr>
            <w:tcW w:w="939" w:type="pct"/>
            <w:tcBorders>
              <w:top w:val="single" w:sz="4" w:space="0" w:color="auto"/>
              <w:left w:val="single" w:sz="4" w:space="0" w:color="auto"/>
              <w:bottom w:val="single" w:sz="4" w:space="0" w:color="auto"/>
              <w:right w:val="single" w:sz="4" w:space="0" w:color="auto"/>
            </w:tcBorders>
            <w:vAlign w:val="center"/>
          </w:tcPr>
          <w:p w14:paraId="531D1F22" w14:textId="77777777" w:rsidR="000D5357" w:rsidRDefault="000D5357" w:rsidP="000D5357">
            <w:pPr>
              <w:jc w:val="left"/>
              <w:rPr>
                <w:rFonts w:ascii="Calibri" w:hAnsi="Calibri"/>
                <w:sz w:val="20"/>
                <w:szCs w:val="20"/>
              </w:rPr>
            </w:pPr>
            <w:r>
              <w:rPr>
                <w:rFonts w:ascii="Calibri" w:hAnsi="Calibri"/>
                <w:sz w:val="20"/>
                <w:szCs w:val="20"/>
              </w:rPr>
              <w:t>Waiting list/</w:t>
            </w:r>
          </w:p>
          <w:p w14:paraId="3894C416" w14:textId="1E7778B8" w:rsidR="00F87636" w:rsidRDefault="000D5357" w:rsidP="000D5357">
            <w:pPr>
              <w:jc w:val="left"/>
              <w:rPr>
                <w:rFonts w:ascii="Calibri" w:hAnsi="Calibri"/>
                <w:sz w:val="20"/>
                <w:szCs w:val="20"/>
              </w:rPr>
            </w:pPr>
            <w:r>
              <w:rPr>
                <w:rFonts w:ascii="Calibri" w:hAnsi="Calibri"/>
                <w:sz w:val="20"/>
                <w:szCs w:val="20"/>
              </w:rPr>
              <w:t>Prioritisation</w:t>
            </w:r>
          </w:p>
        </w:tc>
        <w:tc>
          <w:tcPr>
            <w:tcW w:w="379" w:type="pct"/>
            <w:tcBorders>
              <w:top w:val="single" w:sz="4" w:space="0" w:color="auto"/>
              <w:left w:val="single" w:sz="4" w:space="0" w:color="auto"/>
              <w:bottom w:val="single" w:sz="4" w:space="0" w:color="auto"/>
              <w:right w:val="single" w:sz="4" w:space="0" w:color="auto"/>
            </w:tcBorders>
            <w:vAlign w:val="center"/>
          </w:tcPr>
          <w:p w14:paraId="3E33575C" w14:textId="0FE66AFE" w:rsidR="00F87636" w:rsidRDefault="000D5357" w:rsidP="00F87636">
            <w:pPr>
              <w:jc w:val="center"/>
              <w:rPr>
                <w:rFonts w:ascii="Calibri" w:hAnsi="Calibri"/>
                <w:sz w:val="20"/>
                <w:szCs w:val="20"/>
              </w:rPr>
            </w:pPr>
            <w:r>
              <w:rPr>
                <w:rFonts w:ascii="Calibri" w:hAnsi="Calibri"/>
                <w:sz w:val="20"/>
                <w:szCs w:val="20"/>
              </w:rPr>
              <w:t>7</w:t>
            </w:r>
            <w:r w:rsidR="00F87636">
              <w:rPr>
                <w:rFonts w:ascii="Calibri" w:hAnsi="Calibri"/>
                <w:sz w:val="20"/>
                <w:szCs w:val="20"/>
              </w:rPr>
              <w:t>%</w:t>
            </w:r>
          </w:p>
        </w:tc>
      </w:tr>
      <w:tr w:rsidR="00F87636" w14:paraId="30EF8F1A" w14:textId="77777777" w:rsidTr="0078382D">
        <w:trPr>
          <w:trHeight w:val="561"/>
        </w:trPr>
        <w:tc>
          <w:tcPr>
            <w:tcW w:w="914" w:type="pct"/>
            <w:tcBorders>
              <w:top w:val="single" w:sz="4" w:space="0" w:color="auto"/>
              <w:left w:val="single" w:sz="4" w:space="0" w:color="auto"/>
              <w:bottom w:val="single" w:sz="4" w:space="0" w:color="auto"/>
              <w:right w:val="single" w:sz="4" w:space="0" w:color="auto"/>
            </w:tcBorders>
            <w:vAlign w:val="center"/>
            <w:hideMark/>
          </w:tcPr>
          <w:p w14:paraId="45150E12" w14:textId="55FE29FC" w:rsidR="00F87636" w:rsidRDefault="00F87636" w:rsidP="00F87636">
            <w:pPr>
              <w:jc w:val="left"/>
              <w:rPr>
                <w:rFonts w:ascii="Calibri" w:hAnsi="Calibri"/>
                <w:sz w:val="20"/>
                <w:szCs w:val="20"/>
              </w:rPr>
            </w:pPr>
            <w:r>
              <w:rPr>
                <w:rFonts w:ascii="Calibri" w:hAnsi="Calibri"/>
                <w:sz w:val="20"/>
                <w:szCs w:val="20"/>
              </w:rPr>
              <w:t>Inadequate treatment</w:t>
            </w:r>
          </w:p>
        </w:tc>
        <w:tc>
          <w:tcPr>
            <w:tcW w:w="315" w:type="pct"/>
            <w:tcBorders>
              <w:top w:val="single" w:sz="4" w:space="0" w:color="auto"/>
              <w:left w:val="single" w:sz="4" w:space="0" w:color="auto"/>
              <w:bottom w:val="single" w:sz="4" w:space="0" w:color="auto"/>
              <w:right w:val="single" w:sz="4" w:space="0" w:color="auto"/>
            </w:tcBorders>
            <w:vAlign w:val="center"/>
            <w:hideMark/>
          </w:tcPr>
          <w:p w14:paraId="53C9956A" w14:textId="3F3B462A" w:rsidR="00F87636" w:rsidRDefault="00F87636" w:rsidP="00F87636">
            <w:pPr>
              <w:jc w:val="center"/>
              <w:rPr>
                <w:rFonts w:ascii="Calibri" w:hAnsi="Calibri"/>
                <w:sz w:val="20"/>
                <w:szCs w:val="20"/>
              </w:rPr>
            </w:pPr>
            <w:r>
              <w:rPr>
                <w:rFonts w:ascii="Calibri" w:hAnsi="Calibri"/>
                <w:sz w:val="20"/>
                <w:szCs w:val="20"/>
              </w:rPr>
              <w:t xml:space="preserve">6% </w:t>
            </w:r>
          </w:p>
        </w:tc>
        <w:tc>
          <w:tcPr>
            <w:tcW w:w="910" w:type="pct"/>
            <w:tcBorders>
              <w:top w:val="single" w:sz="4" w:space="0" w:color="auto"/>
              <w:left w:val="single" w:sz="4" w:space="0" w:color="auto"/>
              <w:bottom w:val="single" w:sz="4" w:space="0" w:color="auto"/>
              <w:right w:val="single" w:sz="4" w:space="0" w:color="auto"/>
            </w:tcBorders>
            <w:vAlign w:val="center"/>
          </w:tcPr>
          <w:p w14:paraId="7775EB48" w14:textId="27C1462F" w:rsidR="00F87636" w:rsidRDefault="00F87636" w:rsidP="00F87636">
            <w:pPr>
              <w:jc w:val="left"/>
              <w:rPr>
                <w:rFonts w:ascii="Calibri" w:hAnsi="Calibri"/>
                <w:sz w:val="20"/>
                <w:szCs w:val="20"/>
              </w:rPr>
            </w:pPr>
            <w:r>
              <w:rPr>
                <w:rFonts w:ascii="Calibri" w:hAnsi="Calibri"/>
                <w:sz w:val="20"/>
                <w:szCs w:val="20"/>
              </w:rPr>
              <w:t>Lack of access to services</w:t>
            </w:r>
          </w:p>
        </w:tc>
        <w:tc>
          <w:tcPr>
            <w:tcW w:w="315" w:type="pct"/>
            <w:tcBorders>
              <w:top w:val="single" w:sz="4" w:space="0" w:color="auto"/>
              <w:left w:val="single" w:sz="4" w:space="0" w:color="auto"/>
              <w:bottom w:val="single" w:sz="4" w:space="0" w:color="auto"/>
              <w:right w:val="single" w:sz="4" w:space="0" w:color="auto"/>
            </w:tcBorders>
            <w:vAlign w:val="center"/>
          </w:tcPr>
          <w:p w14:paraId="01D018F4" w14:textId="05599C13" w:rsidR="00F87636" w:rsidRDefault="00F87636" w:rsidP="00F87636">
            <w:pPr>
              <w:jc w:val="center"/>
              <w:rPr>
                <w:rFonts w:ascii="Calibri" w:hAnsi="Calibri"/>
                <w:sz w:val="20"/>
                <w:szCs w:val="20"/>
              </w:rPr>
            </w:pPr>
            <w:r>
              <w:rPr>
                <w:rFonts w:ascii="Calibri" w:hAnsi="Calibri"/>
                <w:sz w:val="20"/>
                <w:szCs w:val="20"/>
              </w:rPr>
              <w:t xml:space="preserve">6% </w:t>
            </w:r>
          </w:p>
        </w:tc>
        <w:tc>
          <w:tcPr>
            <w:tcW w:w="913" w:type="pct"/>
            <w:tcBorders>
              <w:top w:val="single" w:sz="4" w:space="0" w:color="auto"/>
              <w:left w:val="single" w:sz="4" w:space="0" w:color="auto"/>
              <w:bottom w:val="single" w:sz="4" w:space="0" w:color="auto"/>
              <w:right w:val="single" w:sz="4" w:space="0" w:color="auto"/>
            </w:tcBorders>
            <w:vAlign w:val="center"/>
          </w:tcPr>
          <w:p w14:paraId="2759FC6B" w14:textId="5C346895" w:rsidR="00F87636" w:rsidRDefault="00F87636" w:rsidP="00F87636">
            <w:pPr>
              <w:jc w:val="left"/>
              <w:rPr>
                <w:rFonts w:ascii="Calibri" w:hAnsi="Calibri"/>
                <w:sz w:val="20"/>
                <w:szCs w:val="20"/>
              </w:rPr>
            </w:pPr>
            <w:r>
              <w:rPr>
                <w:rFonts w:ascii="Calibri" w:hAnsi="Calibri"/>
                <w:sz w:val="20"/>
                <w:szCs w:val="20"/>
              </w:rPr>
              <w:t>Lack of access to services</w:t>
            </w:r>
          </w:p>
        </w:tc>
        <w:tc>
          <w:tcPr>
            <w:tcW w:w="315" w:type="pct"/>
            <w:tcBorders>
              <w:top w:val="single" w:sz="4" w:space="0" w:color="auto"/>
              <w:left w:val="single" w:sz="4" w:space="0" w:color="auto"/>
              <w:bottom w:val="single" w:sz="4" w:space="0" w:color="auto"/>
              <w:right w:val="single" w:sz="4" w:space="0" w:color="auto"/>
            </w:tcBorders>
            <w:vAlign w:val="center"/>
          </w:tcPr>
          <w:p w14:paraId="42355C0E" w14:textId="0B15BF04" w:rsidR="00F87636" w:rsidRDefault="00F87636" w:rsidP="00F87636">
            <w:pPr>
              <w:jc w:val="center"/>
              <w:rPr>
                <w:rFonts w:ascii="Calibri" w:hAnsi="Calibri"/>
                <w:sz w:val="20"/>
                <w:szCs w:val="20"/>
              </w:rPr>
            </w:pPr>
            <w:r>
              <w:rPr>
                <w:rFonts w:ascii="Calibri" w:hAnsi="Calibri"/>
                <w:sz w:val="20"/>
                <w:szCs w:val="20"/>
              </w:rPr>
              <w:t xml:space="preserve">8% </w:t>
            </w:r>
          </w:p>
        </w:tc>
        <w:tc>
          <w:tcPr>
            <w:tcW w:w="939" w:type="pct"/>
            <w:tcBorders>
              <w:top w:val="single" w:sz="4" w:space="0" w:color="auto"/>
              <w:left w:val="single" w:sz="4" w:space="0" w:color="auto"/>
              <w:bottom w:val="single" w:sz="4" w:space="0" w:color="auto"/>
              <w:right w:val="single" w:sz="4" w:space="0" w:color="auto"/>
            </w:tcBorders>
            <w:vAlign w:val="center"/>
          </w:tcPr>
          <w:p w14:paraId="141964FF" w14:textId="10B21451" w:rsidR="00F87636" w:rsidRDefault="000D5357" w:rsidP="00F87636">
            <w:pPr>
              <w:jc w:val="left"/>
              <w:rPr>
                <w:rFonts w:ascii="Calibri" w:hAnsi="Calibri"/>
                <w:sz w:val="20"/>
                <w:szCs w:val="20"/>
              </w:rPr>
            </w:pPr>
            <w:r>
              <w:rPr>
                <w:rFonts w:ascii="Calibri" w:hAnsi="Calibri"/>
                <w:sz w:val="20"/>
                <w:szCs w:val="20"/>
              </w:rPr>
              <w:t>Inadequate treatment</w:t>
            </w:r>
          </w:p>
        </w:tc>
        <w:tc>
          <w:tcPr>
            <w:tcW w:w="379" w:type="pct"/>
            <w:tcBorders>
              <w:top w:val="single" w:sz="4" w:space="0" w:color="auto"/>
              <w:left w:val="single" w:sz="4" w:space="0" w:color="auto"/>
              <w:bottom w:val="single" w:sz="4" w:space="0" w:color="auto"/>
              <w:right w:val="single" w:sz="4" w:space="0" w:color="auto"/>
            </w:tcBorders>
            <w:vAlign w:val="center"/>
          </w:tcPr>
          <w:p w14:paraId="2D44514C" w14:textId="0BF9211D" w:rsidR="00F87636" w:rsidRDefault="000D5357" w:rsidP="00F87636">
            <w:pPr>
              <w:jc w:val="center"/>
              <w:rPr>
                <w:rFonts w:ascii="Calibri" w:hAnsi="Calibri"/>
                <w:sz w:val="20"/>
                <w:szCs w:val="20"/>
              </w:rPr>
            </w:pPr>
            <w:r>
              <w:rPr>
                <w:rFonts w:ascii="Calibri" w:hAnsi="Calibri"/>
                <w:sz w:val="20"/>
                <w:szCs w:val="20"/>
              </w:rPr>
              <w:t>5</w:t>
            </w:r>
            <w:r w:rsidR="00F87636">
              <w:rPr>
                <w:rFonts w:ascii="Calibri" w:hAnsi="Calibri"/>
                <w:sz w:val="20"/>
                <w:szCs w:val="20"/>
              </w:rPr>
              <w:t>%</w:t>
            </w:r>
          </w:p>
        </w:tc>
      </w:tr>
    </w:tbl>
    <w:p w14:paraId="20251F80" w14:textId="68284274" w:rsidR="00A16504" w:rsidRDefault="00A16504" w:rsidP="00841E1C">
      <w:pPr>
        <w:spacing w:after="120"/>
        <w:rPr>
          <w:b/>
        </w:rPr>
      </w:pPr>
    </w:p>
    <w:p w14:paraId="6B8A3AEC" w14:textId="31036752" w:rsidR="00A16504" w:rsidRDefault="00A16504" w:rsidP="00841E1C">
      <w:pPr>
        <w:spacing w:after="120"/>
        <w:rPr>
          <w:b/>
        </w:rPr>
      </w:pPr>
    </w:p>
    <w:p w14:paraId="6A9F8ABB" w14:textId="2EA92477" w:rsidR="00EC04B3" w:rsidRDefault="00EC04B3" w:rsidP="00555018">
      <w:pPr>
        <w:pStyle w:val="Heading3"/>
        <w:spacing w:after="120"/>
        <w:rPr>
          <w:b/>
          <w:i w:val="0"/>
        </w:rPr>
      </w:pPr>
      <w:r>
        <w:rPr>
          <w:b/>
          <w:i w:val="0"/>
        </w:rPr>
        <w:br w:type="page"/>
      </w:r>
    </w:p>
    <w:p w14:paraId="795A8072" w14:textId="6D70E5CA" w:rsidR="00555018" w:rsidRPr="003D2C86" w:rsidRDefault="00555018" w:rsidP="00555018">
      <w:pPr>
        <w:pStyle w:val="Heading3"/>
        <w:spacing w:after="120"/>
        <w:rPr>
          <w:b/>
          <w:i w:val="0"/>
          <w:sz w:val="28"/>
          <w:szCs w:val="28"/>
        </w:rPr>
      </w:pPr>
      <w:bookmarkStart w:id="69" w:name="_Toc58316489"/>
      <w:r>
        <w:rPr>
          <w:b/>
          <w:i w:val="0"/>
          <w:sz w:val="28"/>
          <w:szCs w:val="28"/>
        </w:rPr>
        <w:lastRenderedPageBreak/>
        <w:t>3.2</w:t>
      </w:r>
      <w:r w:rsidRPr="00666BAC">
        <w:rPr>
          <w:b/>
          <w:i w:val="0"/>
          <w:sz w:val="28"/>
          <w:szCs w:val="28"/>
        </w:rPr>
        <w:tab/>
      </w:r>
      <w:r>
        <w:rPr>
          <w:b/>
          <w:i w:val="0"/>
          <w:sz w:val="28"/>
          <w:szCs w:val="28"/>
        </w:rPr>
        <w:t>All i</w:t>
      </w:r>
      <w:r w:rsidRPr="00666BAC">
        <w:rPr>
          <w:b/>
          <w:i w:val="0"/>
          <w:sz w:val="28"/>
          <w:szCs w:val="28"/>
        </w:rPr>
        <w:t>ssues identified in complaints</w:t>
      </w:r>
      <w:bookmarkEnd w:id="69"/>
      <w:r w:rsidRPr="00666BAC">
        <w:rPr>
          <w:b/>
          <w:i w:val="0"/>
          <w:sz w:val="28"/>
          <w:szCs w:val="28"/>
        </w:rPr>
        <w:t xml:space="preserve"> </w:t>
      </w:r>
    </w:p>
    <w:p w14:paraId="69C97FF3" w14:textId="517F9BAD" w:rsidR="00CE7765" w:rsidRDefault="00841E1C" w:rsidP="0078382D">
      <w:pPr>
        <w:spacing w:after="480"/>
        <w:rPr>
          <w:rFonts w:ascii="Calibri" w:hAnsi="Calibri"/>
          <w:szCs w:val="22"/>
        </w:rPr>
      </w:pPr>
      <w:r>
        <w:rPr>
          <w:rFonts w:ascii="Calibri" w:hAnsi="Calibri"/>
          <w:szCs w:val="22"/>
        </w:rPr>
        <w:t>As well as the primary complaint issue, up to six additional complaint issues are identified for each co</w:t>
      </w:r>
      <w:r w:rsidR="0086165A">
        <w:rPr>
          <w:rFonts w:ascii="Calibri" w:hAnsi="Calibri"/>
          <w:szCs w:val="22"/>
        </w:rPr>
        <w:t>mplaint received by HDC. Table 9</w:t>
      </w:r>
      <w:r>
        <w:rPr>
          <w:rFonts w:ascii="Calibri" w:hAnsi="Calibri"/>
          <w:szCs w:val="22"/>
        </w:rPr>
        <w:t xml:space="preserve"> includes these additional complaint issues, as well as the primary complaint issues, to show all issues identified in complaints received. </w:t>
      </w:r>
    </w:p>
    <w:p w14:paraId="69C1A2AF" w14:textId="5CEEEA84" w:rsidR="00CE7765" w:rsidRDefault="0086165A" w:rsidP="00CE7765">
      <w:pPr>
        <w:spacing w:after="120"/>
        <w:rPr>
          <w:rFonts w:ascii="Calibri" w:hAnsi="Calibri"/>
          <w:szCs w:val="22"/>
        </w:rPr>
      </w:pPr>
      <w:r>
        <w:rPr>
          <w:rFonts w:ascii="Calibri" w:hAnsi="Calibri"/>
          <w:b/>
          <w:szCs w:val="22"/>
        </w:rPr>
        <w:t>Table 9</w:t>
      </w:r>
      <w:r w:rsidR="00CE7765">
        <w:rPr>
          <w:rFonts w:ascii="Calibri" w:hAnsi="Calibri"/>
          <w:b/>
          <w:szCs w:val="22"/>
        </w:rPr>
        <w:t xml:space="preserve">. </w:t>
      </w:r>
      <w:r w:rsidR="00CE7765">
        <w:rPr>
          <w:rFonts w:ascii="Calibri" w:hAnsi="Calibri"/>
          <w:szCs w:val="22"/>
        </w:rPr>
        <w:t>All issues identified in complaints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701"/>
        <w:gridCol w:w="1418"/>
      </w:tblGrid>
      <w:tr w:rsidR="00BE48B8" w14:paraId="25A7E414" w14:textId="77777777" w:rsidTr="0078382D">
        <w:trPr>
          <w:tblHeader/>
        </w:trPr>
        <w:tc>
          <w:tcPr>
            <w:tcW w:w="5670" w:type="dxa"/>
            <w:tcBorders>
              <w:top w:val="single" w:sz="4" w:space="0" w:color="auto"/>
              <w:left w:val="single" w:sz="4" w:space="0" w:color="auto"/>
              <w:bottom w:val="single" w:sz="4" w:space="0" w:color="auto"/>
              <w:right w:val="single" w:sz="4" w:space="0" w:color="auto"/>
            </w:tcBorders>
            <w:shd w:val="clear" w:color="auto" w:fill="C00000"/>
            <w:hideMark/>
          </w:tcPr>
          <w:p w14:paraId="73EFBCDB" w14:textId="58E9BB26" w:rsidR="00BE48B8" w:rsidRDefault="00CE7765" w:rsidP="00BE48B8">
            <w:pPr>
              <w:keepNext/>
              <w:keepLines/>
              <w:tabs>
                <w:tab w:val="left" w:pos="1440"/>
                <w:tab w:val="decimal" w:pos="4320"/>
              </w:tabs>
              <w:spacing w:before="120"/>
              <w:jc w:val="left"/>
              <w:outlineLvl w:val="0"/>
              <w:rPr>
                <w:rFonts w:ascii="Calibri" w:hAnsi="Calibri"/>
                <w:b/>
                <w:szCs w:val="22"/>
              </w:rPr>
            </w:pPr>
            <w:r>
              <w:rPr>
                <w:rFonts w:ascii="Calibri" w:hAnsi="Calibri"/>
                <w:b/>
                <w:szCs w:val="22"/>
              </w:rPr>
              <w:t>All issues</w:t>
            </w:r>
            <w:r w:rsidR="00BE48B8">
              <w:rPr>
                <w:rFonts w:ascii="Calibri" w:hAnsi="Calibri"/>
                <w:b/>
                <w:szCs w:val="22"/>
              </w:rPr>
              <w:t xml:space="preserve"> </w:t>
            </w:r>
            <w:r>
              <w:rPr>
                <w:rFonts w:ascii="Calibri" w:hAnsi="Calibri"/>
                <w:b/>
                <w:szCs w:val="22"/>
              </w:rPr>
              <w:t>in complaints</w:t>
            </w:r>
          </w:p>
        </w:tc>
        <w:tc>
          <w:tcPr>
            <w:tcW w:w="1701" w:type="dxa"/>
            <w:tcBorders>
              <w:top w:val="single" w:sz="4" w:space="0" w:color="auto"/>
              <w:left w:val="single" w:sz="4" w:space="0" w:color="auto"/>
              <w:bottom w:val="single" w:sz="4" w:space="0" w:color="auto"/>
              <w:right w:val="single" w:sz="4" w:space="0" w:color="auto"/>
            </w:tcBorders>
            <w:shd w:val="clear" w:color="auto" w:fill="C00000"/>
            <w:hideMark/>
          </w:tcPr>
          <w:p w14:paraId="4F2D154B" w14:textId="77777777" w:rsidR="00BE48B8" w:rsidRDefault="00BE48B8" w:rsidP="00BE48B8">
            <w:pPr>
              <w:keepNext/>
              <w:keepLines/>
              <w:tabs>
                <w:tab w:val="left" w:pos="1440"/>
                <w:tab w:val="decimal" w:pos="4320"/>
              </w:tabs>
              <w:spacing w:before="120"/>
              <w:jc w:val="center"/>
              <w:outlineLvl w:val="0"/>
              <w:rPr>
                <w:rFonts w:ascii="Calibri" w:hAnsi="Calibri"/>
                <w:b/>
                <w:szCs w:val="22"/>
              </w:rPr>
            </w:pPr>
            <w:r>
              <w:rPr>
                <w:rFonts w:ascii="Calibri" w:hAnsi="Calibri"/>
                <w:b/>
                <w:szCs w:val="22"/>
              </w:rPr>
              <w:t xml:space="preserve">Number of complaints </w:t>
            </w:r>
          </w:p>
        </w:tc>
        <w:tc>
          <w:tcPr>
            <w:tcW w:w="1418" w:type="dxa"/>
            <w:tcBorders>
              <w:top w:val="single" w:sz="4" w:space="0" w:color="auto"/>
              <w:left w:val="single" w:sz="4" w:space="0" w:color="auto"/>
              <w:bottom w:val="single" w:sz="4" w:space="0" w:color="auto"/>
              <w:right w:val="single" w:sz="4" w:space="0" w:color="auto"/>
            </w:tcBorders>
            <w:shd w:val="clear" w:color="auto" w:fill="C00000"/>
            <w:hideMark/>
          </w:tcPr>
          <w:p w14:paraId="0F96C247" w14:textId="77777777" w:rsidR="00BE48B8" w:rsidRDefault="00BE48B8" w:rsidP="00BE48B8">
            <w:pPr>
              <w:keepNext/>
              <w:keepLines/>
              <w:tabs>
                <w:tab w:val="left" w:pos="1440"/>
                <w:tab w:val="decimal" w:pos="4320"/>
              </w:tabs>
              <w:spacing w:before="120"/>
              <w:jc w:val="center"/>
              <w:outlineLvl w:val="0"/>
              <w:rPr>
                <w:rFonts w:ascii="Calibri" w:hAnsi="Calibri"/>
                <w:b/>
                <w:szCs w:val="22"/>
              </w:rPr>
            </w:pPr>
            <w:r>
              <w:rPr>
                <w:rFonts w:ascii="Calibri" w:hAnsi="Calibri"/>
                <w:b/>
                <w:szCs w:val="22"/>
              </w:rPr>
              <w:t>Percentage</w:t>
            </w:r>
          </w:p>
        </w:tc>
      </w:tr>
      <w:tr w:rsidR="00BE48B8" w14:paraId="265C14A6" w14:textId="77777777" w:rsidTr="0078382D">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4E59547" w14:textId="77777777" w:rsidR="00BE48B8" w:rsidRDefault="00BE48B8" w:rsidP="00BE48B8">
            <w:pPr>
              <w:keepNext/>
              <w:keepLines/>
              <w:rPr>
                <w:rFonts w:ascii="Calibri" w:hAnsi="Calibri" w:cs="Calibri"/>
                <w:b/>
                <w:i/>
                <w:color w:val="000000"/>
                <w:szCs w:val="22"/>
              </w:rPr>
            </w:pPr>
            <w:r>
              <w:rPr>
                <w:rFonts w:ascii="Calibri" w:hAnsi="Calibri" w:cs="Calibri"/>
                <w:b/>
                <w:i/>
                <w:color w:val="000000"/>
                <w:szCs w:val="22"/>
              </w:rPr>
              <w:t>Access/Funding</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9C9F9B" w14:textId="7AE653EE" w:rsidR="00BE48B8" w:rsidRDefault="004E22F0" w:rsidP="00BE48B8">
            <w:pPr>
              <w:keepNext/>
              <w:keepLines/>
              <w:jc w:val="center"/>
              <w:rPr>
                <w:rFonts w:ascii="Calibri" w:hAnsi="Calibri" w:cs="Calibri"/>
                <w:b/>
                <w:i/>
                <w:color w:val="000000"/>
                <w:szCs w:val="22"/>
              </w:rPr>
            </w:pPr>
            <w:r>
              <w:rPr>
                <w:rFonts w:ascii="Calibri" w:hAnsi="Calibri" w:cs="Calibri"/>
                <w:b/>
                <w:i/>
                <w:color w:val="000000"/>
                <w:szCs w:val="22"/>
              </w:rPr>
              <w:t>105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A3DCD8" w14:textId="1CB3FDD2" w:rsidR="00BE48B8" w:rsidRDefault="009F42AE" w:rsidP="00BE48B8">
            <w:pPr>
              <w:keepNext/>
              <w:keepLines/>
              <w:jc w:val="center"/>
              <w:rPr>
                <w:rFonts w:ascii="Calibri" w:hAnsi="Calibri" w:cs="Calibri"/>
                <w:b/>
                <w:i/>
                <w:color w:val="000000"/>
                <w:szCs w:val="22"/>
              </w:rPr>
            </w:pPr>
            <w:r>
              <w:rPr>
                <w:rFonts w:ascii="Calibri" w:hAnsi="Calibri" w:cs="Calibri"/>
                <w:b/>
                <w:i/>
                <w:color w:val="000000"/>
                <w:szCs w:val="22"/>
              </w:rPr>
              <w:t>26.8</w:t>
            </w:r>
            <w:r w:rsidR="00F13FBA">
              <w:rPr>
                <w:rFonts w:ascii="Calibri" w:hAnsi="Calibri" w:cs="Calibri"/>
                <w:b/>
                <w:i/>
                <w:color w:val="000000"/>
                <w:szCs w:val="22"/>
              </w:rPr>
              <w:t>%</w:t>
            </w:r>
          </w:p>
        </w:tc>
      </w:tr>
      <w:tr w:rsidR="00BE48B8" w14:paraId="3439E813" w14:textId="77777777" w:rsidTr="0078382D">
        <w:tc>
          <w:tcPr>
            <w:tcW w:w="5670" w:type="dxa"/>
            <w:tcBorders>
              <w:top w:val="single" w:sz="4" w:space="0" w:color="auto"/>
              <w:left w:val="single" w:sz="4" w:space="0" w:color="auto"/>
              <w:bottom w:val="single" w:sz="4" w:space="0" w:color="auto"/>
              <w:right w:val="single" w:sz="4" w:space="0" w:color="auto"/>
            </w:tcBorders>
            <w:vAlign w:val="bottom"/>
            <w:hideMark/>
          </w:tcPr>
          <w:p w14:paraId="3590F767" w14:textId="77777777" w:rsidR="00BE48B8" w:rsidRDefault="00BE48B8" w:rsidP="00BE48B8">
            <w:pPr>
              <w:keepNext/>
              <w:keepLines/>
              <w:tabs>
                <w:tab w:val="left" w:pos="176"/>
              </w:tabs>
              <w:ind w:left="176"/>
              <w:jc w:val="left"/>
              <w:rPr>
                <w:rFonts w:ascii="Calibri" w:hAnsi="Calibri" w:cs="Calibri"/>
                <w:color w:val="000000"/>
                <w:szCs w:val="22"/>
              </w:rPr>
            </w:pPr>
            <w:r>
              <w:rPr>
                <w:rFonts w:ascii="Calibri" w:hAnsi="Calibri" w:cs="Calibri"/>
                <w:color w:val="000000"/>
                <w:szCs w:val="22"/>
              </w:rPr>
              <w:t xml:space="preserve">Lack of access to services </w:t>
            </w:r>
          </w:p>
        </w:tc>
        <w:tc>
          <w:tcPr>
            <w:tcW w:w="1701" w:type="dxa"/>
            <w:tcBorders>
              <w:top w:val="single" w:sz="4" w:space="0" w:color="auto"/>
              <w:left w:val="single" w:sz="4" w:space="0" w:color="auto"/>
              <w:bottom w:val="single" w:sz="4" w:space="0" w:color="auto"/>
              <w:right w:val="single" w:sz="4" w:space="0" w:color="auto"/>
            </w:tcBorders>
            <w:vAlign w:val="center"/>
          </w:tcPr>
          <w:p w14:paraId="156FEEC1" w14:textId="5C2AC1A1" w:rsidR="00BE48B8" w:rsidRDefault="00693A6C" w:rsidP="00BE48B8">
            <w:pPr>
              <w:keepNext/>
              <w:keepLines/>
              <w:jc w:val="center"/>
              <w:rPr>
                <w:rFonts w:ascii="Calibri" w:hAnsi="Calibri" w:cs="Calibri"/>
                <w:color w:val="000000"/>
                <w:szCs w:val="22"/>
              </w:rPr>
            </w:pPr>
            <w:r>
              <w:rPr>
                <w:rFonts w:ascii="Calibri" w:hAnsi="Calibri" w:cs="Calibri"/>
                <w:color w:val="000000"/>
                <w:szCs w:val="22"/>
              </w:rPr>
              <w:t>60</w:t>
            </w:r>
          </w:p>
        </w:tc>
        <w:tc>
          <w:tcPr>
            <w:tcW w:w="1418" w:type="dxa"/>
            <w:tcBorders>
              <w:top w:val="single" w:sz="4" w:space="0" w:color="auto"/>
              <w:left w:val="single" w:sz="4" w:space="0" w:color="auto"/>
              <w:bottom w:val="single" w:sz="4" w:space="0" w:color="auto"/>
              <w:right w:val="single" w:sz="4" w:space="0" w:color="auto"/>
            </w:tcBorders>
            <w:vAlign w:val="center"/>
          </w:tcPr>
          <w:p w14:paraId="02272EC5" w14:textId="27BFBD38" w:rsidR="00BE48B8" w:rsidRDefault="009F42AE" w:rsidP="00BE48B8">
            <w:pPr>
              <w:keepNext/>
              <w:keepLines/>
              <w:jc w:val="center"/>
              <w:rPr>
                <w:rFonts w:ascii="Calibri" w:hAnsi="Calibri" w:cs="Calibri"/>
                <w:color w:val="000000"/>
                <w:szCs w:val="22"/>
              </w:rPr>
            </w:pPr>
            <w:r>
              <w:rPr>
                <w:rFonts w:ascii="Calibri" w:hAnsi="Calibri" w:cs="Calibri"/>
                <w:color w:val="000000"/>
                <w:szCs w:val="22"/>
              </w:rPr>
              <w:t>15.3</w:t>
            </w:r>
            <w:r w:rsidR="00F13FBA">
              <w:rPr>
                <w:rFonts w:ascii="Calibri" w:hAnsi="Calibri" w:cs="Calibri"/>
                <w:color w:val="000000"/>
                <w:szCs w:val="22"/>
              </w:rPr>
              <w:t>%</w:t>
            </w:r>
          </w:p>
        </w:tc>
      </w:tr>
      <w:tr w:rsidR="00BE48B8" w14:paraId="57B0A2CB" w14:textId="77777777" w:rsidTr="0078382D">
        <w:tc>
          <w:tcPr>
            <w:tcW w:w="5670" w:type="dxa"/>
            <w:tcBorders>
              <w:top w:val="single" w:sz="4" w:space="0" w:color="auto"/>
              <w:left w:val="single" w:sz="4" w:space="0" w:color="auto"/>
              <w:bottom w:val="single" w:sz="4" w:space="0" w:color="auto"/>
              <w:right w:val="single" w:sz="4" w:space="0" w:color="auto"/>
            </w:tcBorders>
            <w:vAlign w:val="bottom"/>
            <w:hideMark/>
          </w:tcPr>
          <w:p w14:paraId="2C88F6B3" w14:textId="77777777" w:rsidR="00BE48B8" w:rsidRDefault="00BE48B8" w:rsidP="00BE48B8">
            <w:pPr>
              <w:keepNext/>
              <w:keepLines/>
              <w:ind w:left="720" w:hanging="544"/>
              <w:rPr>
                <w:rFonts w:ascii="Calibri" w:hAnsi="Calibri" w:cs="Calibri"/>
                <w:color w:val="000000"/>
                <w:szCs w:val="22"/>
              </w:rPr>
            </w:pPr>
            <w:r>
              <w:rPr>
                <w:rFonts w:ascii="Calibri" w:hAnsi="Calibri" w:cs="Calibri"/>
                <w:color w:val="000000"/>
                <w:szCs w:val="22"/>
              </w:rPr>
              <w:t>Lack of access to subsidies/funding</w:t>
            </w:r>
          </w:p>
        </w:tc>
        <w:tc>
          <w:tcPr>
            <w:tcW w:w="1701" w:type="dxa"/>
            <w:tcBorders>
              <w:top w:val="single" w:sz="4" w:space="0" w:color="auto"/>
              <w:left w:val="single" w:sz="4" w:space="0" w:color="auto"/>
              <w:bottom w:val="single" w:sz="4" w:space="0" w:color="auto"/>
              <w:right w:val="single" w:sz="4" w:space="0" w:color="auto"/>
            </w:tcBorders>
            <w:vAlign w:val="center"/>
          </w:tcPr>
          <w:p w14:paraId="1D6CFAAF" w14:textId="243B79FB" w:rsidR="00BE48B8" w:rsidRDefault="00CE7765" w:rsidP="00BE48B8">
            <w:pPr>
              <w:keepNext/>
              <w:keepLines/>
              <w:jc w:val="center"/>
              <w:rPr>
                <w:rFonts w:ascii="Calibri" w:hAnsi="Calibri" w:cs="Calibri"/>
                <w:color w:val="000000"/>
                <w:szCs w:val="22"/>
              </w:rPr>
            </w:pPr>
            <w:r>
              <w:rPr>
                <w:rFonts w:ascii="Calibri" w:hAnsi="Calibri" w:cs="Calibri"/>
                <w:color w:val="000000"/>
                <w:szCs w:val="22"/>
              </w:rPr>
              <w:t>6</w:t>
            </w:r>
          </w:p>
        </w:tc>
        <w:tc>
          <w:tcPr>
            <w:tcW w:w="1418" w:type="dxa"/>
            <w:tcBorders>
              <w:top w:val="single" w:sz="4" w:space="0" w:color="auto"/>
              <w:left w:val="single" w:sz="4" w:space="0" w:color="auto"/>
              <w:bottom w:val="single" w:sz="4" w:space="0" w:color="auto"/>
              <w:right w:val="single" w:sz="4" w:space="0" w:color="auto"/>
            </w:tcBorders>
            <w:vAlign w:val="center"/>
          </w:tcPr>
          <w:p w14:paraId="78D9D440" w14:textId="50AC2B3C" w:rsidR="00BE48B8" w:rsidRDefault="00F13FBA" w:rsidP="00BE48B8">
            <w:pPr>
              <w:keepNext/>
              <w:keepLines/>
              <w:jc w:val="center"/>
              <w:rPr>
                <w:rFonts w:ascii="Calibri" w:hAnsi="Calibri" w:cs="Calibri"/>
                <w:color w:val="000000"/>
                <w:szCs w:val="22"/>
              </w:rPr>
            </w:pPr>
            <w:r>
              <w:rPr>
                <w:rFonts w:ascii="Calibri" w:hAnsi="Calibri" w:cs="Calibri"/>
                <w:color w:val="000000"/>
                <w:szCs w:val="22"/>
              </w:rPr>
              <w:t>1.5%</w:t>
            </w:r>
          </w:p>
        </w:tc>
      </w:tr>
      <w:tr w:rsidR="00BE48B8" w14:paraId="5B6DA6C4" w14:textId="77777777" w:rsidTr="0078382D">
        <w:tc>
          <w:tcPr>
            <w:tcW w:w="5670" w:type="dxa"/>
            <w:tcBorders>
              <w:top w:val="single" w:sz="4" w:space="0" w:color="auto"/>
              <w:left w:val="single" w:sz="4" w:space="0" w:color="auto"/>
              <w:bottom w:val="single" w:sz="4" w:space="0" w:color="auto"/>
              <w:right w:val="single" w:sz="4" w:space="0" w:color="auto"/>
            </w:tcBorders>
            <w:vAlign w:val="bottom"/>
            <w:hideMark/>
          </w:tcPr>
          <w:p w14:paraId="2E623637" w14:textId="77777777" w:rsidR="00BE48B8" w:rsidRDefault="00BE48B8" w:rsidP="00BE48B8">
            <w:pPr>
              <w:keepNext/>
              <w:keepLines/>
              <w:tabs>
                <w:tab w:val="left" w:pos="176"/>
              </w:tabs>
              <w:ind w:left="176"/>
              <w:rPr>
                <w:rFonts w:ascii="Calibri" w:hAnsi="Calibri" w:cs="Calibri"/>
                <w:color w:val="000000"/>
                <w:szCs w:val="22"/>
              </w:rPr>
            </w:pPr>
            <w:r>
              <w:rPr>
                <w:rFonts w:ascii="Calibri" w:hAnsi="Calibri" w:cs="Calibri"/>
                <w:color w:val="000000"/>
                <w:szCs w:val="22"/>
              </w:rPr>
              <w:t>Waiting list/prioritisation issue</w:t>
            </w:r>
          </w:p>
        </w:tc>
        <w:tc>
          <w:tcPr>
            <w:tcW w:w="1701" w:type="dxa"/>
            <w:tcBorders>
              <w:top w:val="single" w:sz="4" w:space="0" w:color="auto"/>
              <w:left w:val="single" w:sz="4" w:space="0" w:color="auto"/>
              <w:bottom w:val="single" w:sz="4" w:space="0" w:color="auto"/>
              <w:right w:val="single" w:sz="4" w:space="0" w:color="auto"/>
            </w:tcBorders>
            <w:vAlign w:val="center"/>
          </w:tcPr>
          <w:p w14:paraId="08C6A81C" w14:textId="1BF2FF25" w:rsidR="00BE48B8" w:rsidRDefault="00D43881" w:rsidP="00BE48B8">
            <w:pPr>
              <w:keepNext/>
              <w:keepLines/>
              <w:jc w:val="center"/>
              <w:rPr>
                <w:rFonts w:ascii="Calibri" w:hAnsi="Calibri" w:cs="Calibri"/>
                <w:color w:val="000000"/>
                <w:szCs w:val="22"/>
              </w:rPr>
            </w:pPr>
            <w:r>
              <w:rPr>
                <w:rFonts w:ascii="Calibri" w:hAnsi="Calibri" w:cs="Calibri"/>
                <w:color w:val="000000"/>
                <w:szCs w:val="22"/>
              </w:rPr>
              <w:t>45</w:t>
            </w:r>
          </w:p>
        </w:tc>
        <w:tc>
          <w:tcPr>
            <w:tcW w:w="1418" w:type="dxa"/>
            <w:tcBorders>
              <w:top w:val="single" w:sz="4" w:space="0" w:color="auto"/>
              <w:left w:val="single" w:sz="4" w:space="0" w:color="auto"/>
              <w:bottom w:val="single" w:sz="4" w:space="0" w:color="auto"/>
              <w:right w:val="single" w:sz="4" w:space="0" w:color="auto"/>
            </w:tcBorders>
            <w:vAlign w:val="center"/>
          </w:tcPr>
          <w:p w14:paraId="482C02A1" w14:textId="6C8B6EE8" w:rsidR="00BE48B8" w:rsidRDefault="009F42AE" w:rsidP="00BE48B8">
            <w:pPr>
              <w:keepNext/>
              <w:keepLines/>
              <w:jc w:val="center"/>
              <w:rPr>
                <w:rFonts w:ascii="Calibri" w:hAnsi="Calibri" w:cs="Calibri"/>
                <w:color w:val="000000"/>
                <w:szCs w:val="22"/>
              </w:rPr>
            </w:pPr>
            <w:r>
              <w:rPr>
                <w:rFonts w:ascii="Calibri" w:hAnsi="Calibri" w:cs="Calibri"/>
                <w:color w:val="000000"/>
                <w:szCs w:val="22"/>
              </w:rPr>
              <w:t>11.5</w:t>
            </w:r>
            <w:r w:rsidR="00F13FBA">
              <w:rPr>
                <w:rFonts w:ascii="Calibri" w:hAnsi="Calibri" w:cs="Calibri"/>
                <w:color w:val="000000"/>
                <w:szCs w:val="22"/>
              </w:rPr>
              <w:t>%</w:t>
            </w:r>
          </w:p>
        </w:tc>
      </w:tr>
      <w:tr w:rsidR="00BE48B8" w14:paraId="21B593D9" w14:textId="77777777" w:rsidTr="0078382D">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72448B4" w14:textId="77777777" w:rsidR="00BE48B8" w:rsidRDefault="00BE48B8" w:rsidP="00BE48B8">
            <w:pPr>
              <w:keepNext/>
              <w:keepLines/>
              <w:tabs>
                <w:tab w:val="left" w:pos="176"/>
              </w:tabs>
              <w:jc w:val="left"/>
              <w:rPr>
                <w:rFonts w:ascii="Calibri" w:hAnsi="Calibri" w:cs="Calibri"/>
                <w:b/>
                <w:i/>
                <w:color w:val="000000"/>
                <w:szCs w:val="22"/>
              </w:rPr>
            </w:pPr>
            <w:r>
              <w:rPr>
                <w:rFonts w:ascii="Calibri" w:hAnsi="Calibri" w:cs="Calibri"/>
                <w:b/>
                <w:i/>
                <w:color w:val="000000"/>
                <w:szCs w:val="22"/>
              </w:rPr>
              <w:t>Care/Treatment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06087E" w14:textId="591BEA5A" w:rsidR="00BE48B8" w:rsidRDefault="0043728B" w:rsidP="00BE48B8">
            <w:pPr>
              <w:keepNext/>
              <w:keepLines/>
              <w:jc w:val="center"/>
              <w:rPr>
                <w:rFonts w:ascii="Calibri" w:hAnsi="Calibri" w:cs="Calibri"/>
                <w:b/>
                <w:i/>
                <w:color w:val="000000"/>
                <w:szCs w:val="22"/>
              </w:rPr>
            </w:pPr>
            <w:r>
              <w:rPr>
                <w:rFonts w:ascii="Calibri" w:hAnsi="Calibri" w:cs="Calibri"/>
                <w:b/>
                <w:i/>
                <w:color w:val="000000"/>
                <w:szCs w:val="22"/>
              </w:rPr>
              <w:t>281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80A137" w14:textId="26544B4D" w:rsidR="00BE48B8" w:rsidRDefault="009F42AE" w:rsidP="00BE48B8">
            <w:pPr>
              <w:keepNext/>
              <w:keepLines/>
              <w:jc w:val="center"/>
              <w:rPr>
                <w:rFonts w:ascii="Calibri" w:hAnsi="Calibri" w:cs="Calibri"/>
                <w:b/>
                <w:i/>
                <w:color w:val="000000"/>
                <w:szCs w:val="22"/>
              </w:rPr>
            </w:pPr>
            <w:r>
              <w:rPr>
                <w:rFonts w:ascii="Calibri" w:hAnsi="Calibri" w:cs="Calibri"/>
                <w:b/>
                <w:i/>
                <w:color w:val="000000"/>
                <w:szCs w:val="22"/>
              </w:rPr>
              <w:t>71.7</w:t>
            </w:r>
            <w:r w:rsidR="00F13FBA">
              <w:rPr>
                <w:rFonts w:ascii="Calibri" w:hAnsi="Calibri" w:cs="Calibri"/>
                <w:b/>
                <w:i/>
                <w:color w:val="000000"/>
                <w:szCs w:val="22"/>
              </w:rPr>
              <w:t>%</w:t>
            </w:r>
          </w:p>
        </w:tc>
      </w:tr>
      <w:tr w:rsidR="00BE48B8" w14:paraId="11885C59" w14:textId="77777777" w:rsidTr="0078382D">
        <w:tc>
          <w:tcPr>
            <w:tcW w:w="5670" w:type="dxa"/>
            <w:tcBorders>
              <w:top w:val="single" w:sz="4" w:space="0" w:color="auto"/>
              <w:left w:val="single" w:sz="4" w:space="0" w:color="auto"/>
              <w:bottom w:val="single" w:sz="4" w:space="0" w:color="auto"/>
              <w:right w:val="single" w:sz="4" w:space="0" w:color="auto"/>
            </w:tcBorders>
            <w:vAlign w:val="bottom"/>
            <w:hideMark/>
          </w:tcPr>
          <w:p w14:paraId="4DF5AFA4" w14:textId="77777777" w:rsidR="00BE48B8" w:rsidRDefault="00BE48B8" w:rsidP="00BE48B8">
            <w:pPr>
              <w:keepNext/>
              <w:keepLines/>
              <w:tabs>
                <w:tab w:val="left" w:pos="176"/>
              </w:tabs>
              <w:ind w:left="176"/>
              <w:rPr>
                <w:rFonts w:ascii="Calibri" w:hAnsi="Calibri" w:cs="Calibri"/>
                <w:color w:val="000000"/>
                <w:szCs w:val="22"/>
              </w:rPr>
            </w:pPr>
            <w:r>
              <w:rPr>
                <w:rFonts w:ascii="Calibri" w:hAnsi="Calibri" w:cs="Calibri"/>
                <w:color w:val="000000"/>
                <w:szCs w:val="22"/>
              </w:rPr>
              <w:t>Delay in treatment</w:t>
            </w:r>
          </w:p>
        </w:tc>
        <w:tc>
          <w:tcPr>
            <w:tcW w:w="1701" w:type="dxa"/>
            <w:tcBorders>
              <w:top w:val="single" w:sz="4" w:space="0" w:color="auto"/>
              <w:left w:val="single" w:sz="4" w:space="0" w:color="auto"/>
              <w:bottom w:val="single" w:sz="4" w:space="0" w:color="auto"/>
              <w:right w:val="single" w:sz="4" w:space="0" w:color="auto"/>
            </w:tcBorders>
            <w:vAlign w:val="center"/>
          </w:tcPr>
          <w:p w14:paraId="65600F2D" w14:textId="1E926264" w:rsidR="00BE48B8" w:rsidRDefault="00C900D0" w:rsidP="00BE48B8">
            <w:pPr>
              <w:keepNext/>
              <w:keepLines/>
              <w:jc w:val="center"/>
              <w:rPr>
                <w:rFonts w:ascii="Calibri" w:hAnsi="Calibri" w:cs="Calibri"/>
                <w:color w:val="000000"/>
                <w:szCs w:val="22"/>
              </w:rPr>
            </w:pPr>
            <w:r>
              <w:rPr>
                <w:rFonts w:ascii="Calibri" w:hAnsi="Calibri" w:cs="Calibri"/>
                <w:color w:val="000000"/>
                <w:szCs w:val="22"/>
              </w:rPr>
              <w:t>93</w:t>
            </w:r>
          </w:p>
        </w:tc>
        <w:tc>
          <w:tcPr>
            <w:tcW w:w="1418" w:type="dxa"/>
            <w:tcBorders>
              <w:top w:val="single" w:sz="4" w:space="0" w:color="auto"/>
              <w:left w:val="single" w:sz="4" w:space="0" w:color="auto"/>
              <w:bottom w:val="single" w:sz="4" w:space="0" w:color="auto"/>
              <w:right w:val="single" w:sz="4" w:space="0" w:color="auto"/>
            </w:tcBorders>
            <w:vAlign w:val="center"/>
          </w:tcPr>
          <w:p w14:paraId="31332111" w14:textId="4EBB1084" w:rsidR="00BE48B8" w:rsidRDefault="009F42AE" w:rsidP="00BE48B8">
            <w:pPr>
              <w:keepNext/>
              <w:keepLines/>
              <w:jc w:val="center"/>
              <w:rPr>
                <w:rFonts w:ascii="Calibri" w:hAnsi="Calibri" w:cs="Calibri"/>
                <w:color w:val="000000"/>
                <w:szCs w:val="22"/>
              </w:rPr>
            </w:pPr>
            <w:r>
              <w:rPr>
                <w:rFonts w:ascii="Calibri" w:hAnsi="Calibri" w:cs="Calibri"/>
                <w:color w:val="000000"/>
                <w:szCs w:val="22"/>
              </w:rPr>
              <w:t>23.7</w:t>
            </w:r>
            <w:r w:rsidR="00EE6433">
              <w:rPr>
                <w:rFonts w:ascii="Calibri" w:hAnsi="Calibri" w:cs="Calibri"/>
                <w:color w:val="000000"/>
                <w:szCs w:val="22"/>
              </w:rPr>
              <w:t>%</w:t>
            </w:r>
          </w:p>
        </w:tc>
      </w:tr>
      <w:tr w:rsidR="002B345D" w14:paraId="09EC8522" w14:textId="77777777" w:rsidTr="0078382D">
        <w:tc>
          <w:tcPr>
            <w:tcW w:w="5670" w:type="dxa"/>
            <w:tcBorders>
              <w:top w:val="single" w:sz="4" w:space="0" w:color="auto"/>
              <w:left w:val="single" w:sz="4" w:space="0" w:color="auto"/>
              <w:bottom w:val="single" w:sz="4" w:space="0" w:color="auto"/>
              <w:right w:val="single" w:sz="4" w:space="0" w:color="auto"/>
            </w:tcBorders>
            <w:vAlign w:val="bottom"/>
          </w:tcPr>
          <w:p w14:paraId="6E9E1528" w14:textId="4B7B78AF" w:rsidR="002B345D" w:rsidRDefault="002B345D" w:rsidP="00BE48B8">
            <w:pPr>
              <w:tabs>
                <w:tab w:val="left" w:pos="204"/>
              </w:tabs>
              <w:ind w:firstLine="176"/>
              <w:rPr>
                <w:rFonts w:ascii="Calibri" w:hAnsi="Calibri" w:cs="Calibri"/>
                <w:color w:val="000000"/>
                <w:szCs w:val="22"/>
              </w:rPr>
            </w:pPr>
            <w:r>
              <w:rPr>
                <w:rFonts w:ascii="Calibri" w:hAnsi="Calibri" w:cs="Calibri"/>
                <w:color w:val="000000"/>
                <w:szCs w:val="22"/>
              </w:rPr>
              <w:t>Delayed/inadequate/inappropriate referral</w:t>
            </w:r>
          </w:p>
        </w:tc>
        <w:tc>
          <w:tcPr>
            <w:tcW w:w="1701" w:type="dxa"/>
            <w:tcBorders>
              <w:top w:val="single" w:sz="4" w:space="0" w:color="auto"/>
              <w:left w:val="single" w:sz="4" w:space="0" w:color="auto"/>
              <w:bottom w:val="single" w:sz="4" w:space="0" w:color="auto"/>
              <w:right w:val="single" w:sz="4" w:space="0" w:color="auto"/>
            </w:tcBorders>
            <w:vAlign w:val="center"/>
          </w:tcPr>
          <w:p w14:paraId="419E964B" w14:textId="551B4823" w:rsidR="002B345D" w:rsidRDefault="00D43881" w:rsidP="00BE48B8">
            <w:pPr>
              <w:jc w:val="center"/>
              <w:rPr>
                <w:rFonts w:ascii="Calibri" w:hAnsi="Calibri" w:cs="Calibri"/>
                <w:color w:val="000000"/>
                <w:szCs w:val="22"/>
              </w:rPr>
            </w:pPr>
            <w:r>
              <w:rPr>
                <w:rFonts w:ascii="Calibri" w:hAnsi="Calibri" w:cs="Calibri"/>
                <w:color w:val="000000"/>
                <w:szCs w:val="22"/>
              </w:rPr>
              <w:t>9</w:t>
            </w:r>
          </w:p>
        </w:tc>
        <w:tc>
          <w:tcPr>
            <w:tcW w:w="1418" w:type="dxa"/>
            <w:tcBorders>
              <w:top w:val="single" w:sz="4" w:space="0" w:color="auto"/>
              <w:left w:val="single" w:sz="4" w:space="0" w:color="auto"/>
              <w:bottom w:val="single" w:sz="4" w:space="0" w:color="auto"/>
              <w:right w:val="single" w:sz="4" w:space="0" w:color="auto"/>
            </w:tcBorders>
            <w:vAlign w:val="center"/>
          </w:tcPr>
          <w:p w14:paraId="7BF89156" w14:textId="26D783C0" w:rsidR="002B345D" w:rsidRDefault="00EE6433" w:rsidP="00BE48B8">
            <w:pPr>
              <w:jc w:val="center"/>
              <w:rPr>
                <w:rFonts w:ascii="Calibri" w:hAnsi="Calibri" w:cs="Calibri"/>
                <w:color w:val="000000"/>
                <w:szCs w:val="22"/>
              </w:rPr>
            </w:pPr>
            <w:r>
              <w:rPr>
                <w:rFonts w:ascii="Calibri" w:hAnsi="Calibri" w:cs="Calibri"/>
                <w:color w:val="000000"/>
                <w:szCs w:val="22"/>
              </w:rPr>
              <w:t>2.3%</w:t>
            </w:r>
          </w:p>
        </w:tc>
      </w:tr>
      <w:tr w:rsidR="00BE48B8" w14:paraId="4518E11F" w14:textId="77777777" w:rsidTr="0078382D">
        <w:tc>
          <w:tcPr>
            <w:tcW w:w="5670" w:type="dxa"/>
            <w:tcBorders>
              <w:top w:val="single" w:sz="4" w:space="0" w:color="auto"/>
              <w:left w:val="single" w:sz="4" w:space="0" w:color="auto"/>
              <w:bottom w:val="single" w:sz="4" w:space="0" w:color="auto"/>
              <w:right w:val="single" w:sz="4" w:space="0" w:color="auto"/>
            </w:tcBorders>
            <w:vAlign w:val="bottom"/>
            <w:hideMark/>
          </w:tcPr>
          <w:p w14:paraId="374B8DA3" w14:textId="77777777" w:rsidR="00BE48B8" w:rsidRDefault="00BE48B8" w:rsidP="00BE48B8">
            <w:pPr>
              <w:tabs>
                <w:tab w:val="left" w:pos="204"/>
              </w:tabs>
              <w:ind w:firstLine="176"/>
              <w:rPr>
                <w:rFonts w:ascii="Calibri" w:hAnsi="Calibri" w:cs="Calibri"/>
                <w:color w:val="000000"/>
                <w:szCs w:val="22"/>
              </w:rPr>
            </w:pPr>
            <w:r>
              <w:rPr>
                <w:rFonts w:ascii="Calibri" w:hAnsi="Calibri" w:cs="Calibri"/>
                <w:color w:val="000000"/>
                <w:szCs w:val="22"/>
              </w:rPr>
              <w:t>Inadequate coordination of care/treatment</w:t>
            </w:r>
          </w:p>
        </w:tc>
        <w:tc>
          <w:tcPr>
            <w:tcW w:w="1701" w:type="dxa"/>
            <w:tcBorders>
              <w:top w:val="single" w:sz="4" w:space="0" w:color="auto"/>
              <w:left w:val="single" w:sz="4" w:space="0" w:color="auto"/>
              <w:bottom w:val="single" w:sz="4" w:space="0" w:color="auto"/>
              <w:right w:val="single" w:sz="4" w:space="0" w:color="auto"/>
            </w:tcBorders>
            <w:vAlign w:val="center"/>
          </w:tcPr>
          <w:p w14:paraId="68856EBE" w14:textId="5546B9A9" w:rsidR="00BE48B8" w:rsidRDefault="00C900D0" w:rsidP="00BE48B8">
            <w:pPr>
              <w:jc w:val="center"/>
              <w:rPr>
                <w:rFonts w:ascii="Calibri" w:hAnsi="Calibri" w:cs="Calibri"/>
                <w:color w:val="000000"/>
                <w:szCs w:val="22"/>
              </w:rPr>
            </w:pPr>
            <w:r>
              <w:rPr>
                <w:rFonts w:ascii="Calibri" w:hAnsi="Calibri" w:cs="Calibri"/>
                <w:color w:val="000000"/>
                <w:szCs w:val="22"/>
              </w:rPr>
              <w:t>61</w:t>
            </w:r>
          </w:p>
        </w:tc>
        <w:tc>
          <w:tcPr>
            <w:tcW w:w="1418" w:type="dxa"/>
            <w:tcBorders>
              <w:top w:val="single" w:sz="4" w:space="0" w:color="auto"/>
              <w:left w:val="single" w:sz="4" w:space="0" w:color="auto"/>
              <w:bottom w:val="single" w:sz="4" w:space="0" w:color="auto"/>
              <w:right w:val="single" w:sz="4" w:space="0" w:color="auto"/>
            </w:tcBorders>
            <w:vAlign w:val="center"/>
          </w:tcPr>
          <w:p w14:paraId="61F668A1" w14:textId="685A5F04" w:rsidR="00BE48B8" w:rsidRDefault="009F42AE" w:rsidP="00BE48B8">
            <w:pPr>
              <w:jc w:val="center"/>
              <w:rPr>
                <w:rFonts w:ascii="Calibri" w:hAnsi="Calibri" w:cs="Calibri"/>
                <w:color w:val="000000"/>
                <w:szCs w:val="22"/>
              </w:rPr>
            </w:pPr>
            <w:r>
              <w:rPr>
                <w:rFonts w:ascii="Calibri" w:hAnsi="Calibri" w:cs="Calibri"/>
                <w:color w:val="000000"/>
                <w:szCs w:val="22"/>
              </w:rPr>
              <w:t>15.6</w:t>
            </w:r>
            <w:r w:rsidR="00EE6433">
              <w:rPr>
                <w:rFonts w:ascii="Calibri" w:hAnsi="Calibri" w:cs="Calibri"/>
                <w:color w:val="000000"/>
                <w:szCs w:val="22"/>
              </w:rPr>
              <w:t>%</w:t>
            </w:r>
          </w:p>
        </w:tc>
      </w:tr>
      <w:tr w:rsidR="00BE48B8" w14:paraId="787485EE" w14:textId="77777777" w:rsidTr="0078382D">
        <w:tc>
          <w:tcPr>
            <w:tcW w:w="5670" w:type="dxa"/>
            <w:tcBorders>
              <w:top w:val="single" w:sz="4" w:space="0" w:color="auto"/>
              <w:left w:val="single" w:sz="4" w:space="0" w:color="auto"/>
              <w:bottom w:val="single" w:sz="4" w:space="0" w:color="auto"/>
              <w:right w:val="single" w:sz="4" w:space="0" w:color="auto"/>
            </w:tcBorders>
            <w:hideMark/>
          </w:tcPr>
          <w:p w14:paraId="66814D08" w14:textId="77777777" w:rsidR="00BE48B8" w:rsidRDefault="00BE48B8" w:rsidP="00BE48B8">
            <w:pPr>
              <w:keepNext/>
              <w:keepLines/>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clinical treatment</w:t>
            </w:r>
          </w:p>
        </w:tc>
        <w:tc>
          <w:tcPr>
            <w:tcW w:w="1701" w:type="dxa"/>
            <w:tcBorders>
              <w:top w:val="single" w:sz="4" w:space="0" w:color="auto"/>
              <w:left w:val="single" w:sz="4" w:space="0" w:color="auto"/>
              <w:bottom w:val="single" w:sz="4" w:space="0" w:color="auto"/>
              <w:right w:val="single" w:sz="4" w:space="0" w:color="auto"/>
            </w:tcBorders>
            <w:vAlign w:val="center"/>
          </w:tcPr>
          <w:p w14:paraId="097525E5" w14:textId="2C2A8AAA" w:rsidR="00BE48B8" w:rsidRDefault="0043728B" w:rsidP="00BE48B8">
            <w:pPr>
              <w:jc w:val="center"/>
              <w:rPr>
                <w:rFonts w:ascii="Calibri" w:hAnsi="Calibri" w:cs="Calibri"/>
                <w:color w:val="000000"/>
                <w:szCs w:val="22"/>
              </w:rPr>
            </w:pPr>
            <w:r>
              <w:rPr>
                <w:rFonts w:ascii="Calibri" w:hAnsi="Calibri" w:cs="Calibri"/>
                <w:color w:val="000000"/>
                <w:szCs w:val="22"/>
              </w:rPr>
              <w:t>91</w:t>
            </w:r>
          </w:p>
        </w:tc>
        <w:tc>
          <w:tcPr>
            <w:tcW w:w="1418" w:type="dxa"/>
            <w:tcBorders>
              <w:top w:val="single" w:sz="4" w:space="0" w:color="auto"/>
              <w:left w:val="single" w:sz="4" w:space="0" w:color="auto"/>
              <w:bottom w:val="single" w:sz="4" w:space="0" w:color="auto"/>
              <w:right w:val="single" w:sz="4" w:space="0" w:color="auto"/>
            </w:tcBorders>
            <w:vAlign w:val="center"/>
          </w:tcPr>
          <w:p w14:paraId="6E3B6A93" w14:textId="4DF41CFF" w:rsidR="00BE48B8" w:rsidRDefault="009F42AE" w:rsidP="00BE48B8">
            <w:pPr>
              <w:jc w:val="center"/>
              <w:rPr>
                <w:rFonts w:ascii="Calibri" w:hAnsi="Calibri" w:cs="Calibri"/>
                <w:color w:val="000000"/>
                <w:szCs w:val="22"/>
              </w:rPr>
            </w:pPr>
            <w:r>
              <w:rPr>
                <w:rFonts w:ascii="Calibri" w:hAnsi="Calibri" w:cs="Calibri"/>
                <w:color w:val="000000"/>
                <w:szCs w:val="22"/>
              </w:rPr>
              <w:t>23.2</w:t>
            </w:r>
            <w:r w:rsidR="00EE6433">
              <w:rPr>
                <w:rFonts w:ascii="Calibri" w:hAnsi="Calibri" w:cs="Calibri"/>
                <w:color w:val="000000"/>
                <w:szCs w:val="22"/>
              </w:rPr>
              <w:t>%</w:t>
            </w:r>
          </w:p>
        </w:tc>
      </w:tr>
      <w:tr w:rsidR="00BE48B8" w14:paraId="13CBD476" w14:textId="77777777" w:rsidTr="0078382D">
        <w:tc>
          <w:tcPr>
            <w:tcW w:w="5670" w:type="dxa"/>
            <w:tcBorders>
              <w:top w:val="single" w:sz="4" w:space="0" w:color="auto"/>
              <w:left w:val="single" w:sz="4" w:space="0" w:color="auto"/>
              <w:bottom w:val="single" w:sz="4" w:space="0" w:color="auto"/>
              <w:right w:val="single" w:sz="4" w:space="0" w:color="auto"/>
            </w:tcBorders>
            <w:hideMark/>
          </w:tcPr>
          <w:p w14:paraId="2942F778" w14:textId="77777777" w:rsidR="00BE48B8" w:rsidRDefault="00BE48B8" w:rsidP="00BE48B8">
            <w:pPr>
              <w:keepNext/>
              <w:keepLines/>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examination/assessment</w:t>
            </w:r>
          </w:p>
        </w:tc>
        <w:tc>
          <w:tcPr>
            <w:tcW w:w="1701" w:type="dxa"/>
            <w:tcBorders>
              <w:top w:val="single" w:sz="4" w:space="0" w:color="auto"/>
              <w:left w:val="single" w:sz="4" w:space="0" w:color="auto"/>
              <w:bottom w:val="single" w:sz="4" w:space="0" w:color="auto"/>
              <w:right w:val="single" w:sz="4" w:space="0" w:color="auto"/>
            </w:tcBorders>
            <w:vAlign w:val="center"/>
          </w:tcPr>
          <w:p w14:paraId="091C81C0" w14:textId="00ECB390" w:rsidR="00BE48B8" w:rsidRDefault="00C900D0" w:rsidP="00BE48B8">
            <w:pPr>
              <w:jc w:val="center"/>
              <w:rPr>
                <w:rFonts w:ascii="Calibri" w:hAnsi="Calibri" w:cs="Calibri"/>
                <w:color w:val="000000"/>
                <w:szCs w:val="22"/>
              </w:rPr>
            </w:pPr>
            <w:r>
              <w:rPr>
                <w:rFonts w:ascii="Calibri" w:hAnsi="Calibri" w:cs="Calibri"/>
                <w:color w:val="000000"/>
                <w:szCs w:val="22"/>
              </w:rPr>
              <w:t>71</w:t>
            </w:r>
          </w:p>
        </w:tc>
        <w:tc>
          <w:tcPr>
            <w:tcW w:w="1418" w:type="dxa"/>
            <w:tcBorders>
              <w:top w:val="single" w:sz="4" w:space="0" w:color="auto"/>
              <w:left w:val="single" w:sz="4" w:space="0" w:color="auto"/>
              <w:bottom w:val="single" w:sz="4" w:space="0" w:color="auto"/>
              <w:right w:val="single" w:sz="4" w:space="0" w:color="auto"/>
            </w:tcBorders>
            <w:vAlign w:val="center"/>
          </w:tcPr>
          <w:p w14:paraId="25AA5D59" w14:textId="375B080A" w:rsidR="00BE48B8" w:rsidRDefault="009F42AE" w:rsidP="00BE48B8">
            <w:pPr>
              <w:jc w:val="center"/>
              <w:rPr>
                <w:rFonts w:ascii="Calibri" w:hAnsi="Calibri" w:cs="Calibri"/>
                <w:color w:val="000000"/>
                <w:szCs w:val="22"/>
              </w:rPr>
            </w:pPr>
            <w:r>
              <w:rPr>
                <w:rFonts w:ascii="Calibri" w:hAnsi="Calibri" w:cs="Calibri"/>
                <w:color w:val="000000"/>
                <w:szCs w:val="22"/>
              </w:rPr>
              <w:t>18.1</w:t>
            </w:r>
            <w:r w:rsidR="00EE6433">
              <w:rPr>
                <w:rFonts w:ascii="Calibri" w:hAnsi="Calibri" w:cs="Calibri"/>
                <w:color w:val="000000"/>
                <w:szCs w:val="22"/>
              </w:rPr>
              <w:t>%</w:t>
            </w:r>
          </w:p>
        </w:tc>
      </w:tr>
      <w:tr w:rsidR="00BE48B8" w14:paraId="06BF34D1" w14:textId="77777777" w:rsidTr="0078382D">
        <w:tc>
          <w:tcPr>
            <w:tcW w:w="5670" w:type="dxa"/>
            <w:tcBorders>
              <w:top w:val="single" w:sz="4" w:space="0" w:color="auto"/>
              <w:left w:val="single" w:sz="4" w:space="0" w:color="auto"/>
              <w:bottom w:val="single" w:sz="4" w:space="0" w:color="auto"/>
              <w:right w:val="single" w:sz="4" w:space="0" w:color="auto"/>
            </w:tcBorders>
            <w:vAlign w:val="bottom"/>
            <w:hideMark/>
          </w:tcPr>
          <w:p w14:paraId="0DA25E07" w14:textId="77777777" w:rsidR="00BE48B8" w:rsidRDefault="00BE48B8" w:rsidP="00BE48B8">
            <w:pPr>
              <w:tabs>
                <w:tab w:val="left" w:pos="176"/>
              </w:tabs>
              <w:ind w:left="176"/>
              <w:rPr>
                <w:rFonts w:ascii="Calibri" w:hAnsi="Calibri" w:cs="Calibri"/>
                <w:color w:val="000000"/>
                <w:szCs w:val="22"/>
              </w:rPr>
            </w:pPr>
            <w:r>
              <w:rPr>
                <w:rFonts w:ascii="Calibri" w:hAnsi="Calibri" w:cs="Calibri"/>
                <w:color w:val="000000"/>
                <w:szCs w:val="22"/>
              </w:rPr>
              <w:t>Inadequate/inappropriate follow-up</w:t>
            </w:r>
          </w:p>
        </w:tc>
        <w:tc>
          <w:tcPr>
            <w:tcW w:w="1701" w:type="dxa"/>
            <w:tcBorders>
              <w:top w:val="single" w:sz="4" w:space="0" w:color="auto"/>
              <w:left w:val="single" w:sz="4" w:space="0" w:color="auto"/>
              <w:bottom w:val="single" w:sz="4" w:space="0" w:color="auto"/>
              <w:right w:val="single" w:sz="4" w:space="0" w:color="auto"/>
            </w:tcBorders>
            <w:vAlign w:val="center"/>
          </w:tcPr>
          <w:p w14:paraId="28FDFDFF" w14:textId="728BAD9A" w:rsidR="00BE48B8" w:rsidRDefault="00D43881" w:rsidP="00BE48B8">
            <w:pPr>
              <w:jc w:val="center"/>
              <w:rPr>
                <w:rFonts w:ascii="Calibri" w:hAnsi="Calibri" w:cs="Calibri"/>
                <w:color w:val="000000"/>
                <w:szCs w:val="22"/>
              </w:rPr>
            </w:pPr>
            <w:r>
              <w:rPr>
                <w:rFonts w:ascii="Calibri" w:hAnsi="Calibri" w:cs="Calibri"/>
                <w:color w:val="000000"/>
                <w:szCs w:val="22"/>
              </w:rPr>
              <w:t>63</w:t>
            </w:r>
          </w:p>
        </w:tc>
        <w:tc>
          <w:tcPr>
            <w:tcW w:w="1418" w:type="dxa"/>
            <w:tcBorders>
              <w:top w:val="single" w:sz="4" w:space="0" w:color="auto"/>
              <w:left w:val="single" w:sz="4" w:space="0" w:color="auto"/>
              <w:bottom w:val="single" w:sz="4" w:space="0" w:color="auto"/>
              <w:right w:val="single" w:sz="4" w:space="0" w:color="auto"/>
            </w:tcBorders>
            <w:vAlign w:val="center"/>
          </w:tcPr>
          <w:p w14:paraId="3305F61B" w14:textId="01D4CFB5" w:rsidR="00BE48B8" w:rsidRDefault="009F42AE" w:rsidP="00BE48B8">
            <w:pPr>
              <w:jc w:val="center"/>
              <w:rPr>
                <w:rFonts w:ascii="Calibri" w:hAnsi="Calibri" w:cs="Calibri"/>
                <w:color w:val="000000"/>
                <w:szCs w:val="22"/>
              </w:rPr>
            </w:pPr>
            <w:r>
              <w:rPr>
                <w:rFonts w:ascii="Calibri" w:hAnsi="Calibri" w:cs="Calibri"/>
                <w:color w:val="000000"/>
                <w:szCs w:val="22"/>
              </w:rPr>
              <w:t>16.1</w:t>
            </w:r>
            <w:r w:rsidR="00EE6433">
              <w:rPr>
                <w:rFonts w:ascii="Calibri" w:hAnsi="Calibri" w:cs="Calibri"/>
                <w:color w:val="000000"/>
                <w:szCs w:val="22"/>
              </w:rPr>
              <w:t>%</w:t>
            </w:r>
          </w:p>
        </w:tc>
      </w:tr>
      <w:tr w:rsidR="00BE48B8" w14:paraId="4E0EA008" w14:textId="77777777" w:rsidTr="0078382D">
        <w:tc>
          <w:tcPr>
            <w:tcW w:w="5670" w:type="dxa"/>
            <w:tcBorders>
              <w:top w:val="single" w:sz="4" w:space="0" w:color="auto"/>
              <w:left w:val="single" w:sz="4" w:space="0" w:color="auto"/>
              <w:bottom w:val="single" w:sz="4" w:space="0" w:color="auto"/>
              <w:right w:val="single" w:sz="4" w:space="0" w:color="auto"/>
            </w:tcBorders>
            <w:vAlign w:val="bottom"/>
            <w:hideMark/>
          </w:tcPr>
          <w:p w14:paraId="7059E295" w14:textId="77777777" w:rsidR="00BE48B8" w:rsidRDefault="00BE48B8" w:rsidP="00BE48B8">
            <w:pPr>
              <w:tabs>
                <w:tab w:val="left" w:pos="176"/>
              </w:tabs>
              <w:ind w:left="176"/>
              <w:rPr>
                <w:rFonts w:ascii="Calibri" w:hAnsi="Calibri" w:cs="Calibri"/>
                <w:color w:val="000000"/>
                <w:szCs w:val="22"/>
              </w:rPr>
            </w:pPr>
            <w:r>
              <w:rPr>
                <w:rFonts w:ascii="Calibri" w:hAnsi="Calibri" w:cs="Calibri"/>
                <w:color w:val="000000"/>
                <w:szCs w:val="22"/>
              </w:rPr>
              <w:t>Inadequate/inappropriate monitoring</w:t>
            </w:r>
          </w:p>
        </w:tc>
        <w:tc>
          <w:tcPr>
            <w:tcW w:w="1701" w:type="dxa"/>
            <w:tcBorders>
              <w:top w:val="single" w:sz="4" w:space="0" w:color="auto"/>
              <w:left w:val="single" w:sz="4" w:space="0" w:color="auto"/>
              <w:bottom w:val="single" w:sz="4" w:space="0" w:color="auto"/>
              <w:right w:val="single" w:sz="4" w:space="0" w:color="auto"/>
            </w:tcBorders>
            <w:vAlign w:val="center"/>
          </w:tcPr>
          <w:p w14:paraId="435651DC" w14:textId="0B34A154" w:rsidR="00BE48B8" w:rsidRDefault="00C900D0" w:rsidP="00BE48B8">
            <w:pPr>
              <w:jc w:val="center"/>
              <w:rPr>
                <w:rFonts w:ascii="Calibri" w:hAnsi="Calibri" w:cs="Calibri"/>
                <w:color w:val="000000"/>
                <w:szCs w:val="22"/>
              </w:rPr>
            </w:pPr>
            <w:r>
              <w:rPr>
                <w:rFonts w:ascii="Calibri" w:hAnsi="Calibri" w:cs="Calibri"/>
                <w:color w:val="000000"/>
                <w:szCs w:val="22"/>
              </w:rPr>
              <w:t>36</w:t>
            </w:r>
          </w:p>
        </w:tc>
        <w:tc>
          <w:tcPr>
            <w:tcW w:w="1418" w:type="dxa"/>
            <w:tcBorders>
              <w:top w:val="single" w:sz="4" w:space="0" w:color="auto"/>
              <w:left w:val="single" w:sz="4" w:space="0" w:color="auto"/>
              <w:bottom w:val="single" w:sz="4" w:space="0" w:color="auto"/>
              <w:right w:val="single" w:sz="4" w:space="0" w:color="auto"/>
            </w:tcBorders>
            <w:vAlign w:val="center"/>
          </w:tcPr>
          <w:p w14:paraId="618F35C5" w14:textId="1D005F4E" w:rsidR="00BE48B8" w:rsidRDefault="009F42AE" w:rsidP="00BE48B8">
            <w:pPr>
              <w:jc w:val="center"/>
              <w:rPr>
                <w:rFonts w:ascii="Calibri" w:hAnsi="Calibri" w:cs="Calibri"/>
                <w:color w:val="000000"/>
                <w:szCs w:val="22"/>
              </w:rPr>
            </w:pPr>
            <w:r>
              <w:rPr>
                <w:rFonts w:ascii="Calibri" w:hAnsi="Calibri" w:cs="Calibri"/>
                <w:color w:val="000000"/>
                <w:szCs w:val="22"/>
              </w:rPr>
              <w:t>9.2</w:t>
            </w:r>
            <w:r w:rsidR="00EE6433">
              <w:rPr>
                <w:rFonts w:ascii="Calibri" w:hAnsi="Calibri" w:cs="Calibri"/>
                <w:color w:val="000000"/>
                <w:szCs w:val="22"/>
              </w:rPr>
              <w:t>%</w:t>
            </w:r>
          </w:p>
        </w:tc>
      </w:tr>
      <w:tr w:rsidR="00BE48B8" w14:paraId="1CAAE6D6" w14:textId="77777777" w:rsidTr="0078382D">
        <w:tc>
          <w:tcPr>
            <w:tcW w:w="5670" w:type="dxa"/>
            <w:tcBorders>
              <w:top w:val="single" w:sz="4" w:space="0" w:color="auto"/>
              <w:left w:val="single" w:sz="4" w:space="0" w:color="auto"/>
              <w:bottom w:val="single" w:sz="4" w:space="0" w:color="auto"/>
              <w:right w:val="single" w:sz="4" w:space="0" w:color="auto"/>
            </w:tcBorders>
            <w:vAlign w:val="bottom"/>
            <w:hideMark/>
          </w:tcPr>
          <w:p w14:paraId="221E281A" w14:textId="77777777" w:rsidR="00BE48B8" w:rsidRDefault="00BE48B8" w:rsidP="00BE48B8">
            <w:pPr>
              <w:tabs>
                <w:tab w:val="left" w:pos="176"/>
              </w:tabs>
              <w:ind w:left="176"/>
              <w:rPr>
                <w:rFonts w:ascii="Calibri" w:hAnsi="Calibri" w:cs="Calibri"/>
                <w:color w:val="000000"/>
                <w:szCs w:val="22"/>
              </w:rPr>
            </w:pPr>
            <w:r>
              <w:rPr>
                <w:rFonts w:ascii="Calibri" w:hAnsi="Calibri" w:cs="Calibri"/>
                <w:color w:val="000000"/>
                <w:szCs w:val="22"/>
              </w:rPr>
              <w:t>Inadequate/inappropriate non-clinical care</w:t>
            </w:r>
          </w:p>
        </w:tc>
        <w:tc>
          <w:tcPr>
            <w:tcW w:w="1701" w:type="dxa"/>
            <w:tcBorders>
              <w:top w:val="single" w:sz="4" w:space="0" w:color="auto"/>
              <w:left w:val="single" w:sz="4" w:space="0" w:color="auto"/>
              <w:bottom w:val="single" w:sz="4" w:space="0" w:color="auto"/>
              <w:right w:val="single" w:sz="4" w:space="0" w:color="auto"/>
            </w:tcBorders>
            <w:vAlign w:val="center"/>
          </w:tcPr>
          <w:p w14:paraId="79F53513" w14:textId="6E59A21D" w:rsidR="00BE48B8" w:rsidRDefault="00D43881" w:rsidP="00BE48B8">
            <w:pPr>
              <w:jc w:val="center"/>
              <w:rPr>
                <w:rFonts w:ascii="Calibri" w:hAnsi="Calibri" w:cs="Calibri"/>
                <w:color w:val="000000"/>
                <w:szCs w:val="22"/>
              </w:rPr>
            </w:pPr>
            <w:r>
              <w:rPr>
                <w:rFonts w:ascii="Calibri" w:hAnsi="Calibri" w:cs="Calibri"/>
                <w:color w:val="000000"/>
                <w:szCs w:val="22"/>
              </w:rPr>
              <w:t>23</w:t>
            </w:r>
          </w:p>
        </w:tc>
        <w:tc>
          <w:tcPr>
            <w:tcW w:w="1418" w:type="dxa"/>
            <w:tcBorders>
              <w:top w:val="single" w:sz="4" w:space="0" w:color="auto"/>
              <w:left w:val="single" w:sz="4" w:space="0" w:color="auto"/>
              <w:bottom w:val="single" w:sz="4" w:space="0" w:color="auto"/>
              <w:right w:val="single" w:sz="4" w:space="0" w:color="auto"/>
            </w:tcBorders>
            <w:vAlign w:val="center"/>
          </w:tcPr>
          <w:p w14:paraId="4F020C9E" w14:textId="5BA3CCD9" w:rsidR="00BE48B8" w:rsidRDefault="009F42AE" w:rsidP="00BE48B8">
            <w:pPr>
              <w:jc w:val="center"/>
              <w:rPr>
                <w:rFonts w:ascii="Calibri" w:hAnsi="Calibri" w:cs="Calibri"/>
                <w:color w:val="000000"/>
                <w:szCs w:val="22"/>
              </w:rPr>
            </w:pPr>
            <w:r>
              <w:rPr>
                <w:rFonts w:ascii="Calibri" w:hAnsi="Calibri" w:cs="Calibri"/>
                <w:color w:val="000000"/>
                <w:szCs w:val="22"/>
              </w:rPr>
              <w:t>5.9</w:t>
            </w:r>
            <w:r w:rsidR="00EE6433">
              <w:rPr>
                <w:rFonts w:ascii="Calibri" w:hAnsi="Calibri" w:cs="Calibri"/>
                <w:color w:val="000000"/>
                <w:szCs w:val="22"/>
              </w:rPr>
              <w:t>%</w:t>
            </w:r>
          </w:p>
        </w:tc>
      </w:tr>
      <w:tr w:rsidR="00BE48B8" w14:paraId="458DC036" w14:textId="77777777" w:rsidTr="0078382D">
        <w:tc>
          <w:tcPr>
            <w:tcW w:w="5670" w:type="dxa"/>
            <w:tcBorders>
              <w:top w:val="single" w:sz="4" w:space="0" w:color="auto"/>
              <w:left w:val="single" w:sz="4" w:space="0" w:color="auto"/>
              <w:bottom w:val="single" w:sz="4" w:space="0" w:color="auto"/>
              <w:right w:val="single" w:sz="4" w:space="0" w:color="auto"/>
            </w:tcBorders>
            <w:vAlign w:val="bottom"/>
          </w:tcPr>
          <w:p w14:paraId="6366669F" w14:textId="77777777" w:rsidR="00BE48B8" w:rsidRDefault="00BE48B8" w:rsidP="00BE48B8">
            <w:pPr>
              <w:tabs>
                <w:tab w:val="left" w:pos="176"/>
              </w:tabs>
              <w:ind w:left="176"/>
              <w:rPr>
                <w:rFonts w:ascii="Calibri" w:hAnsi="Calibri" w:cs="Calibri"/>
                <w:color w:val="000000"/>
                <w:szCs w:val="22"/>
              </w:rPr>
            </w:pPr>
            <w:r>
              <w:rPr>
                <w:rFonts w:ascii="Calibri" w:hAnsi="Calibri" w:cs="Calibri"/>
                <w:color w:val="000000"/>
                <w:szCs w:val="22"/>
              </w:rPr>
              <w:t>Inadequate/inappropriate testing</w:t>
            </w:r>
          </w:p>
        </w:tc>
        <w:tc>
          <w:tcPr>
            <w:tcW w:w="1701" w:type="dxa"/>
            <w:tcBorders>
              <w:top w:val="single" w:sz="4" w:space="0" w:color="auto"/>
              <w:left w:val="single" w:sz="4" w:space="0" w:color="auto"/>
              <w:bottom w:val="single" w:sz="4" w:space="0" w:color="auto"/>
              <w:right w:val="single" w:sz="4" w:space="0" w:color="auto"/>
            </w:tcBorders>
            <w:vAlign w:val="center"/>
          </w:tcPr>
          <w:p w14:paraId="6A7BDB85" w14:textId="33396C62" w:rsidR="00BE48B8" w:rsidRDefault="00D43881" w:rsidP="00BE48B8">
            <w:pPr>
              <w:jc w:val="center"/>
              <w:rPr>
                <w:rFonts w:ascii="Calibri" w:hAnsi="Calibri" w:cs="Calibri"/>
                <w:color w:val="000000"/>
                <w:szCs w:val="22"/>
              </w:rPr>
            </w:pPr>
            <w:r>
              <w:rPr>
                <w:rFonts w:ascii="Calibri" w:hAnsi="Calibri" w:cs="Calibri"/>
                <w:color w:val="000000"/>
                <w:szCs w:val="22"/>
              </w:rPr>
              <w:t>21</w:t>
            </w:r>
          </w:p>
        </w:tc>
        <w:tc>
          <w:tcPr>
            <w:tcW w:w="1418" w:type="dxa"/>
            <w:tcBorders>
              <w:top w:val="single" w:sz="4" w:space="0" w:color="auto"/>
              <w:left w:val="single" w:sz="4" w:space="0" w:color="auto"/>
              <w:bottom w:val="single" w:sz="4" w:space="0" w:color="auto"/>
              <w:right w:val="single" w:sz="4" w:space="0" w:color="auto"/>
            </w:tcBorders>
            <w:vAlign w:val="center"/>
          </w:tcPr>
          <w:p w14:paraId="2CA15D87" w14:textId="6FD8B00A" w:rsidR="00BE48B8" w:rsidRDefault="009F42AE" w:rsidP="00BE48B8">
            <w:pPr>
              <w:jc w:val="center"/>
              <w:rPr>
                <w:rFonts w:ascii="Calibri" w:hAnsi="Calibri" w:cs="Calibri"/>
                <w:color w:val="000000"/>
                <w:szCs w:val="22"/>
              </w:rPr>
            </w:pPr>
            <w:r>
              <w:rPr>
                <w:rFonts w:ascii="Calibri" w:hAnsi="Calibri" w:cs="Calibri"/>
                <w:color w:val="000000"/>
                <w:szCs w:val="22"/>
              </w:rPr>
              <w:t>5.4</w:t>
            </w:r>
            <w:r w:rsidR="00EE6433">
              <w:rPr>
                <w:rFonts w:ascii="Calibri" w:hAnsi="Calibri" w:cs="Calibri"/>
                <w:color w:val="000000"/>
                <w:szCs w:val="22"/>
              </w:rPr>
              <w:t>%</w:t>
            </w:r>
          </w:p>
        </w:tc>
      </w:tr>
      <w:tr w:rsidR="00BE48B8" w14:paraId="19DF3C16" w14:textId="77777777" w:rsidTr="0078382D">
        <w:tc>
          <w:tcPr>
            <w:tcW w:w="5670" w:type="dxa"/>
            <w:tcBorders>
              <w:top w:val="single" w:sz="4" w:space="0" w:color="auto"/>
              <w:left w:val="single" w:sz="4" w:space="0" w:color="auto"/>
              <w:bottom w:val="single" w:sz="4" w:space="0" w:color="auto"/>
              <w:right w:val="single" w:sz="4" w:space="0" w:color="auto"/>
            </w:tcBorders>
          </w:tcPr>
          <w:p w14:paraId="6A13ABFC" w14:textId="77777777" w:rsidR="00BE48B8" w:rsidRDefault="00BE48B8" w:rsidP="00BE48B8">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Inappropriate admission/failure to admit</w:t>
            </w:r>
          </w:p>
        </w:tc>
        <w:tc>
          <w:tcPr>
            <w:tcW w:w="1701" w:type="dxa"/>
            <w:tcBorders>
              <w:top w:val="single" w:sz="4" w:space="0" w:color="auto"/>
              <w:left w:val="single" w:sz="4" w:space="0" w:color="auto"/>
              <w:bottom w:val="single" w:sz="4" w:space="0" w:color="auto"/>
              <w:right w:val="single" w:sz="4" w:space="0" w:color="auto"/>
            </w:tcBorders>
            <w:vAlign w:val="center"/>
          </w:tcPr>
          <w:p w14:paraId="0FB9D09F" w14:textId="35040F50" w:rsidR="00BE48B8" w:rsidRDefault="00D43881" w:rsidP="00BE48B8">
            <w:pPr>
              <w:widowControl w:val="0"/>
              <w:jc w:val="center"/>
              <w:rPr>
                <w:rFonts w:ascii="Calibri" w:hAnsi="Calibri" w:cs="Calibri"/>
                <w:color w:val="000000"/>
                <w:szCs w:val="22"/>
              </w:rPr>
            </w:pPr>
            <w:r>
              <w:rPr>
                <w:rFonts w:ascii="Calibri" w:hAnsi="Calibri" w:cs="Calibri"/>
                <w:color w:val="000000"/>
                <w:szCs w:val="22"/>
              </w:rPr>
              <w:t>11</w:t>
            </w:r>
          </w:p>
        </w:tc>
        <w:tc>
          <w:tcPr>
            <w:tcW w:w="1418" w:type="dxa"/>
            <w:tcBorders>
              <w:top w:val="single" w:sz="4" w:space="0" w:color="auto"/>
              <w:left w:val="single" w:sz="4" w:space="0" w:color="auto"/>
              <w:bottom w:val="single" w:sz="4" w:space="0" w:color="auto"/>
              <w:right w:val="single" w:sz="4" w:space="0" w:color="auto"/>
            </w:tcBorders>
            <w:vAlign w:val="center"/>
          </w:tcPr>
          <w:p w14:paraId="668510B7" w14:textId="5B163E4E" w:rsidR="00BE48B8" w:rsidRDefault="00EE6433" w:rsidP="00BE48B8">
            <w:pPr>
              <w:widowControl w:val="0"/>
              <w:jc w:val="center"/>
              <w:rPr>
                <w:rFonts w:ascii="Calibri" w:hAnsi="Calibri" w:cs="Calibri"/>
                <w:color w:val="000000"/>
                <w:szCs w:val="22"/>
              </w:rPr>
            </w:pPr>
            <w:r>
              <w:rPr>
                <w:rFonts w:ascii="Calibri" w:hAnsi="Calibri" w:cs="Calibri"/>
                <w:color w:val="000000"/>
                <w:szCs w:val="22"/>
              </w:rPr>
              <w:t>2.8%</w:t>
            </w:r>
          </w:p>
        </w:tc>
      </w:tr>
      <w:tr w:rsidR="00BE48B8" w14:paraId="3158879E" w14:textId="77777777" w:rsidTr="0078382D">
        <w:tc>
          <w:tcPr>
            <w:tcW w:w="5670" w:type="dxa"/>
            <w:tcBorders>
              <w:top w:val="single" w:sz="4" w:space="0" w:color="auto"/>
              <w:left w:val="single" w:sz="4" w:space="0" w:color="auto"/>
              <w:bottom w:val="single" w:sz="4" w:space="0" w:color="auto"/>
              <w:right w:val="single" w:sz="4" w:space="0" w:color="auto"/>
            </w:tcBorders>
            <w:hideMark/>
          </w:tcPr>
          <w:p w14:paraId="2410D848" w14:textId="77777777" w:rsidR="00BE48B8" w:rsidRDefault="00BE48B8" w:rsidP="00BE48B8">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Inappropriate/delayed discharge/transfer</w:t>
            </w:r>
          </w:p>
        </w:tc>
        <w:tc>
          <w:tcPr>
            <w:tcW w:w="1701" w:type="dxa"/>
            <w:tcBorders>
              <w:top w:val="single" w:sz="4" w:space="0" w:color="auto"/>
              <w:left w:val="single" w:sz="4" w:space="0" w:color="auto"/>
              <w:bottom w:val="single" w:sz="4" w:space="0" w:color="auto"/>
              <w:right w:val="single" w:sz="4" w:space="0" w:color="auto"/>
            </w:tcBorders>
            <w:vAlign w:val="center"/>
          </w:tcPr>
          <w:p w14:paraId="35461627" w14:textId="25AE92F5" w:rsidR="00BE48B8" w:rsidRDefault="00693A6C" w:rsidP="00BE48B8">
            <w:pPr>
              <w:widowControl w:val="0"/>
              <w:jc w:val="center"/>
              <w:rPr>
                <w:rFonts w:ascii="Calibri" w:hAnsi="Calibri" w:cs="Calibri"/>
                <w:color w:val="000000"/>
                <w:szCs w:val="22"/>
              </w:rPr>
            </w:pPr>
            <w:r>
              <w:rPr>
                <w:rFonts w:ascii="Calibri" w:hAnsi="Calibri" w:cs="Calibri"/>
                <w:color w:val="000000"/>
                <w:szCs w:val="22"/>
              </w:rPr>
              <w:t>43</w:t>
            </w:r>
          </w:p>
        </w:tc>
        <w:tc>
          <w:tcPr>
            <w:tcW w:w="1418" w:type="dxa"/>
            <w:tcBorders>
              <w:top w:val="single" w:sz="4" w:space="0" w:color="auto"/>
              <w:left w:val="single" w:sz="4" w:space="0" w:color="auto"/>
              <w:bottom w:val="single" w:sz="4" w:space="0" w:color="auto"/>
              <w:right w:val="single" w:sz="4" w:space="0" w:color="auto"/>
            </w:tcBorders>
            <w:vAlign w:val="center"/>
          </w:tcPr>
          <w:p w14:paraId="5CCCA165" w14:textId="32B0882F" w:rsidR="00BE48B8" w:rsidRDefault="009F42AE" w:rsidP="00BE48B8">
            <w:pPr>
              <w:widowControl w:val="0"/>
              <w:jc w:val="center"/>
              <w:rPr>
                <w:rFonts w:ascii="Calibri" w:hAnsi="Calibri" w:cs="Calibri"/>
                <w:color w:val="000000"/>
                <w:szCs w:val="22"/>
              </w:rPr>
            </w:pPr>
            <w:r>
              <w:rPr>
                <w:rFonts w:ascii="Calibri" w:hAnsi="Calibri" w:cs="Calibri"/>
                <w:color w:val="000000"/>
                <w:szCs w:val="22"/>
              </w:rPr>
              <w:t>11.0</w:t>
            </w:r>
            <w:r w:rsidR="00EE6433">
              <w:rPr>
                <w:rFonts w:ascii="Calibri" w:hAnsi="Calibri" w:cs="Calibri"/>
                <w:color w:val="000000"/>
                <w:szCs w:val="22"/>
              </w:rPr>
              <w:t>%</w:t>
            </w:r>
          </w:p>
        </w:tc>
      </w:tr>
      <w:tr w:rsidR="00BE48B8" w14:paraId="1593681A" w14:textId="77777777" w:rsidTr="0078382D">
        <w:tc>
          <w:tcPr>
            <w:tcW w:w="5670" w:type="dxa"/>
            <w:tcBorders>
              <w:top w:val="single" w:sz="4" w:space="0" w:color="auto"/>
              <w:left w:val="single" w:sz="4" w:space="0" w:color="auto"/>
              <w:bottom w:val="single" w:sz="4" w:space="0" w:color="auto"/>
              <w:right w:val="single" w:sz="4" w:space="0" w:color="auto"/>
            </w:tcBorders>
            <w:vAlign w:val="bottom"/>
            <w:hideMark/>
          </w:tcPr>
          <w:p w14:paraId="2C578FC4" w14:textId="77777777" w:rsidR="00BE48B8" w:rsidRDefault="00BE48B8" w:rsidP="00BE48B8">
            <w:pPr>
              <w:tabs>
                <w:tab w:val="left" w:pos="176"/>
              </w:tabs>
              <w:ind w:left="176"/>
              <w:rPr>
                <w:rFonts w:ascii="Calibri" w:hAnsi="Calibri" w:cs="Calibri"/>
                <w:color w:val="000000"/>
                <w:szCs w:val="22"/>
              </w:rPr>
            </w:pPr>
            <w:r>
              <w:rPr>
                <w:rFonts w:ascii="Calibri" w:hAnsi="Calibri" w:cs="Calibri"/>
                <w:color w:val="000000"/>
                <w:szCs w:val="22"/>
              </w:rPr>
              <w:t>Inappropriate withdrawal of treatment</w:t>
            </w:r>
          </w:p>
        </w:tc>
        <w:tc>
          <w:tcPr>
            <w:tcW w:w="1701" w:type="dxa"/>
            <w:tcBorders>
              <w:top w:val="single" w:sz="4" w:space="0" w:color="auto"/>
              <w:left w:val="single" w:sz="4" w:space="0" w:color="auto"/>
              <w:bottom w:val="single" w:sz="4" w:space="0" w:color="auto"/>
              <w:right w:val="single" w:sz="4" w:space="0" w:color="auto"/>
            </w:tcBorders>
            <w:vAlign w:val="center"/>
          </w:tcPr>
          <w:p w14:paraId="3633241A" w14:textId="076A13D7" w:rsidR="00BE48B8" w:rsidRDefault="00D43881" w:rsidP="00BE48B8">
            <w:pPr>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14:paraId="62FCC160" w14:textId="07EEEFAD" w:rsidR="00BE48B8" w:rsidRDefault="00EE6433" w:rsidP="00BE48B8">
            <w:pPr>
              <w:jc w:val="center"/>
              <w:rPr>
                <w:rFonts w:ascii="Calibri" w:hAnsi="Calibri" w:cs="Calibri"/>
                <w:color w:val="000000"/>
                <w:szCs w:val="22"/>
              </w:rPr>
            </w:pPr>
            <w:r>
              <w:rPr>
                <w:rFonts w:ascii="Calibri" w:hAnsi="Calibri" w:cs="Calibri"/>
                <w:color w:val="000000"/>
                <w:szCs w:val="22"/>
              </w:rPr>
              <w:t>0.8%</w:t>
            </w:r>
          </w:p>
        </w:tc>
      </w:tr>
      <w:tr w:rsidR="00BE48B8" w14:paraId="39BAB4F3" w14:textId="77777777" w:rsidTr="0078382D">
        <w:tc>
          <w:tcPr>
            <w:tcW w:w="5670" w:type="dxa"/>
            <w:tcBorders>
              <w:top w:val="single" w:sz="4" w:space="0" w:color="auto"/>
              <w:left w:val="single" w:sz="4" w:space="0" w:color="auto"/>
              <w:bottom w:val="single" w:sz="4" w:space="0" w:color="auto"/>
              <w:right w:val="single" w:sz="4" w:space="0" w:color="auto"/>
            </w:tcBorders>
            <w:hideMark/>
          </w:tcPr>
          <w:p w14:paraId="530D7A52" w14:textId="77777777" w:rsidR="00BE48B8" w:rsidRDefault="00BE48B8" w:rsidP="00BE48B8">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Missed/incorrect/delayed diagnosis</w:t>
            </w:r>
          </w:p>
        </w:tc>
        <w:tc>
          <w:tcPr>
            <w:tcW w:w="1701" w:type="dxa"/>
            <w:tcBorders>
              <w:top w:val="single" w:sz="4" w:space="0" w:color="auto"/>
              <w:left w:val="single" w:sz="4" w:space="0" w:color="auto"/>
              <w:bottom w:val="single" w:sz="4" w:space="0" w:color="auto"/>
              <w:right w:val="single" w:sz="4" w:space="0" w:color="auto"/>
            </w:tcBorders>
            <w:vAlign w:val="center"/>
          </w:tcPr>
          <w:p w14:paraId="471A8391" w14:textId="370BE9FD" w:rsidR="00BE48B8" w:rsidRDefault="00693A6C" w:rsidP="00BE48B8">
            <w:pPr>
              <w:widowControl w:val="0"/>
              <w:jc w:val="center"/>
              <w:rPr>
                <w:rFonts w:ascii="Calibri" w:hAnsi="Calibri" w:cs="Calibri"/>
                <w:color w:val="000000"/>
                <w:szCs w:val="22"/>
              </w:rPr>
            </w:pPr>
            <w:r>
              <w:rPr>
                <w:rFonts w:ascii="Calibri" w:hAnsi="Calibri" w:cs="Calibri"/>
                <w:color w:val="000000"/>
                <w:szCs w:val="22"/>
              </w:rPr>
              <w:t>54</w:t>
            </w:r>
          </w:p>
        </w:tc>
        <w:tc>
          <w:tcPr>
            <w:tcW w:w="1418" w:type="dxa"/>
            <w:tcBorders>
              <w:top w:val="single" w:sz="4" w:space="0" w:color="auto"/>
              <w:left w:val="single" w:sz="4" w:space="0" w:color="auto"/>
              <w:bottom w:val="single" w:sz="4" w:space="0" w:color="auto"/>
              <w:right w:val="single" w:sz="4" w:space="0" w:color="auto"/>
            </w:tcBorders>
            <w:vAlign w:val="center"/>
          </w:tcPr>
          <w:p w14:paraId="5F361B1B" w14:textId="14CAE373" w:rsidR="00BE48B8" w:rsidRDefault="009F42AE" w:rsidP="00BE48B8">
            <w:pPr>
              <w:widowControl w:val="0"/>
              <w:jc w:val="center"/>
              <w:rPr>
                <w:rFonts w:ascii="Calibri" w:hAnsi="Calibri" w:cs="Calibri"/>
                <w:color w:val="000000"/>
                <w:szCs w:val="22"/>
              </w:rPr>
            </w:pPr>
            <w:r>
              <w:rPr>
                <w:rFonts w:ascii="Calibri" w:hAnsi="Calibri" w:cs="Calibri"/>
                <w:color w:val="000000"/>
                <w:szCs w:val="22"/>
              </w:rPr>
              <w:t>13.8</w:t>
            </w:r>
            <w:r w:rsidR="00EE6433">
              <w:rPr>
                <w:rFonts w:ascii="Calibri" w:hAnsi="Calibri" w:cs="Calibri"/>
                <w:color w:val="000000"/>
                <w:szCs w:val="22"/>
              </w:rPr>
              <w:t>%</w:t>
            </w:r>
          </w:p>
        </w:tc>
      </w:tr>
      <w:tr w:rsidR="002B345D" w14:paraId="5AC796E5" w14:textId="77777777" w:rsidTr="0078382D">
        <w:tc>
          <w:tcPr>
            <w:tcW w:w="5670" w:type="dxa"/>
            <w:tcBorders>
              <w:top w:val="single" w:sz="4" w:space="0" w:color="auto"/>
              <w:left w:val="single" w:sz="4" w:space="0" w:color="auto"/>
              <w:bottom w:val="single" w:sz="4" w:space="0" w:color="auto"/>
              <w:right w:val="single" w:sz="4" w:space="0" w:color="auto"/>
            </w:tcBorders>
          </w:tcPr>
          <w:p w14:paraId="3D694B76" w14:textId="4B4CED8E" w:rsidR="002B345D" w:rsidRDefault="002B345D" w:rsidP="00BE48B8">
            <w:pPr>
              <w:widowControl w:val="0"/>
              <w:tabs>
                <w:tab w:val="left" w:pos="176"/>
                <w:tab w:val="left" w:pos="1440"/>
                <w:tab w:val="center" w:pos="2815"/>
              </w:tabs>
              <w:ind w:left="176"/>
              <w:jc w:val="left"/>
              <w:outlineLvl w:val="0"/>
              <w:rPr>
                <w:rFonts w:ascii="Calibri" w:hAnsi="Calibri"/>
                <w:szCs w:val="22"/>
              </w:rPr>
            </w:pPr>
            <w:r>
              <w:rPr>
                <w:rFonts w:ascii="Calibri" w:hAnsi="Calibri"/>
                <w:szCs w:val="22"/>
              </w:rPr>
              <w:t>Refusal to assist/attend</w:t>
            </w:r>
          </w:p>
        </w:tc>
        <w:tc>
          <w:tcPr>
            <w:tcW w:w="1701" w:type="dxa"/>
            <w:tcBorders>
              <w:top w:val="single" w:sz="4" w:space="0" w:color="auto"/>
              <w:left w:val="single" w:sz="4" w:space="0" w:color="auto"/>
              <w:bottom w:val="single" w:sz="4" w:space="0" w:color="auto"/>
              <w:right w:val="single" w:sz="4" w:space="0" w:color="auto"/>
            </w:tcBorders>
            <w:vAlign w:val="center"/>
          </w:tcPr>
          <w:p w14:paraId="0B80CD41" w14:textId="29EF6274" w:rsidR="002B345D" w:rsidRDefault="00D43881" w:rsidP="00BE48B8">
            <w:pPr>
              <w:widowControl w:val="0"/>
              <w:jc w:val="center"/>
              <w:rPr>
                <w:rFonts w:ascii="Calibri" w:hAnsi="Calibri" w:cs="Calibri"/>
                <w:color w:val="000000"/>
                <w:szCs w:val="22"/>
              </w:rPr>
            </w:pPr>
            <w:r>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674EF2DB" w14:textId="2912C197" w:rsidR="002B345D" w:rsidRDefault="00EE6433" w:rsidP="00BE48B8">
            <w:pPr>
              <w:widowControl w:val="0"/>
              <w:jc w:val="center"/>
              <w:rPr>
                <w:rFonts w:ascii="Calibri" w:hAnsi="Calibri" w:cs="Calibri"/>
                <w:color w:val="000000"/>
                <w:szCs w:val="22"/>
              </w:rPr>
            </w:pPr>
            <w:r>
              <w:rPr>
                <w:rFonts w:ascii="Calibri" w:hAnsi="Calibri" w:cs="Calibri"/>
                <w:color w:val="000000"/>
                <w:szCs w:val="22"/>
              </w:rPr>
              <w:t>1.8%</w:t>
            </w:r>
          </w:p>
        </w:tc>
      </w:tr>
      <w:tr w:rsidR="00BE48B8" w14:paraId="72B3F1B2" w14:textId="77777777" w:rsidTr="0078382D">
        <w:tc>
          <w:tcPr>
            <w:tcW w:w="5670" w:type="dxa"/>
            <w:tcBorders>
              <w:top w:val="single" w:sz="4" w:space="0" w:color="auto"/>
              <w:left w:val="single" w:sz="4" w:space="0" w:color="auto"/>
              <w:bottom w:val="single" w:sz="4" w:space="0" w:color="auto"/>
              <w:right w:val="single" w:sz="4" w:space="0" w:color="auto"/>
            </w:tcBorders>
            <w:hideMark/>
          </w:tcPr>
          <w:p w14:paraId="4ABC9575" w14:textId="77777777" w:rsidR="00BE48B8" w:rsidRDefault="00BE48B8" w:rsidP="00BE48B8">
            <w:pPr>
              <w:widowControl w:val="0"/>
              <w:tabs>
                <w:tab w:val="left" w:pos="176"/>
                <w:tab w:val="left" w:pos="1440"/>
                <w:tab w:val="center" w:pos="2815"/>
              </w:tabs>
              <w:ind w:left="176"/>
              <w:jc w:val="left"/>
              <w:outlineLvl w:val="0"/>
              <w:rPr>
                <w:rFonts w:ascii="Calibri" w:hAnsi="Calibri"/>
                <w:szCs w:val="22"/>
              </w:rPr>
            </w:pPr>
            <w:r>
              <w:rPr>
                <w:rFonts w:ascii="Calibri" w:hAnsi="Calibri"/>
                <w:szCs w:val="22"/>
              </w:rPr>
              <w:t>Refusal to treat</w:t>
            </w:r>
            <w:r>
              <w:rPr>
                <w:rFonts w:ascii="Calibri" w:hAnsi="Calibri"/>
                <w:szCs w:val="22"/>
              </w:rPr>
              <w:tab/>
            </w:r>
          </w:p>
        </w:tc>
        <w:tc>
          <w:tcPr>
            <w:tcW w:w="1701" w:type="dxa"/>
            <w:tcBorders>
              <w:top w:val="single" w:sz="4" w:space="0" w:color="auto"/>
              <w:left w:val="single" w:sz="4" w:space="0" w:color="auto"/>
              <w:bottom w:val="single" w:sz="4" w:space="0" w:color="auto"/>
              <w:right w:val="single" w:sz="4" w:space="0" w:color="auto"/>
            </w:tcBorders>
            <w:vAlign w:val="center"/>
          </w:tcPr>
          <w:p w14:paraId="3FBE98C6" w14:textId="68543078" w:rsidR="00BE48B8" w:rsidRDefault="00D43881" w:rsidP="00BE48B8">
            <w:pPr>
              <w:widowControl w:val="0"/>
              <w:jc w:val="center"/>
              <w:rPr>
                <w:rFonts w:ascii="Calibri" w:hAnsi="Calibri" w:cs="Calibri"/>
                <w:color w:val="000000"/>
                <w:szCs w:val="22"/>
              </w:rPr>
            </w:pPr>
            <w:r>
              <w:rPr>
                <w:rFonts w:ascii="Calibri" w:hAnsi="Calibri" w:cs="Calibri"/>
                <w:color w:val="000000"/>
                <w:szCs w:val="22"/>
              </w:rPr>
              <w:t>10</w:t>
            </w:r>
          </w:p>
        </w:tc>
        <w:tc>
          <w:tcPr>
            <w:tcW w:w="1418" w:type="dxa"/>
            <w:tcBorders>
              <w:top w:val="single" w:sz="4" w:space="0" w:color="auto"/>
              <w:left w:val="single" w:sz="4" w:space="0" w:color="auto"/>
              <w:bottom w:val="single" w:sz="4" w:space="0" w:color="auto"/>
              <w:right w:val="single" w:sz="4" w:space="0" w:color="auto"/>
            </w:tcBorders>
            <w:vAlign w:val="center"/>
          </w:tcPr>
          <w:p w14:paraId="0DF7B3A8" w14:textId="5CB113FC" w:rsidR="00BE48B8" w:rsidRDefault="009F42AE" w:rsidP="00BE48B8">
            <w:pPr>
              <w:widowControl w:val="0"/>
              <w:jc w:val="center"/>
              <w:rPr>
                <w:rFonts w:ascii="Calibri" w:hAnsi="Calibri" w:cs="Calibri"/>
                <w:color w:val="000000"/>
                <w:szCs w:val="22"/>
              </w:rPr>
            </w:pPr>
            <w:r>
              <w:rPr>
                <w:rFonts w:ascii="Calibri" w:hAnsi="Calibri" w:cs="Calibri"/>
                <w:color w:val="000000"/>
                <w:szCs w:val="22"/>
              </w:rPr>
              <w:t>2.6</w:t>
            </w:r>
            <w:r w:rsidR="00EE6433">
              <w:rPr>
                <w:rFonts w:ascii="Calibri" w:hAnsi="Calibri" w:cs="Calibri"/>
                <w:color w:val="000000"/>
                <w:szCs w:val="22"/>
              </w:rPr>
              <w:t>%</w:t>
            </w:r>
          </w:p>
        </w:tc>
      </w:tr>
      <w:tr w:rsidR="00BE48B8" w14:paraId="6A9BBBAA" w14:textId="77777777" w:rsidTr="0078382D">
        <w:tc>
          <w:tcPr>
            <w:tcW w:w="5670" w:type="dxa"/>
            <w:tcBorders>
              <w:top w:val="single" w:sz="4" w:space="0" w:color="auto"/>
              <w:left w:val="single" w:sz="4" w:space="0" w:color="auto"/>
              <w:bottom w:val="single" w:sz="4" w:space="0" w:color="auto"/>
              <w:right w:val="single" w:sz="4" w:space="0" w:color="auto"/>
            </w:tcBorders>
            <w:hideMark/>
          </w:tcPr>
          <w:p w14:paraId="7C4C264F" w14:textId="77777777" w:rsidR="00BE48B8" w:rsidRDefault="00BE48B8" w:rsidP="00BE48B8">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Rough/painful care or treatment</w:t>
            </w:r>
          </w:p>
        </w:tc>
        <w:tc>
          <w:tcPr>
            <w:tcW w:w="1701" w:type="dxa"/>
            <w:tcBorders>
              <w:top w:val="single" w:sz="4" w:space="0" w:color="auto"/>
              <w:left w:val="single" w:sz="4" w:space="0" w:color="auto"/>
              <w:bottom w:val="single" w:sz="4" w:space="0" w:color="auto"/>
              <w:right w:val="single" w:sz="4" w:space="0" w:color="auto"/>
            </w:tcBorders>
            <w:vAlign w:val="center"/>
          </w:tcPr>
          <w:p w14:paraId="10668D3A" w14:textId="26E5BFF0" w:rsidR="00BE48B8" w:rsidRDefault="00D43881" w:rsidP="00BE48B8">
            <w:pPr>
              <w:widowControl w:val="0"/>
              <w:jc w:val="center"/>
              <w:rPr>
                <w:rFonts w:ascii="Calibri" w:hAnsi="Calibri" w:cs="Calibri"/>
                <w:color w:val="000000"/>
                <w:szCs w:val="22"/>
              </w:rPr>
            </w:pPr>
            <w:r>
              <w:rPr>
                <w:rFonts w:ascii="Calibri" w:hAnsi="Calibri" w:cs="Calibri"/>
                <w:color w:val="000000"/>
                <w:szCs w:val="22"/>
              </w:rPr>
              <w:t>11</w:t>
            </w:r>
          </w:p>
        </w:tc>
        <w:tc>
          <w:tcPr>
            <w:tcW w:w="1418" w:type="dxa"/>
            <w:tcBorders>
              <w:top w:val="single" w:sz="4" w:space="0" w:color="auto"/>
              <w:left w:val="single" w:sz="4" w:space="0" w:color="auto"/>
              <w:bottom w:val="single" w:sz="4" w:space="0" w:color="auto"/>
              <w:right w:val="single" w:sz="4" w:space="0" w:color="auto"/>
            </w:tcBorders>
            <w:vAlign w:val="center"/>
          </w:tcPr>
          <w:p w14:paraId="4944AC88" w14:textId="3E2D8DD4" w:rsidR="00BE48B8" w:rsidRDefault="00EE6433" w:rsidP="00BE48B8">
            <w:pPr>
              <w:widowControl w:val="0"/>
              <w:jc w:val="center"/>
              <w:rPr>
                <w:rFonts w:ascii="Calibri" w:hAnsi="Calibri" w:cs="Calibri"/>
                <w:color w:val="000000"/>
                <w:szCs w:val="22"/>
              </w:rPr>
            </w:pPr>
            <w:r>
              <w:rPr>
                <w:rFonts w:ascii="Calibri" w:hAnsi="Calibri" w:cs="Calibri"/>
                <w:color w:val="000000"/>
                <w:szCs w:val="22"/>
              </w:rPr>
              <w:t>2.8%</w:t>
            </w:r>
          </w:p>
        </w:tc>
      </w:tr>
      <w:tr w:rsidR="00BE48B8" w14:paraId="46A0E4E7" w14:textId="77777777" w:rsidTr="0078382D">
        <w:tc>
          <w:tcPr>
            <w:tcW w:w="5670" w:type="dxa"/>
            <w:tcBorders>
              <w:top w:val="single" w:sz="4" w:space="0" w:color="auto"/>
              <w:left w:val="single" w:sz="4" w:space="0" w:color="auto"/>
              <w:bottom w:val="single" w:sz="4" w:space="0" w:color="auto"/>
              <w:right w:val="single" w:sz="4" w:space="0" w:color="auto"/>
            </w:tcBorders>
            <w:hideMark/>
          </w:tcPr>
          <w:p w14:paraId="737B55ED" w14:textId="77777777" w:rsidR="00BE48B8" w:rsidRDefault="00BE48B8" w:rsidP="00BE48B8">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Unexpected treatment outcome</w:t>
            </w:r>
          </w:p>
        </w:tc>
        <w:tc>
          <w:tcPr>
            <w:tcW w:w="1701" w:type="dxa"/>
            <w:tcBorders>
              <w:top w:val="single" w:sz="4" w:space="0" w:color="auto"/>
              <w:left w:val="single" w:sz="4" w:space="0" w:color="auto"/>
              <w:bottom w:val="single" w:sz="4" w:space="0" w:color="auto"/>
              <w:right w:val="single" w:sz="4" w:space="0" w:color="auto"/>
            </w:tcBorders>
            <w:vAlign w:val="center"/>
          </w:tcPr>
          <w:p w14:paraId="5D9C57E3" w14:textId="3E3F5E3C" w:rsidR="00BE48B8" w:rsidRDefault="00693A6C" w:rsidP="00BE48B8">
            <w:pPr>
              <w:widowControl w:val="0"/>
              <w:jc w:val="center"/>
              <w:rPr>
                <w:rFonts w:ascii="Calibri" w:hAnsi="Calibri" w:cs="Calibri"/>
                <w:color w:val="000000"/>
                <w:szCs w:val="22"/>
              </w:rPr>
            </w:pPr>
            <w:r>
              <w:rPr>
                <w:rFonts w:ascii="Calibri" w:hAnsi="Calibri" w:cs="Calibri"/>
                <w:color w:val="000000"/>
                <w:szCs w:val="22"/>
              </w:rPr>
              <w:t>52</w:t>
            </w:r>
          </w:p>
        </w:tc>
        <w:tc>
          <w:tcPr>
            <w:tcW w:w="1418" w:type="dxa"/>
            <w:tcBorders>
              <w:top w:val="single" w:sz="4" w:space="0" w:color="auto"/>
              <w:left w:val="single" w:sz="4" w:space="0" w:color="auto"/>
              <w:bottom w:val="single" w:sz="4" w:space="0" w:color="auto"/>
              <w:right w:val="single" w:sz="4" w:space="0" w:color="auto"/>
            </w:tcBorders>
            <w:vAlign w:val="center"/>
          </w:tcPr>
          <w:p w14:paraId="51E483CB" w14:textId="106965E0" w:rsidR="00BE48B8" w:rsidRDefault="009F42AE" w:rsidP="00BE48B8">
            <w:pPr>
              <w:widowControl w:val="0"/>
              <w:jc w:val="center"/>
              <w:rPr>
                <w:rFonts w:ascii="Calibri" w:hAnsi="Calibri" w:cs="Calibri"/>
                <w:color w:val="000000"/>
                <w:szCs w:val="22"/>
              </w:rPr>
            </w:pPr>
            <w:r>
              <w:rPr>
                <w:rFonts w:ascii="Calibri" w:hAnsi="Calibri" w:cs="Calibri"/>
                <w:color w:val="000000"/>
                <w:szCs w:val="22"/>
              </w:rPr>
              <w:t>13.3</w:t>
            </w:r>
            <w:r w:rsidR="00EE6433">
              <w:rPr>
                <w:rFonts w:ascii="Calibri" w:hAnsi="Calibri" w:cs="Calibri"/>
                <w:color w:val="000000"/>
                <w:szCs w:val="22"/>
              </w:rPr>
              <w:t>%</w:t>
            </w:r>
          </w:p>
        </w:tc>
      </w:tr>
      <w:tr w:rsidR="00D21AD4" w14:paraId="64ED56E0" w14:textId="77777777" w:rsidTr="0078382D">
        <w:tc>
          <w:tcPr>
            <w:tcW w:w="5670" w:type="dxa"/>
            <w:tcBorders>
              <w:top w:val="single" w:sz="4" w:space="0" w:color="auto"/>
              <w:left w:val="single" w:sz="4" w:space="0" w:color="auto"/>
              <w:bottom w:val="single" w:sz="4" w:space="0" w:color="auto"/>
              <w:right w:val="single" w:sz="4" w:space="0" w:color="auto"/>
            </w:tcBorders>
          </w:tcPr>
          <w:p w14:paraId="7D18A315" w14:textId="38302097" w:rsidR="00D21AD4" w:rsidRDefault="00D21AD4" w:rsidP="00BE48B8">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Unnecessary treatment</w:t>
            </w:r>
          </w:p>
        </w:tc>
        <w:tc>
          <w:tcPr>
            <w:tcW w:w="1701" w:type="dxa"/>
            <w:tcBorders>
              <w:top w:val="single" w:sz="4" w:space="0" w:color="auto"/>
              <w:left w:val="single" w:sz="4" w:space="0" w:color="auto"/>
              <w:bottom w:val="single" w:sz="4" w:space="0" w:color="auto"/>
              <w:right w:val="single" w:sz="4" w:space="0" w:color="auto"/>
            </w:tcBorders>
            <w:vAlign w:val="center"/>
          </w:tcPr>
          <w:p w14:paraId="3535459B" w14:textId="7E7808DA" w:rsidR="00D21AD4" w:rsidRDefault="00693A6C" w:rsidP="00BE48B8">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14:paraId="57BC1137" w14:textId="6E77F305" w:rsidR="00D21AD4" w:rsidRDefault="00EE6433" w:rsidP="00BE48B8">
            <w:pPr>
              <w:widowControl w:val="0"/>
              <w:jc w:val="center"/>
              <w:rPr>
                <w:rFonts w:ascii="Calibri" w:hAnsi="Calibri" w:cs="Calibri"/>
                <w:color w:val="000000"/>
                <w:szCs w:val="22"/>
              </w:rPr>
            </w:pPr>
            <w:r>
              <w:rPr>
                <w:rFonts w:ascii="Calibri" w:hAnsi="Calibri" w:cs="Calibri"/>
                <w:color w:val="000000"/>
                <w:szCs w:val="22"/>
              </w:rPr>
              <w:t>0.8%</w:t>
            </w:r>
          </w:p>
        </w:tc>
      </w:tr>
      <w:tr w:rsidR="00BE48B8" w14:paraId="4FE6211E" w14:textId="77777777" w:rsidTr="0078382D">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7A49D0" w14:textId="77777777" w:rsidR="00BE48B8" w:rsidRDefault="00BE48B8" w:rsidP="00BE48B8">
            <w:pPr>
              <w:widowControl w:val="0"/>
              <w:tabs>
                <w:tab w:val="left" w:pos="176"/>
                <w:tab w:val="left" w:pos="1440"/>
                <w:tab w:val="decimal" w:pos="4320"/>
              </w:tabs>
              <w:ind w:left="176" w:hanging="176"/>
              <w:jc w:val="left"/>
              <w:outlineLvl w:val="0"/>
              <w:rPr>
                <w:rFonts w:ascii="Calibri" w:hAnsi="Calibri"/>
                <w:b/>
                <w:i/>
                <w:szCs w:val="22"/>
              </w:rPr>
            </w:pPr>
            <w:r>
              <w:rPr>
                <w:rFonts w:ascii="Calibri" w:hAnsi="Calibri"/>
                <w:b/>
                <w:i/>
                <w:szCs w:val="22"/>
              </w:rPr>
              <w:t>Communication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6E6682" w14:textId="5B4EB5CB" w:rsidR="00BE48B8" w:rsidRDefault="00DA5B8D" w:rsidP="00BE48B8">
            <w:pPr>
              <w:widowControl w:val="0"/>
              <w:jc w:val="center"/>
              <w:rPr>
                <w:rFonts w:ascii="Calibri" w:hAnsi="Calibri" w:cs="Calibri"/>
                <w:b/>
                <w:i/>
                <w:color w:val="000000"/>
                <w:szCs w:val="22"/>
              </w:rPr>
            </w:pPr>
            <w:r>
              <w:rPr>
                <w:rFonts w:ascii="Calibri" w:hAnsi="Calibri" w:cs="Calibri"/>
                <w:b/>
                <w:i/>
                <w:color w:val="000000"/>
                <w:szCs w:val="22"/>
              </w:rPr>
              <w:t>243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5F810A" w14:textId="34DCD754" w:rsidR="00BE48B8" w:rsidRDefault="009F42AE" w:rsidP="00BE48B8">
            <w:pPr>
              <w:widowControl w:val="0"/>
              <w:jc w:val="center"/>
              <w:rPr>
                <w:rFonts w:ascii="Calibri" w:hAnsi="Calibri" w:cs="Calibri"/>
                <w:b/>
                <w:i/>
                <w:color w:val="000000"/>
                <w:szCs w:val="22"/>
              </w:rPr>
            </w:pPr>
            <w:r>
              <w:rPr>
                <w:rFonts w:ascii="Calibri" w:hAnsi="Calibri" w:cs="Calibri"/>
                <w:b/>
                <w:i/>
                <w:color w:val="000000"/>
                <w:szCs w:val="22"/>
              </w:rPr>
              <w:t>62.0</w:t>
            </w:r>
            <w:r w:rsidR="00EE6433">
              <w:rPr>
                <w:rFonts w:ascii="Calibri" w:hAnsi="Calibri" w:cs="Calibri"/>
                <w:b/>
                <w:i/>
                <w:color w:val="000000"/>
                <w:szCs w:val="22"/>
              </w:rPr>
              <w:t>%</w:t>
            </w:r>
          </w:p>
        </w:tc>
      </w:tr>
      <w:tr w:rsidR="00BE48B8" w14:paraId="7DC1B251" w14:textId="77777777" w:rsidTr="0078382D">
        <w:tc>
          <w:tcPr>
            <w:tcW w:w="5670" w:type="dxa"/>
            <w:tcBorders>
              <w:top w:val="single" w:sz="4" w:space="0" w:color="auto"/>
              <w:left w:val="single" w:sz="4" w:space="0" w:color="auto"/>
              <w:bottom w:val="single" w:sz="4" w:space="0" w:color="auto"/>
              <w:right w:val="single" w:sz="4" w:space="0" w:color="auto"/>
            </w:tcBorders>
            <w:hideMark/>
          </w:tcPr>
          <w:p w14:paraId="4A91567D" w14:textId="77777777" w:rsidR="00BE48B8" w:rsidRDefault="00BE48B8" w:rsidP="00BE48B8">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Disrespectful manner/attitude</w:t>
            </w:r>
          </w:p>
        </w:tc>
        <w:tc>
          <w:tcPr>
            <w:tcW w:w="1701" w:type="dxa"/>
            <w:tcBorders>
              <w:top w:val="single" w:sz="4" w:space="0" w:color="auto"/>
              <w:left w:val="single" w:sz="4" w:space="0" w:color="auto"/>
              <w:bottom w:val="single" w:sz="4" w:space="0" w:color="auto"/>
              <w:right w:val="single" w:sz="4" w:space="0" w:color="auto"/>
            </w:tcBorders>
            <w:vAlign w:val="center"/>
          </w:tcPr>
          <w:p w14:paraId="44AFC40A" w14:textId="4393C2AB" w:rsidR="00BE48B8" w:rsidRDefault="00693A6C" w:rsidP="00BE48B8">
            <w:pPr>
              <w:widowControl w:val="0"/>
              <w:jc w:val="center"/>
              <w:rPr>
                <w:rFonts w:ascii="Calibri" w:hAnsi="Calibri" w:cs="Calibri"/>
                <w:color w:val="000000"/>
                <w:szCs w:val="22"/>
              </w:rPr>
            </w:pPr>
            <w:r>
              <w:rPr>
                <w:rFonts w:ascii="Calibri" w:hAnsi="Calibri" w:cs="Calibri"/>
                <w:color w:val="000000"/>
                <w:szCs w:val="22"/>
              </w:rPr>
              <w:t>49</w:t>
            </w:r>
          </w:p>
        </w:tc>
        <w:tc>
          <w:tcPr>
            <w:tcW w:w="1418" w:type="dxa"/>
            <w:tcBorders>
              <w:top w:val="single" w:sz="4" w:space="0" w:color="auto"/>
              <w:left w:val="single" w:sz="4" w:space="0" w:color="auto"/>
              <w:bottom w:val="single" w:sz="4" w:space="0" w:color="auto"/>
              <w:right w:val="single" w:sz="4" w:space="0" w:color="auto"/>
            </w:tcBorders>
            <w:vAlign w:val="center"/>
          </w:tcPr>
          <w:p w14:paraId="26008A2D" w14:textId="6C8C71FD" w:rsidR="00BE48B8" w:rsidRDefault="009F42AE" w:rsidP="00BE48B8">
            <w:pPr>
              <w:widowControl w:val="0"/>
              <w:jc w:val="center"/>
              <w:rPr>
                <w:rFonts w:ascii="Calibri" w:hAnsi="Calibri" w:cs="Calibri"/>
                <w:color w:val="000000"/>
                <w:szCs w:val="22"/>
              </w:rPr>
            </w:pPr>
            <w:r>
              <w:rPr>
                <w:rFonts w:ascii="Calibri" w:hAnsi="Calibri" w:cs="Calibri"/>
                <w:color w:val="000000"/>
                <w:szCs w:val="22"/>
              </w:rPr>
              <w:t>12.5</w:t>
            </w:r>
            <w:r w:rsidR="00EE6433">
              <w:rPr>
                <w:rFonts w:ascii="Calibri" w:hAnsi="Calibri" w:cs="Calibri"/>
                <w:color w:val="000000"/>
                <w:szCs w:val="22"/>
              </w:rPr>
              <w:t>%</w:t>
            </w:r>
          </w:p>
        </w:tc>
      </w:tr>
      <w:tr w:rsidR="002B345D" w14:paraId="5F2A4C3F" w14:textId="77777777" w:rsidTr="0078382D">
        <w:tc>
          <w:tcPr>
            <w:tcW w:w="5670" w:type="dxa"/>
            <w:tcBorders>
              <w:top w:val="single" w:sz="4" w:space="0" w:color="auto"/>
              <w:left w:val="single" w:sz="4" w:space="0" w:color="auto"/>
              <w:bottom w:val="single" w:sz="4" w:space="0" w:color="auto"/>
              <w:right w:val="single" w:sz="4" w:space="0" w:color="auto"/>
            </w:tcBorders>
          </w:tcPr>
          <w:p w14:paraId="10E9A0F3" w14:textId="39794255" w:rsidR="002B345D" w:rsidRDefault="002B345D" w:rsidP="002B345D">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accommodate cultural/language needs</w:t>
            </w:r>
          </w:p>
        </w:tc>
        <w:tc>
          <w:tcPr>
            <w:tcW w:w="1701" w:type="dxa"/>
            <w:tcBorders>
              <w:top w:val="single" w:sz="4" w:space="0" w:color="auto"/>
              <w:left w:val="single" w:sz="4" w:space="0" w:color="auto"/>
              <w:bottom w:val="single" w:sz="4" w:space="0" w:color="auto"/>
              <w:right w:val="single" w:sz="4" w:space="0" w:color="auto"/>
            </w:tcBorders>
            <w:vAlign w:val="center"/>
          </w:tcPr>
          <w:p w14:paraId="6DD03702" w14:textId="772BEA35" w:rsidR="002B345D" w:rsidRDefault="00693A6C" w:rsidP="00BE48B8">
            <w:pPr>
              <w:widowControl w:val="0"/>
              <w:jc w:val="center"/>
              <w:rPr>
                <w:rFonts w:ascii="Calibri" w:hAnsi="Calibri" w:cs="Calibri"/>
                <w:color w:val="000000"/>
                <w:szCs w:val="22"/>
              </w:rPr>
            </w:pPr>
            <w:r>
              <w:rPr>
                <w:rFonts w:ascii="Calibri" w:hAnsi="Calibri" w:cs="Calibri"/>
                <w:color w:val="000000"/>
                <w:szCs w:val="22"/>
              </w:rPr>
              <w:t>11</w:t>
            </w:r>
          </w:p>
        </w:tc>
        <w:tc>
          <w:tcPr>
            <w:tcW w:w="1418" w:type="dxa"/>
            <w:tcBorders>
              <w:top w:val="single" w:sz="4" w:space="0" w:color="auto"/>
              <w:left w:val="single" w:sz="4" w:space="0" w:color="auto"/>
              <w:bottom w:val="single" w:sz="4" w:space="0" w:color="auto"/>
              <w:right w:val="single" w:sz="4" w:space="0" w:color="auto"/>
            </w:tcBorders>
            <w:vAlign w:val="center"/>
          </w:tcPr>
          <w:p w14:paraId="67DB326C" w14:textId="2ADCF8E3" w:rsidR="002B345D" w:rsidRDefault="00EE6433" w:rsidP="00BE48B8">
            <w:pPr>
              <w:widowControl w:val="0"/>
              <w:jc w:val="center"/>
              <w:rPr>
                <w:rFonts w:ascii="Calibri" w:hAnsi="Calibri" w:cs="Calibri"/>
                <w:color w:val="000000"/>
                <w:szCs w:val="22"/>
              </w:rPr>
            </w:pPr>
            <w:r>
              <w:rPr>
                <w:rFonts w:ascii="Calibri" w:hAnsi="Calibri" w:cs="Calibri"/>
                <w:color w:val="000000"/>
                <w:szCs w:val="22"/>
              </w:rPr>
              <w:t>2.8%</w:t>
            </w:r>
          </w:p>
        </w:tc>
      </w:tr>
      <w:tr w:rsidR="00BE48B8" w14:paraId="51B4B408" w14:textId="77777777" w:rsidTr="0078382D">
        <w:tc>
          <w:tcPr>
            <w:tcW w:w="5670" w:type="dxa"/>
            <w:tcBorders>
              <w:top w:val="single" w:sz="4" w:space="0" w:color="auto"/>
              <w:left w:val="single" w:sz="4" w:space="0" w:color="auto"/>
              <w:bottom w:val="single" w:sz="4" w:space="0" w:color="auto"/>
              <w:right w:val="single" w:sz="4" w:space="0" w:color="auto"/>
            </w:tcBorders>
            <w:hideMark/>
          </w:tcPr>
          <w:p w14:paraId="0AE2C2B1" w14:textId="77777777" w:rsidR="00BE48B8" w:rsidRDefault="00BE48B8" w:rsidP="00BE48B8">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communicate openly/honestly/effectively with consumer</w:t>
            </w:r>
          </w:p>
        </w:tc>
        <w:tc>
          <w:tcPr>
            <w:tcW w:w="1701" w:type="dxa"/>
            <w:tcBorders>
              <w:top w:val="single" w:sz="4" w:space="0" w:color="auto"/>
              <w:left w:val="single" w:sz="4" w:space="0" w:color="auto"/>
              <w:bottom w:val="single" w:sz="4" w:space="0" w:color="auto"/>
              <w:right w:val="single" w:sz="4" w:space="0" w:color="auto"/>
            </w:tcBorders>
            <w:vAlign w:val="center"/>
          </w:tcPr>
          <w:p w14:paraId="3853BE1E" w14:textId="69BA8FBD" w:rsidR="00BE48B8" w:rsidRDefault="00693A6C" w:rsidP="00BE48B8">
            <w:pPr>
              <w:widowControl w:val="0"/>
              <w:jc w:val="center"/>
              <w:rPr>
                <w:rFonts w:ascii="Calibri" w:hAnsi="Calibri" w:cs="Calibri"/>
                <w:color w:val="000000"/>
                <w:szCs w:val="22"/>
              </w:rPr>
            </w:pPr>
            <w:r>
              <w:rPr>
                <w:rFonts w:ascii="Calibri" w:hAnsi="Calibri" w:cs="Calibri"/>
                <w:color w:val="000000"/>
                <w:szCs w:val="22"/>
              </w:rPr>
              <w:t>133</w:t>
            </w:r>
          </w:p>
        </w:tc>
        <w:tc>
          <w:tcPr>
            <w:tcW w:w="1418" w:type="dxa"/>
            <w:tcBorders>
              <w:top w:val="single" w:sz="4" w:space="0" w:color="auto"/>
              <w:left w:val="single" w:sz="4" w:space="0" w:color="auto"/>
              <w:bottom w:val="single" w:sz="4" w:space="0" w:color="auto"/>
              <w:right w:val="single" w:sz="4" w:space="0" w:color="auto"/>
            </w:tcBorders>
            <w:vAlign w:val="center"/>
          </w:tcPr>
          <w:p w14:paraId="7FB1591D" w14:textId="0C9B00D2" w:rsidR="00BE48B8" w:rsidRDefault="009F42AE" w:rsidP="00BE48B8">
            <w:pPr>
              <w:widowControl w:val="0"/>
              <w:jc w:val="center"/>
              <w:rPr>
                <w:rFonts w:ascii="Calibri" w:hAnsi="Calibri" w:cs="Calibri"/>
                <w:color w:val="000000"/>
                <w:szCs w:val="22"/>
              </w:rPr>
            </w:pPr>
            <w:r>
              <w:rPr>
                <w:rFonts w:ascii="Calibri" w:hAnsi="Calibri" w:cs="Calibri"/>
                <w:color w:val="000000"/>
                <w:szCs w:val="22"/>
              </w:rPr>
              <w:t>33.9</w:t>
            </w:r>
            <w:r w:rsidR="00EE6433">
              <w:rPr>
                <w:rFonts w:ascii="Calibri" w:hAnsi="Calibri" w:cs="Calibri"/>
                <w:color w:val="000000"/>
                <w:szCs w:val="22"/>
              </w:rPr>
              <w:t>%</w:t>
            </w:r>
          </w:p>
        </w:tc>
      </w:tr>
      <w:tr w:rsidR="00BE48B8" w14:paraId="04F02C33"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hideMark/>
          </w:tcPr>
          <w:p w14:paraId="1C6B728C" w14:textId="77777777" w:rsidR="00BE48B8" w:rsidRDefault="00BE48B8" w:rsidP="00BE48B8">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communicate openly/honestly/effectively with family</w:t>
            </w:r>
          </w:p>
        </w:tc>
        <w:tc>
          <w:tcPr>
            <w:tcW w:w="1701" w:type="dxa"/>
            <w:tcBorders>
              <w:top w:val="single" w:sz="4" w:space="0" w:color="auto"/>
              <w:left w:val="single" w:sz="4" w:space="0" w:color="auto"/>
              <w:bottom w:val="single" w:sz="4" w:space="0" w:color="auto"/>
              <w:right w:val="single" w:sz="4" w:space="0" w:color="auto"/>
            </w:tcBorders>
            <w:vAlign w:val="center"/>
          </w:tcPr>
          <w:p w14:paraId="61161DF4" w14:textId="360B722C" w:rsidR="00BE48B8" w:rsidRDefault="00693A6C" w:rsidP="00BE48B8">
            <w:pPr>
              <w:widowControl w:val="0"/>
              <w:jc w:val="center"/>
              <w:rPr>
                <w:rFonts w:ascii="Calibri" w:hAnsi="Calibri" w:cs="Calibri"/>
                <w:color w:val="000000"/>
                <w:szCs w:val="22"/>
              </w:rPr>
            </w:pPr>
            <w:r>
              <w:rPr>
                <w:rFonts w:ascii="Calibri" w:hAnsi="Calibri" w:cs="Calibri"/>
                <w:color w:val="000000"/>
                <w:szCs w:val="22"/>
              </w:rPr>
              <w:t>86</w:t>
            </w:r>
          </w:p>
        </w:tc>
        <w:tc>
          <w:tcPr>
            <w:tcW w:w="1418" w:type="dxa"/>
            <w:tcBorders>
              <w:top w:val="single" w:sz="4" w:space="0" w:color="auto"/>
              <w:left w:val="single" w:sz="4" w:space="0" w:color="auto"/>
              <w:bottom w:val="single" w:sz="4" w:space="0" w:color="auto"/>
              <w:right w:val="single" w:sz="4" w:space="0" w:color="auto"/>
            </w:tcBorders>
            <w:vAlign w:val="center"/>
          </w:tcPr>
          <w:p w14:paraId="28880337" w14:textId="123BD34C" w:rsidR="00BE48B8" w:rsidRDefault="009F42AE" w:rsidP="00BE48B8">
            <w:pPr>
              <w:widowControl w:val="0"/>
              <w:jc w:val="center"/>
              <w:rPr>
                <w:rFonts w:ascii="Calibri" w:hAnsi="Calibri" w:cs="Calibri"/>
                <w:color w:val="000000"/>
                <w:szCs w:val="22"/>
              </w:rPr>
            </w:pPr>
            <w:r>
              <w:rPr>
                <w:rFonts w:ascii="Calibri" w:hAnsi="Calibri" w:cs="Calibri"/>
                <w:color w:val="000000"/>
                <w:szCs w:val="22"/>
              </w:rPr>
              <w:t>21.9</w:t>
            </w:r>
            <w:r w:rsidR="00EE6433">
              <w:rPr>
                <w:rFonts w:ascii="Calibri" w:hAnsi="Calibri" w:cs="Calibri"/>
                <w:color w:val="000000"/>
                <w:szCs w:val="22"/>
              </w:rPr>
              <w:t>%</w:t>
            </w:r>
          </w:p>
        </w:tc>
      </w:tr>
      <w:tr w:rsidR="00BE48B8" w14:paraId="5683944D"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tcPr>
          <w:p w14:paraId="0CDC647E" w14:textId="77777777" w:rsidR="00BE48B8" w:rsidRDefault="00BE48B8" w:rsidP="00BE48B8">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Insensitive/inappropriate comments</w:t>
            </w:r>
          </w:p>
        </w:tc>
        <w:tc>
          <w:tcPr>
            <w:tcW w:w="1701" w:type="dxa"/>
            <w:tcBorders>
              <w:top w:val="single" w:sz="4" w:space="0" w:color="auto"/>
              <w:left w:val="single" w:sz="4" w:space="0" w:color="auto"/>
              <w:bottom w:val="single" w:sz="4" w:space="0" w:color="auto"/>
              <w:right w:val="single" w:sz="4" w:space="0" w:color="auto"/>
            </w:tcBorders>
            <w:vAlign w:val="center"/>
          </w:tcPr>
          <w:p w14:paraId="7E07DF94" w14:textId="4AE98384" w:rsidR="00BE48B8" w:rsidRDefault="00D43881" w:rsidP="00BE48B8">
            <w:pPr>
              <w:widowControl w:val="0"/>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14:paraId="0F193E9C" w14:textId="169F5205" w:rsidR="00BE48B8" w:rsidRDefault="00EE6433" w:rsidP="00BE48B8">
            <w:pPr>
              <w:widowControl w:val="0"/>
              <w:jc w:val="center"/>
              <w:rPr>
                <w:rFonts w:ascii="Calibri" w:hAnsi="Calibri" w:cs="Calibri"/>
                <w:color w:val="000000"/>
                <w:szCs w:val="22"/>
              </w:rPr>
            </w:pPr>
            <w:r>
              <w:rPr>
                <w:rFonts w:ascii="Calibri" w:hAnsi="Calibri" w:cs="Calibri"/>
                <w:color w:val="000000"/>
                <w:szCs w:val="22"/>
              </w:rPr>
              <w:t>1.3%</w:t>
            </w:r>
          </w:p>
        </w:tc>
      </w:tr>
      <w:tr w:rsidR="00CE7765" w14:paraId="7ADA1187"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9CABC0" w14:textId="1486E303" w:rsidR="00CE7765" w:rsidRDefault="00CE7765" w:rsidP="00CE7765">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Complaints process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75E854" w14:textId="40DC33C1" w:rsidR="00CE7765" w:rsidRDefault="00DA5B8D" w:rsidP="00CE7765">
            <w:pPr>
              <w:widowControl w:val="0"/>
              <w:jc w:val="center"/>
              <w:rPr>
                <w:rFonts w:ascii="Calibri" w:hAnsi="Calibri" w:cs="Calibri"/>
                <w:b/>
                <w:i/>
                <w:color w:val="000000"/>
                <w:szCs w:val="22"/>
              </w:rPr>
            </w:pPr>
            <w:r>
              <w:rPr>
                <w:rFonts w:ascii="Calibri" w:hAnsi="Calibri" w:cs="Calibri"/>
                <w:b/>
                <w:i/>
                <w:color w:val="000000"/>
                <w:szCs w:val="22"/>
              </w:rPr>
              <w:t>58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5E907E" w14:textId="2E27C0C5" w:rsidR="00CE7765" w:rsidRDefault="009F42AE" w:rsidP="00CE7765">
            <w:pPr>
              <w:widowControl w:val="0"/>
              <w:jc w:val="center"/>
              <w:rPr>
                <w:rFonts w:ascii="Calibri" w:hAnsi="Calibri" w:cs="Calibri"/>
                <w:b/>
                <w:i/>
                <w:color w:val="000000"/>
                <w:szCs w:val="22"/>
              </w:rPr>
            </w:pPr>
            <w:r>
              <w:rPr>
                <w:rFonts w:ascii="Calibri" w:hAnsi="Calibri" w:cs="Calibri"/>
                <w:b/>
                <w:i/>
                <w:color w:val="000000"/>
                <w:szCs w:val="22"/>
              </w:rPr>
              <w:t>14.8</w:t>
            </w:r>
            <w:r w:rsidR="00EE6433">
              <w:rPr>
                <w:rFonts w:ascii="Calibri" w:hAnsi="Calibri" w:cs="Calibri"/>
                <w:b/>
                <w:i/>
                <w:color w:val="000000"/>
                <w:szCs w:val="22"/>
              </w:rPr>
              <w:t>%</w:t>
            </w:r>
          </w:p>
        </w:tc>
      </w:tr>
      <w:tr w:rsidR="00CE7765" w14:paraId="1B0CD4EB"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1ADF6D7E" w14:textId="0E9DCE7B" w:rsidR="00CE7765" w:rsidRPr="00CE7765" w:rsidRDefault="00CE7765" w:rsidP="00CE7765">
            <w:pPr>
              <w:widowControl w:val="0"/>
              <w:tabs>
                <w:tab w:val="left" w:pos="176"/>
                <w:tab w:val="left" w:pos="1440"/>
                <w:tab w:val="decimal" w:pos="4320"/>
              </w:tabs>
              <w:jc w:val="left"/>
              <w:outlineLvl w:val="0"/>
              <w:rPr>
                <w:rFonts w:ascii="Calibri" w:hAnsi="Calibri"/>
                <w:szCs w:val="22"/>
              </w:rPr>
            </w:pPr>
            <w:r>
              <w:rPr>
                <w:rFonts w:ascii="Calibri" w:hAnsi="Calibri"/>
                <w:szCs w:val="22"/>
              </w:rPr>
              <w:t xml:space="preserve">    Inadequate response to complaint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784196" w14:textId="5AC10077" w:rsidR="00CE7765" w:rsidRPr="00CE7765" w:rsidRDefault="00693A6C" w:rsidP="00CE7765">
            <w:pPr>
              <w:widowControl w:val="0"/>
              <w:jc w:val="center"/>
              <w:rPr>
                <w:rFonts w:ascii="Calibri" w:hAnsi="Calibri" w:cs="Calibri"/>
                <w:color w:val="000000"/>
                <w:szCs w:val="22"/>
              </w:rPr>
            </w:pPr>
            <w:r>
              <w:rPr>
                <w:rFonts w:ascii="Calibri" w:hAnsi="Calibri" w:cs="Calibri"/>
                <w:color w:val="000000"/>
                <w:szCs w:val="22"/>
              </w:rPr>
              <w:t>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78BD8F" w14:textId="177E1986" w:rsidR="00CE7765" w:rsidRPr="00CE7765" w:rsidRDefault="009F42AE" w:rsidP="00CE7765">
            <w:pPr>
              <w:widowControl w:val="0"/>
              <w:jc w:val="center"/>
              <w:rPr>
                <w:rFonts w:ascii="Calibri" w:hAnsi="Calibri" w:cs="Calibri"/>
                <w:color w:val="000000"/>
                <w:szCs w:val="22"/>
              </w:rPr>
            </w:pPr>
            <w:r>
              <w:rPr>
                <w:rFonts w:ascii="Calibri" w:hAnsi="Calibri" w:cs="Calibri"/>
                <w:color w:val="000000"/>
                <w:szCs w:val="22"/>
              </w:rPr>
              <w:t>13.8</w:t>
            </w:r>
            <w:r w:rsidR="00EE6433">
              <w:rPr>
                <w:rFonts w:ascii="Calibri" w:hAnsi="Calibri" w:cs="Calibri"/>
                <w:color w:val="000000"/>
                <w:szCs w:val="22"/>
              </w:rPr>
              <w:t>%</w:t>
            </w:r>
          </w:p>
        </w:tc>
      </w:tr>
      <w:tr w:rsidR="00CE7765" w14:paraId="0E172688"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297DE41A" w14:textId="705354DE" w:rsidR="00CE7765" w:rsidRDefault="002B345D" w:rsidP="00CE7765">
            <w:pPr>
              <w:widowControl w:val="0"/>
              <w:tabs>
                <w:tab w:val="left" w:pos="176"/>
                <w:tab w:val="left" w:pos="1440"/>
                <w:tab w:val="decimal" w:pos="4320"/>
              </w:tabs>
              <w:jc w:val="left"/>
              <w:outlineLvl w:val="0"/>
              <w:rPr>
                <w:rFonts w:ascii="Calibri" w:hAnsi="Calibri"/>
                <w:szCs w:val="22"/>
              </w:rPr>
            </w:pPr>
            <w:r>
              <w:rPr>
                <w:rFonts w:ascii="Calibri" w:hAnsi="Calibri"/>
                <w:szCs w:val="22"/>
              </w:rPr>
              <w:t xml:space="preserve">    Retaliation/discrimination for making a complaint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A48559" w14:textId="0A29DFA0" w:rsidR="00CE7765" w:rsidRPr="00CE7765" w:rsidRDefault="00D43881" w:rsidP="00CE7765">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B9C8140" w14:textId="2072145E" w:rsidR="00CE7765" w:rsidRPr="00CE7765" w:rsidRDefault="00EE6433" w:rsidP="00CE7765">
            <w:pPr>
              <w:widowControl w:val="0"/>
              <w:jc w:val="center"/>
              <w:rPr>
                <w:rFonts w:ascii="Calibri" w:hAnsi="Calibri" w:cs="Calibri"/>
                <w:color w:val="000000"/>
                <w:szCs w:val="22"/>
              </w:rPr>
            </w:pPr>
            <w:r>
              <w:rPr>
                <w:rFonts w:ascii="Calibri" w:hAnsi="Calibri" w:cs="Calibri"/>
                <w:color w:val="000000"/>
                <w:szCs w:val="22"/>
              </w:rPr>
              <w:t>1.0%</w:t>
            </w:r>
          </w:p>
        </w:tc>
      </w:tr>
      <w:tr w:rsidR="00CE7765" w14:paraId="5C4C38E4"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57460A" w14:textId="77777777" w:rsidR="00CE7765" w:rsidRDefault="00CE7765" w:rsidP="00CE7765">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Consent/Information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26C826" w14:textId="5713401A" w:rsidR="00CE7765" w:rsidRDefault="001A2DD8" w:rsidP="00CE7765">
            <w:pPr>
              <w:widowControl w:val="0"/>
              <w:jc w:val="center"/>
              <w:rPr>
                <w:rFonts w:ascii="Calibri" w:hAnsi="Calibri" w:cs="Calibri"/>
                <w:b/>
                <w:i/>
                <w:color w:val="000000"/>
                <w:szCs w:val="22"/>
              </w:rPr>
            </w:pPr>
            <w:r>
              <w:rPr>
                <w:rFonts w:ascii="Calibri" w:hAnsi="Calibri" w:cs="Calibri"/>
                <w:b/>
                <w:i/>
                <w:color w:val="000000"/>
                <w:szCs w:val="22"/>
              </w:rPr>
              <w:t>107</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D91D78" w14:textId="09F5803E" w:rsidR="00CE7765" w:rsidRDefault="009F42AE" w:rsidP="00CE7765">
            <w:pPr>
              <w:widowControl w:val="0"/>
              <w:jc w:val="center"/>
              <w:rPr>
                <w:rFonts w:ascii="Calibri" w:hAnsi="Calibri" w:cs="Calibri"/>
                <w:b/>
                <w:i/>
                <w:color w:val="000000"/>
                <w:szCs w:val="22"/>
              </w:rPr>
            </w:pPr>
            <w:r>
              <w:rPr>
                <w:rFonts w:ascii="Calibri" w:hAnsi="Calibri" w:cs="Calibri"/>
                <w:b/>
                <w:i/>
                <w:color w:val="000000"/>
                <w:szCs w:val="22"/>
              </w:rPr>
              <w:t>27.3</w:t>
            </w:r>
            <w:r w:rsidR="00EE6433">
              <w:rPr>
                <w:rFonts w:ascii="Calibri" w:hAnsi="Calibri" w:cs="Calibri"/>
                <w:b/>
                <w:i/>
                <w:color w:val="000000"/>
                <w:szCs w:val="22"/>
              </w:rPr>
              <w:t>%</w:t>
            </w:r>
          </w:p>
        </w:tc>
      </w:tr>
      <w:tr w:rsidR="00CE7765" w14:paraId="29469487"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hideMark/>
          </w:tcPr>
          <w:p w14:paraId="732F7AC9" w14:textId="77777777" w:rsidR="00CE7765" w:rsidRDefault="00CE7765" w:rsidP="00CE776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Consent not obtained/adequate</w:t>
            </w:r>
          </w:p>
        </w:tc>
        <w:tc>
          <w:tcPr>
            <w:tcW w:w="1701" w:type="dxa"/>
            <w:tcBorders>
              <w:top w:val="single" w:sz="4" w:space="0" w:color="auto"/>
              <w:left w:val="single" w:sz="4" w:space="0" w:color="auto"/>
              <w:bottom w:val="single" w:sz="4" w:space="0" w:color="auto"/>
              <w:right w:val="single" w:sz="4" w:space="0" w:color="auto"/>
            </w:tcBorders>
            <w:vAlign w:val="center"/>
          </w:tcPr>
          <w:p w14:paraId="7F8669CD" w14:textId="425A6217" w:rsidR="00CE7765" w:rsidRDefault="00693A6C" w:rsidP="00CE7765">
            <w:pPr>
              <w:widowControl w:val="0"/>
              <w:jc w:val="center"/>
              <w:rPr>
                <w:rFonts w:ascii="Calibri" w:hAnsi="Calibri" w:cs="Calibri"/>
                <w:color w:val="000000"/>
                <w:szCs w:val="22"/>
              </w:rPr>
            </w:pPr>
            <w:r>
              <w:rPr>
                <w:rFonts w:ascii="Calibri" w:hAnsi="Calibri" w:cs="Calibri"/>
                <w:color w:val="000000"/>
                <w:szCs w:val="22"/>
              </w:rPr>
              <w:t>27</w:t>
            </w:r>
          </w:p>
        </w:tc>
        <w:tc>
          <w:tcPr>
            <w:tcW w:w="1418" w:type="dxa"/>
            <w:tcBorders>
              <w:top w:val="single" w:sz="4" w:space="0" w:color="auto"/>
              <w:left w:val="single" w:sz="4" w:space="0" w:color="auto"/>
              <w:bottom w:val="single" w:sz="4" w:space="0" w:color="auto"/>
              <w:right w:val="single" w:sz="4" w:space="0" w:color="auto"/>
            </w:tcBorders>
            <w:vAlign w:val="center"/>
          </w:tcPr>
          <w:p w14:paraId="6295D62E" w14:textId="3E1730ED" w:rsidR="00CE7765" w:rsidRDefault="00EE6433" w:rsidP="00CE7765">
            <w:pPr>
              <w:widowControl w:val="0"/>
              <w:jc w:val="center"/>
              <w:rPr>
                <w:rFonts w:ascii="Calibri" w:hAnsi="Calibri" w:cs="Calibri"/>
                <w:color w:val="000000"/>
                <w:szCs w:val="22"/>
              </w:rPr>
            </w:pPr>
            <w:r>
              <w:rPr>
                <w:rFonts w:ascii="Calibri" w:hAnsi="Calibri" w:cs="Calibri"/>
                <w:color w:val="000000"/>
                <w:szCs w:val="22"/>
              </w:rPr>
              <w:t>6.9%</w:t>
            </w:r>
          </w:p>
        </w:tc>
      </w:tr>
      <w:tr w:rsidR="002B345D" w14:paraId="1C065D7A"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tcPr>
          <w:p w14:paraId="3F643F6B" w14:textId="1C0CDBFF" w:rsidR="002B345D" w:rsidRDefault="002B345D" w:rsidP="00CE776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adverse event</w:t>
            </w:r>
          </w:p>
        </w:tc>
        <w:tc>
          <w:tcPr>
            <w:tcW w:w="1701" w:type="dxa"/>
            <w:tcBorders>
              <w:top w:val="single" w:sz="4" w:space="0" w:color="auto"/>
              <w:left w:val="single" w:sz="4" w:space="0" w:color="auto"/>
              <w:bottom w:val="single" w:sz="4" w:space="0" w:color="auto"/>
              <w:right w:val="single" w:sz="4" w:space="0" w:color="auto"/>
            </w:tcBorders>
            <w:vAlign w:val="center"/>
          </w:tcPr>
          <w:p w14:paraId="03E1C27E" w14:textId="11F4BD79" w:rsidR="002B345D" w:rsidRDefault="00693A6C" w:rsidP="00CE7765">
            <w:pPr>
              <w:widowControl w:val="0"/>
              <w:jc w:val="center"/>
              <w:rPr>
                <w:rFonts w:ascii="Calibri" w:hAnsi="Calibri" w:cs="Calibri"/>
                <w:color w:val="000000"/>
                <w:szCs w:val="22"/>
              </w:rPr>
            </w:pPr>
            <w:r>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tcPr>
          <w:p w14:paraId="06EF0E5B" w14:textId="29587E10" w:rsidR="002B345D" w:rsidRDefault="00EE6433" w:rsidP="00CE7765">
            <w:pPr>
              <w:jc w:val="center"/>
            </w:pPr>
            <w:r>
              <w:t>1.8%</w:t>
            </w:r>
          </w:p>
        </w:tc>
      </w:tr>
      <w:tr w:rsidR="00CE7765" w14:paraId="0829EEE5"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tcPr>
          <w:p w14:paraId="13BCD583" w14:textId="77777777" w:rsidR="00CE7765" w:rsidRDefault="00CE7765" w:rsidP="00CE776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condition</w:t>
            </w:r>
          </w:p>
        </w:tc>
        <w:tc>
          <w:tcPr>
            <w:tcW w:w="1701" w:type="dxa"/>
            <w:tcBorders>
              <w:top w:val="single" w:sz="4" w:space="0" w:color="auto"/>
              <w:left w:val="single" w:sz="4" w:space="0" w:color="auto"/>
              <w:bottom w:val="single" w:sz="4" w:space="0" w:color="auto"/>
              <w:right w:val="single" w:sz="4" w:space="0" w:color="auto"/>
            </w:tcBorders>
            <w:vAlign w:val="center"/>
          </w:tcPr>
          <w:p w14:paraId="4E57CD98" w14:textId="2A147028" w:rsidR="00CE7765" w:rsidRDefault="00693A6C" w:rsidP="00CE7765">
            <w:pPr>
              <w:widowControl w:val="0"/>
              <w:jc w:val="center"/>
              <w:rPr>
                <w:rFonts w:ascii="Calibri" w:hAnsi="Calibri" w:cs="Calibri"/>
                <w:color w:val="000000"/>
                <w:szCs w:val="22"/>
              </w:rPr>
            </w:pPr>
            <w:r>
              <w:rPr>
                <w:rFonts w:ascii="Calibri" w:hAnsi="Calibri" w:cs="Calibri"/>
                <w:color w:val="000000"/>
                <w:szCs w:val="22"/>
              </w:rPr>
              <w:t>10</w:t>
            </w:r>
          </w:p>
        </w:tc>
        <w:tc>
          <w:tcPr>
            <w:tcW w:w="1418" w:type="dxa"/>
            <w:tcBorders>
              <w:top w:val="single" w:sz="4" w:space="0" w:color="auto"/>
              <w:left w:val="single" w:sz="4" w:space="0" w:color="auto"/>
              <w:bottom w:val="single" w:sz="4" w:space="0" w:color="auto"/>
              <w:right w:val="single" w:sz="4" w:space="0" w:color="auto"/>
            </w:tcBorders>
          </w:tcPr>
          <w:p w14:paraId="1977133E" w14:textId="0DDB7897" w:rsidR="00CE7765" w:rsidRDefault="009F42AE" w:rsidP="00CE7765">
            <w:pPr>
              <w:jc w:val="center"/>
            </w:pPr>
            <w:r>
              <w:t>2.6</w:t>
            </w:r>
            <w:r w:rsidR="00EE6433">
              <w:t>%</w:t>
            </w:r>
          </w:p>
        </w:tc>
      </w:tr>
      <w:tr w:rsidR="00D21AD4" w14:paraId="3514FD12"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tcPr>
          <w:p w14:paraId="76A912AA" w14:textId="41D90378" w:rsidR="00D21AD4" w:rsidRDefault="00D21AD4" w:rsidP="00CE776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options</w:t>
            </w:r>
          </w:p>
        </w:tc>
        <w:tc>
          <w:tcPr>
            <w:tcW w:w="1701" w:type="dxa"/>
            <w:tcBorders>
              <w:top w:val="single" w:sz="4" w:space="0" w:color="auto"/>
              <w:left w:val="single" w:sz="4" w:space="0" w:color="auto"/>
              <w:bottom w:val="single" w:sz="4" w:space="0" w:color="auto"/>
              <w:right w:val="single" w:sz="4" w:space="0" w:color="auto"/>
            </w:tcBorders>
            <w:vAlign w:val="center"/>
          </w:tcPr>
          <w:p w14:paraId="4F3DEF48" w14:textId="41F0D09C" w:rsidR="00D21AD4" w:rsidRDefault="00693A6C" w:rsidP="00CE7765">
            <w:pPr>
              <w:widowControl w:val="0"/>
              <w:jc w:val="center"/>
              <w:rPr>
                <w:rFonts w:ascii="Calibri" w:hAnsi="Calibri" w:cs="Calibri"/>
                <w:color w:val="000000"/>
                <w:szCs w:val="22"/>
              </w:rPr>
            </w:pPr>
            <w:r>
              <w:rPr>
                <w:rFonts w:ascii="Calibri" w:hAnsi="Calibri" w:cs="Calibri"/>
                <w:color w:val="000000"/>
                <w:szCs w:val="22"/>
              </w:rPr>
              <w:t>9</w:t>
            </w:r>
          </w:p>
        </w:tc>
        <w:tc>
          <w:tcPr>
            <w:tcW w:w="1418" w:type="dxa"/>
            <w:tcBorders>
              <w:top w:val="single" w:sz="4" w:space="0" w:color="auto"/>
              <w:left w:val="single" w:sz="4" w:space="0" w:color="auto"/>
              <w:bottom w:val="single" w:sz="4" w:space="0" w:color="auto"/>
              <w:right w:val="single" w:sz="4" w:space="0" w:color="auto"/>
            </w:tcBorders>
          </w:tcPr>
          <w:p w14:paraId="161169D0" w14:textId="3E952A07" w:rsidR="00D21AD4" w:rsidRDefault="00EE6433" w:rsidP="00CE7765">
            <w:pPr>
              <w:jc w:val="center"/>
            </w:pPr>
            <w:r>
              <w:t>2.3%</w:t>
            </w:r>
          </w:p>
        </w:tc>
      </w:tr>
      <w:tr w:rsidR="00CE7765" w14:paraId="309A5068"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tcPr>
          <w:p w14:paraId="4BBE719A" w14:textId="77777777" w:rsidR="00CE7765" w:rsidRDefault="00CE7765" w:rsidP="00CE776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provider</w:t>
            </w:r>
          </w:p>
        </w:tc>
        <w:tc>
          <w:tcPr>
            <w:tcW w:w="1701" w:type="dxa"/>
            <w:tcBorders>
              <w:top w:val="single" w:sz="4" w:space="0" w:color="auto"/>
              <w:left w:val="single" w:sz="4" w:space="0" w:color="auto"/>
              <w:bottom w:val="single" w:sz="4" w:space="0" w:color="auto"/>
              <w:right w:val="single" w:sz="4" w:space="0" w:color="auto"/>
            </w:tcBorders>
            <w:vAlign w:val="center"/>
          </w:tcPr>
          <w:p w14:paraId="6418F371" w14:textId="24138D44" w:rsidR="00CE7765" w:rsidRDefault="00693A6C" w:rsidP="00CE7765">
            <w:pPr>
              <w:widowControl w:val="0"/>
              <w:jc w:val="center"/>
              <w:rPr>
                <w:rFonts w:ascii="Calibri" w:hAnsi="Calibri" w:cs="Calibri"/>
                <w:color w:val="000000"/>
                <w:szCs w:val="22"/>
              </w:rPr>
            </w:pPr>
            <w:r>
              <w:rPr>
                <w:rFonts w:ascii="Calibri" w:hAnsi="Calibri" w:cs="Calibri"/>
                <w:color w:val="000000"/>
                <w:szCs w:val="22"/>
              </w:rPr>
              <w:t>11</w:t>
            </w:r>
          </w:p>
        </w:tc>
        <w:tc>
          <w:tcPr>
            <w:tcW w:w="1418" w:type="dxa"/>
            <w:tcBorders>
              <w:top w:val="single" w:sz="4" w:space="0" w:color="auto"/>
              <w:left w:val="single" w:sz="4" w:space="0" w:color="auto"/>
              <w:bottom w:val="single" w:sz="4" w:space="0" w:color="auto"/>
              <w:right w:val="single" w:sz="4" w:space="0" w:color="auto"/>
            </w:tcBorders>
          </w:tcPr>
          <w:p w14:paraId="2C400F5E" w14:textId="6FB5C3ED" w:rsidR="00CE7765" w:rsidRDefault="00EE6433" w:rsidP="00CE7765">
            <w:pPr>
              <w:jc w:val="center"/>
            </w:pPr>
            <w:r>
              <w:t>2.8%</w:t>
            </w:r>
          </w:p>
        </w:tc>
      </w:tr>
      <w:tr w:rsidR="00CE7765" w14:paraId="168246BE"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hideMark/>
          </w:tcPr>
          <w:p w14:paraId="2B0B75A8" w14:textId="77777777" w:rsidR="00CE7765" w:rsidRDefault="00CE7765" w:rsidP="00CE776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lastRenderedPageBreak/>
              <w:t>Inadequate information provided regarding results</w:t>
            </w:r>
          </w:p>
        </w:tc>
        <w:tc>
          <w:tcPr>
            <w:tcW w:w="1701" w:type="dxa"/>
            <w:tcBorders>
              <w:top w:val="single" w:sz="4" w:space="0" w:color="auto"/>
              <w:left w:val="single" w:sz="4" w:space="0" w:color="auto"/>
              <w:bottom w:val="single" w:sz="4" w:space="0" w:color="auto"/>
              <w:right w:val="single" w:sz="4" w:space="0" w:color="auto"/>
            </w:tcBorders>
            <w:vAlign w:val="center"/>
          </w:tcPr>
          <w:p w14:paraId="71AD79A2" w14:textId="1D895001" w:rsidR="00CE7765" w:rsidRDefault="00693A6C" w:rsidP="00CE7765">
            <w:pPr>
              <w:widowControl w:val="0"/>
              <w:jc w:val="center"/>
              <w:rPr>
                <w:rFonts w:ascii="Calibri" w:hAnsi="Calibri" w:cs="Calibri"/>
                <w:color w:val="000000"/>
                <w:szCs w:val="22"/>
              </w:rPr>
            </w:pPr>
            <w:r>
              <w:rPr>
                <w:rFonts w:ascii="Calibri" w:hAnsi="Calibri" w:cs="Calibri"/>
                <w:color w:val="000000"/>
                <w:szCs w:val="22"/>
              </w:rPr>
              <w:t>12</w:t>
            </w:r>
          </w:p>
        </w:tc>
        <w:tc>
          <w:tcPr>
            <w:tcW w:w="1418" w:type="dxa"/>
            <w:tcBorders>
              <w:top w:val="single" w:sz="4" w:space="0" w:color="auto"/>
              <w:left w:val="single" w:sz="4" w:space="0" w:color="auto"/>
              <w:bottom w:val="single" w:sz="4" w:space="0" w:color="auto"/>
              <w:right w:val="single" w:sz="4" w:space="0" w:color="auto"/>
            </w:tcBorders>
          </w:tcPr>
          <w:p w14:paraId="27202042" w14:textId="5B834429" w:rsidR="00CE7765" w:rsidRDefault="009F42AE" w:rsidP="00CE7765">
            <w:pPr>
              <w:jc w:val="center"/>
            </w:pPr>
            <w:r>
              <w:t>3.1</w:t>
            </w:r>
            <w:r w:rsidR="00EE6433">
              <w:t>%</w:t>
            </w:r>
          </w:p>
        </w:tc>
      </w:tr>
      <w:tr w:rsidR="00CE7765" w14:paraId="359EDFAD"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hideMark/>
          </w:tcPr>
          <w:p w14:paraId="1EE0946F" w14:textId="77777777" w:rsidR="00CE7765" w:rsidRDefault="00CE7765" w:rsidP="00CE776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treatment</w:t>
            </w:r>
          </w:p>
        </w:tc>
        <w:tc>
          <w:tcPr>
            <w:tcW w:w="1701" w:type="dxa"/>
            <w:tcBorders>
              <w:top w:val="single" w:sz="4" w:space="0" w:color="auto"/>
              <w:left w:val="single" w:sz="4" w:space="0" w:color="auto"/>
              <w:bottom w:val="single" w:sz="4" w:space="0" w:color="auto"/>
              <w:right w:val="single" w:sz="4" w:space="0" w:color="auto"/>
            </w:tcBorders>
            <w:vAlign w:val="center"/>
          </w:tcPr>
          <w:p w14:paraId="28AB1CA6" w14:textId="3FC1EE47" w:rsidR="00CE7765" w:rsidRDefault="00693A6C" w:rsidP="00CE7765">
            <w:pPr>
              <w:widowControl w:val="0"/>
              <w:jc w:val="center"/>
              <w:rPr>
                <w:rFonts w:ascii="Calibri" w:hAnsi="Calibri" w:cs="Calibri"/>
                <w:color w:val="000000"/>
                <w:szCs w:val="22"/>
              </w:rPr>
            </w:pPr>
            <w:r>
              <w:rPr>
                <w:rFonts w:ascii="Calibri" w:hAnsi="Calibri" w:cs="Calibri"/>
                <w:color w:val="000000"/>
                <w:szCs w:val="22"/>
              </w:rPr>
              <w:t>33</w:t>
            </w:r>
          </w:p>
        </w:tc>
        <w:tc>
          <w:tcPr>
            <w:tcW w:w="1418" w:type="dxa"/>
            <w:tcBorders>
              <w:top w:val="single" w:sz="4" w:space="0" w:color="auto"/>
              <w:left w:val="single" w:sz="4" w:space="0" w:color="auto"/>
              <w:bottom w:val="single" w:sz="4" w:space="0" w:color="auto"/>
              <w:right w:val="single" w:sz="4" w:space="0" w:color="auto"/>
            </w:tcBorders>
          </w:tcPr>
          <w:p w14:paraId="4776DA3B" w14:textId="2AE1B2CC" w:rsidR="00CE7765" w:rsidRDefault="00EE6433" w:rsidP="00CE7765">
            <w:pPr>
              <w:jc w:val="center"/>
            </w:pPr>
            <w:r>
              <w:t>8.4%</w:t>
            </w:r>
          </w:p>
        </w:tc>
      </w:tr>
      <w:tr w:rsidR="00CE7765" w14:paraId="3214A323"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tcPr>
          <w:p w14:paraId="2AF7CC50" w14:textId="77777777" w:rsidR="00CE7765" w:rsidRDefault="00CE7765" w:rsidP="00CE776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Incorrect/misleading information provided</w:t>
            </w:r>
          </w:p>
        </w:tc>
        <w:tc>
          <w:tcPr>
            <w:tcW w:w="1701" w:type="dxa"/>
            <w:tcBorders>
              <w:top w:val="single" w:sz="4" w:space="0" w:color="auto"/>
              <w:left w:val="single" w:sz="4" w:space="0" w:color="auto"/>
              <w:bottom w:val="single" w:sz="4" w:space="0" w:color="auto"/>
              <w:right w:val="single" w:sz="4" w:space="0" w:color="auto"/>
            </w:tcBorders>
            <w:vAlign w:val="center"/>
          </w:tcPr>
          <w:p w14:paraId="7F65D214" w14:textId="61F1B2E9" w:rsidR="00CE7765" w:rsidRDefault="00D43881" w:rsidP="00CE7765">
            <w:pPr>
              <w:widowControl w:val="0"/>
              <w:jc w:val="center"/>
              <w:rPr>
                <w:rFonts w:ascii="Calibri" w:hAnsi="Calibri" w:cs="Calibri"/>
                <w:color w:val="000000"/>
                <w:szCs w:val="22"/>
              </w:rPr>
            </w:pPr>
            <w:r>
              <w:rPr>
                <w:rFonts w:ascii="Calibri" w:hAnsi="Calibri" w:cs="Calibri"/>
                <w:color w:val="000000"/>
                <w:szCs w:val="22"/>
              </w:rPr>
              <w:t>6</w:t>
            </w:r>
          </w:p>
        </w:tc>
        <w:tc>
          <w:tcPr>
            <w:tcW w:w="1418" w:type="dxa"/>
            <w:tcBorders>
              <w:top w:val="single" w:sz="4" w:space="0" w:color="auto"/>
              <w:left w:val="single" w:sz="4" w:space="0" w:color="auto"/>
              <w:bottom w:val="single" w:sz="4" w:space="0" w:color="auto"/>
              <w:right w:val="single" w:sz="4" w:space="0" w:color="auto"/>
            </w:tcBorders>
          </w:tcPr>
          <w:p w14:paraId="0039523D" w14:textId="1B01E831" w:rsidR="00CE7765" w:rsidRDefault="00EE6433" w:rsidP="00CE7765">
            <w:pPr>
              <w:jc w:val="center"/>
            </w:pPr>
            <w:r>
              <w:t>1.5%</w:t>
            </w:r>
          </w:p>
        </w:tc>
      </w:tr>
      <w:tr w:rsidR="00CE7765" w14:paraId="57751828"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tcPr>
          <w:p w14:paraId="5CC3394D" w14:textId="77777777" w:rsidR="00CE7765" w:rsidRDefault="00CE7765" w:rsidP="00CE776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Issues regarding consent when consumer not competent</w:t>
            </w:r>
          </w:p>
        </w:tc>
        <w:tc>
          <w:tcPr>
            <w:tcW w:w="1701" w:type="dxa"/>
            <w:tcBorders>
              <w:top w:val="single" w:sz="4" w:space="0" w:color="auto"/>
              <w:left w:val="single" w:sz="4" w:space="0" w:color="auto"/>
              <w:bottom w:val="single" w:sz="4" w:space="0" w:color="auto"/>
              <w:right w:val="single" w:sz="4" w:space="0" w:color="auto"/>
            </w:tcBorders>
            <w:vAlign w:val="center"/>
          </w:tcPr>
          <w:p w14:paraId="487A210E" w14:textId="2FBA33E7" w:rsidR="00CE7765" w:rsidRDefault="00D43881" w:rsidP="00CE7765">
            <w:pPr>
              <w:widowControl w:val="0"/>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14:paraId="1052E703" w14:textId="16870634" w:rsidR="00CE7765" w:rsidRDefault="00EE6433" w:rsidP="00CE7765">
            <w:pPr>
              <w:widowControl w:val="0"/>
              <w:jc w:val="center"/>
              <w:rPr>
                <w:rFonts w:ascii="Calibri" w:hAnsi="Calibri" w:cs="Calibri"/>
                <w:color w:val="000000"/>
                <w:szCs w:val="22"/>
              </w:rPr>
            </w:pPr>
            <w:r>
              <w:rPr>
                <w:rFonts w:ascii="Calibri" w:hAnsi="Calibri" w:cs="Calibri"/>
                <w:color w:val="000000"/>
                <w:szCs w:val="22"/>
              </w:rPr>
              <w:t>1.3%</w:t>
            </w:r>
          </w:p>
        </w:tc>
      </w:tr>
      <w:tr w:rsidR="00CE7765" w14:paraId="7AE3058C"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hideMark/>
          </w:tcPr>
          <w:p w14:paraId="422CADF8" w14:textId="77777777" w:rsidR="00CE7765" w:rsidRDefault="00CE7765" w:rsidP="00CE776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Issues with involuntary admission/treatment</w:t>
            </w:r>
          </w:p>
        </w:tc>
        <w:tc>
          <w:tcPr>
            <w:tcW w:w="1701" w:type="dxa"/>
            <w:tcBorders>
              <w:top w:val="single" w:sz="4" w:space="0" w:color="auto"/>
              <w:left w:val="single" w:sz="4" w:space="0" w:color="auto"/>
              <w:bottom w:val="single" w:sz="4" w:space="0" w:color="auto"/>
              <w:right w:val="single" w:sz="4" w:space="0" w:color="auto"/>
            </w:tcBorders>
            <w:vAlign w:val="center"/>
          </w:tcPr>
          <w:p w14:paraId="471ACB1A" w14:textId="48E39FE7" w:rsidR="00CE7765" w:rsidRDefault="00693A6C" w:rsidP="00CE7765">
            <w:pPr>
              <w:widowControl w:val="0"/>
              <w:jc w:val="center"/>
              <w:rPr>
                <w:rFonts w:ascii="Calibri" w:hAnsi="Calibri" w:cs="Calibri"/>
                <w:color w:val="000000"/>
                <w:szCs w:val="22"/>
              </w:rPr>
            </w:pPr>
            <w:r>
              <w:rPr>
                <w:rFonts w:ascii="Calibri" w:hAnsi="Calibri" w:cs="Calibri"/>
                <w:color w:val="000000"/>
                <w:szCs w:val="22"/>
              </w:rPr>
              <w:t>22</w:t>
            </w:r>
          </w:p>
        </w:tc>
        <w:tc>
          <w:tcPr>
            <w:tcW w:w="1418" w:type="dxa"/>
            <w:tcBorders>
              <w:top w:val="single" w:sz="4" w:space="0" w:color="auto"/>
              <w:left w:val="single" w:sz="4" w:space="0" w:color="auto"/>
              <w:bottom w:val="single" w:sz="4" w:space="0" w:color="auto"/>
              <w:right w:val="single" w:sz="4" w:space="0" w:color="auto"/>
            </w:tcBorders>
            <w:vAlign w:val="center"/>
          </w:tcPr>
          <w:p w14:paraId="69EE6D46" w14:textId="1458FC76" w:rsidR="00CE7765" w:rsidRDefault="00EE6433" w:rsidP="00CE7765">
            <w:pPr>
              <w:widowControl w:val="0"/>
              <w:jc w:val="center"/>
              <w:rPr>
                <w:rFonts w:ascii="Calibri" w:hAnsi="Calibri" w:cs="Calibri"/>
                <w:color w:val="000000"/>
                <w:szCs w:val="22"/>
              </w:rPr>
            </w:pPr>
            <w:r>
              <w:rPr>
                <w:rFonts w:ascii="Calibri" w:hAnsi="Calibri" w:cs="Calibri"/>
                <w:color w:val="000000"/>
                <w:szCs w:val="22"/>
              </w:rPr>
              <w:t>5.6%</w:t>
            </w:r>
          </w:p>
        </w:tc>
      </w:tr>
      <w:tr w:rsidR="00CE7765" w14:paraId="1C64DA7B"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58B402" w14:textId="77777777" w:rsidR="00CE7765" w:rsidRDefault="00CE7765" w:rsidP="00CE7765">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Documentation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FE9D26" w14:textId="71A7A343" w:rsidR="00CE7765" w:rsidRDefault="00F13FBA" w:rsidP="00CE7765">
            <w:pPr>
              <w:widowControl w:val="0"/>
              <w:jc w:val="center"/>
              <w:rPr>
                <w:rFonts w:ascii="Calibri" w:hAnsi="Calibri" w:cs="Calibri"/>
                <w:b/>
                <w:i/>
                <w:color w:val="000000"/>
                <w:szCs w:val="22"/>
              </w:rPr>
            </w:pPr>
            <w:r>
              <w:rPr>
                <w:rFonts w:ascii="Calibri" w:hAnsi="Calibri" w:cs="Calibri"/>
                <w:b/>
                <w:i/>
                <w:color w:val="000000"/>
                <w:szCs w:val="22"/>
              </w:rPr>
              <w:t>19</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DF8E59" w14:textId="0CAD180B" w:rsidR="00CE7765" w:rsidRDefault="00EE6433" w:rsidP="00CE7765">
            <w:pPr>
              <w:widowControl w:val="0"/>
              <w:jc w:val="center"/>
              <w:rPr>
                <w:rFonts w:ascii="Calibri" w:hAnsi="Calibri" w:cs="Calibri"/>
                <w:b/>
                <w:i/>
                <w:color w:val="000000"/>
                <w:szCs w:val="22"/>
              </w:rPr>
            </w:pPr>
            <w:r>
              <w:rPr>
                <w:rFonts w:ascii="Calibri" w:hAnsi="Calibri" w:cs="Calibri"/>
                <w:b/>
                <w:i/>
                <w:color w:val="000000"/>
                <w:szCs w:val="22"/>
              </w:rPr>
              <w:t>4.8%</w:t>
            </w:r>
          </w:p>
        </w:tc>
      </w:tr>
      <w:tr w:rsidR="00CE7765" w14:paraId="7103FA85"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hideMark/>
          </w:tcPr>
          <w:p w14:paraId="379D1DFE" w14:textId="77777777" w:rsidR="00CE7765" w:rsidRDefault="00CE7765" w:rsidP="00CE776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 xml:space="preserve">Inadequate/inaccurate documentation </w:t>
            </w:r>
          </w:p>
        </w:tc>
        <w:tc>
          <w:tcPr>
            <w:tcW w:w="1701" w:type="dxa"/>
            <w:tcBorders>
              <w:top w:val="single" w:sz="4" w:space="0" w:color="auto"/>
              <w:left w:val="single" w:sz="4" w:space="0" w:color="auto"/>
              <w:bottom w:val="single" w:sz="4" w:space="0" w:color="auto"/>
              <w:right w:val="single" w:sz="4" w:space="0" w:color="auto"/>
            </w:tcBorders>
            <w:vAlign w:val="center"/>
          </w:tcPr>
          <w:p w14:paraId="21947C1B" w14:textId="0A49B1BB" w:rsidR="00CE7765" w:rsidRDefault="00693A6C" w:rsidP="00CE7765">
            <w:pPr>
              <w:widowControl w:val="0"/>
              <w:jc w:val="center"/>
              <w:rPr>
                <w:rFonts w:ascii="Calibri" w:hAnsi="Calibri" w:cs="Calibri"/>
                <w:color w:val="000000"/>
                <w:szCs w:val="22"/>
              </w:rPr>
            </w:pPr>
            <w:r>
              <w:rPr>
                <w:rFonts w:ascii="Calibri" w:hAnsi="Calibri" w:cs="Calibri"/>
                <w:color w:val="000000"/>
                <w:szCs w:val="22"/>
              </w:rPr>
              <w:t>19</w:t>
            </w:r>
          </w:p>
        </w:tc>
        <w:tc>
          <w:tcPr>
            <w:tcW w:w="1418" w:type="dxa"/>
            <w:tcBorders>
              <w:top w:val="single" w:sz="4" w:space="0" w:color="auto"/>
              <w:left w:val="single" w:sz="4" w:space="0" w:color="auto"/>
              <w:bottom w:val="single" w:sz="4" w:space="0" w:color="auto"/>
              <w:right w:val="single" w:sz="4" w:space="0" w:color="auto"/>
            </w:tcBorders>
            <w:vAlign w:val="center"/>
          </w:tcPr>
          <w:p w14:paraId="5869E1B0" w14:textId="704982A1" w:rsidR="00CE7765" w:rsidRDefault="00EE6433" w:rsidP="00CE7765">
            <w:pPr>
              <w:widowControl w:val="0"/>
              <w:jc w:val="center"/>
              <w:rPr>
                <w:rFonts w:ascii="Calibri" w:hAnsi="Calibri" w:cs="Calibri"/>
                <w:color w:val="000000"/>
                <w:szCs w:val="22"/>
              </w:rPr>
            </w:pPr>
            <w:r>
              <w:rPr>
                <w:rFonts w:ascii="Calibri" w:hAnsi="Calibri" w:cs="Calibri"/>
                <w:color w:val="000000"/>
                <w:szCs w:val="22"/>
              </w:rPr>
              <w:t>4.8%</w:t>
            </w:r>
          </w:p>
        </w:tc>
      </w:tr>
      <w:tr w:rsidR="00CE7765" w14:paraId="3E85BDE7"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7CA08F" w14:textId="77777777" w:rsidR="00CE7765" w:rsidRDefault="00CE7765" w:rsidP="00CE7765">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Facility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287068" w14:textId="2DFB8A3A" w:rsidR="00CE7765" w:rsidRDefault="00C900D0" w:rsidP="00CE7765">
            <w:pPr>
              <w:widowControl w:val="0"/>
              <w:jc w:val="center"/>
              <w:rPr>
                <w:rFonts w:ascii="Calibri" w:hAnsi="Calibri" w:cs="Calibri"/>
                <w:b/>
                <w:i/>
                <w:color w:val="000000"/>
                <w:szCs w:val="22"/>
              </w:rPr>
            </w:pPr>
            <w:r>
              <w:rPr>
                <w:rFonts w:ascii="Calibri" w:hAnsi="Calibri" w:cs="Calibri"/>
                <w:b/>
                <w:i/>
                <w:color w:val="000000"/>
                <w:szCs w:val="22"/>
              </w:rPr>
              <w:t>50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6D132F" w14:textId="0945972E" w:rsidR="00CE7765" w:rsidRDefault="009F42AE" w:rsidP="00CE7765">
            <w:pPr>
              <w:widowControl w:val="0"/>
              <w:jc w:val="center"/>
              <w:rPr>
                <w:rFonts w:ascii="Calibri" w:hAnsi="Calibri" w:cs="Calibri"/>
                <w:b/>
                <w:i/>
                <w:color w:val="000000"/>
                <w:szCs w:val="22"/>
              </w:rPr>
            </w:pPr>
            <w:r>
              <w:rPr>
                <w:rFonts w:ascii="Calibri" w:hAnsi="Calibri" w:cs="Calibri"/>
                <w:b/>
                <w:i/>
                <w:color w:val="000000"/>
                <w:szCs w:val="22"/>
              </w:rPr>
              <w:t>12.8</w:t>
            </w:r>
            <w:r w:rsidR="00EE6433">
              <w:rPr>
                <w:rFonts w:ascii="Calibri" w:hAnsi="Calibri" w:cs="Calibri"/>
                <w:b/>
                <w:i/>
                <w:color w:val="000000"/>
                <w:szCs w:val="22"/>
              </w:rPr>
              <w:t>%</w:t>
            </w:r>
          </w:p>
        </w:tc>
      </w:tr>
      <w:tr w:rsidR="002B345D" w14:paraId="4DCD68CD"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tcPr>
          <w:p w14:paraId="4BB9246D" w14:textId="577C81AD" w:rsidR="002B345D" w:rsidRDefault="002B345D" w:rsidP="00CE776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Cleanliness/hygiene issue</w:t>
            </w:r>
          </w:p>
        </w:tc>
        <w:tc>
          <w:tcPr>
            <w:tcW w:w="1701" w:type="dxa"/>
            <w:tcBorders>
              <w:top w:val="single" w:sz="4" w:space="0" w:color="auto"/>
              <w:left w:val="single" w:sz="4" w:space="0" w:color="auto"/>
              <w:bottom w:val="single" w:sz="4" w:space="0" w:color="auto"/>
              <w:right w:val="single" w:sz="4" w:space="0" w:color="auto"/>
            </w:tcBorders>
            <w:vAlign w:val="center"/>
          </w:tcPr>
          <w:p w14:paraId="18B74C5B" w14:textId="1D8B1371" w:rsidR="002B345D" w:rsidRDefault="00693A6C" w:rsidP="00CE7765">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tcPr>
          <w:p w14:paraId="4AF901F8" w14:textId="59553F0E" w:rsidR="002B345D" w:rsidRDefault="00EE6433" w:rsidP="00CE7765">
            <w:pPr>
              <w:jc w:val="center"/>
            </w:pPr>
            <w:r>
              <w:t>0.8%</w:t>
            </w:r>
          </w:p>
        </w:tc>
      </w:tr>
      <w:tr w:rsidR="002B345D" w14:paraId="22D3038B"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tcPr>
          <w:p w14:paraId="5B95032F" w14:textId="1EAD5645" w:rsidR="002B345D" w:rsidRDefault="002B345D" w:rsidP="00CE776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follow policies/procedures</w:t>
            </w:r>
          </w:p>
        </w:tc>
        <w:tc>
          <w:tcPr>
            <w:tcW w:w="1701" w:type="dxa"/>
            <w:tcBorders>
              <w:top w:val="single" w:sz="4" w:space="0" w:color="auto"/>
              <w:left w:val="single" w:sz="4" w:space="0" w:color="auto"/>
              <w:bottom w:val="single" w:sz="4" w:space="0" w:color="auto"/>
              <w:right w:val="single" w:sz="4" w:space="0" w:color="auto"/>
            </w:tcBorders>
            <w:vAlign w:val="center"/>
          </w:tcPr>
          <w:p w14:paraId="7EA8043A" w14:textId="59D8BC6E" w:rsidR="002B345D" w:rsidRDefault="00D43881" w:rsidP="00CE7765">
            <w:pPr>
              <w:widowControl w:val="0"/>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tcPr>
          <w:p w14:paraId="0EB72354" w14:textId="61270F9B" w:rsidR="002B345D" w:rsidRDefault="00EE6433" w:rsidP="00CE7765">
            <w:pPr>
              <w:jc w:val="center"/>
            </w:pPr>
            <w:r>
              <w:t>1.3%</w:t>
            </w:r>
          </w:p>
        </w:tc>
      </w:tr>
      <w:tr w:rsidR="00CE7765" w14:paraId="0B5D9CBD"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hideMark/>
          </w:tcPr>
          <w:p w14:paraId="2BD319DD" w14:textId="77777777" w:rsidR="00CE7765" w:rsidRDefault="00CE7765" w:rsidP="00CE776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General safety issue for consumer in facility</w:t>
            </w:r>
          </w:p>
        </w:tc>
        <w:tc>
          <w:tcPr>
            <w:tcW w:w="1701" w:type="dxa"/>
            <w:tcBorders>
              <w:top w:val="single" w:sz="4" w:space="0" w:color="auto"/>
              <w:left w:val="single" w:sz="4" w:space="0" w:color="auto"/>
              <w:bottom w:val="single" w:sz="4" w:space="0" w:color="auto"/>
              <w:right w:val="single" w:sz="4" w:space="0" w:color="auto"/>
            </w:tcBorders>
            <w:vAlign w:val="center"/>
          </w:tcPr>
          <w:p w14:paraId="5C94100C" w14:textId="0E2A1BE8" w:rsidR="00CE7765" w:rsidRDefault="00693A6C" w:rsidP="00CE7765">
            <w:pPr>
              <w:widowControl w:val="0"/>
              <w:jc w:val="center"/>
              <w:rPr>
                <w:rFonts w:ascii="Calibri" w:hAnsi="Calibri" w:cs="Calibri"/>
                <w:color w:val="000000"/>
                <w:szCs w:val="22"/>
              </w:rPr>
            </w:pPr>
            <w:r>
              <w:rPr>
                <w:rFonts w:ascii="Calibri" w:hAnsi="Calibri" w:cs="Calibri"/>
                <w:color w:val="000000"/>
                <w:szCs w:val="22"/>
              </w:rPr>
              <w:t>12</w:t>
            </w:r>
          </w:p>
        </w:tc>
        <w:tc>
          <w:tcPr>
            <w:tcW w:w="1418" w:type="dxa"/>
            <w:tcBorders>
              <w:top w:val="single" w:sz="4" w:space="0" w:color="auto"/>
              <w:left w:val="single" w:sz="4" w:space="0" w:color="auto"/>
              <w:bottom w:val="single" w:sz="4" w:space="0" w:color="auto"/>
              <w:right w:val="single" w:sz="4" w:space="0" w:color="auto"/>
            </w:tcBorders>
          </w:tcPr>
          <w:p w14:paraId="37387141" w14:textId="43CA13F4" w:rsidR="00CE7765" w:rsidRDefault="009F42AE" w:rsidP="00CE7765">
            <w:pPr>
              <w:jc w:val="center"/>
            </w:pPr>
            <w:r>
              <w:t>3.1</w:t>
            </w:r>
            <w:r w:rsidR="00EE6433">
              <w:t>%</w:t>
            </w:r>
          </w:p>
        </w:tc>
      </w:tr>
      <w:tr w:rsidR="00CE7765" w14:paraId="12BB9679"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tcPr>
          <w:p w14:paraId="2152B523" w14:textId="77777777" w:rsidR="00CE7765" w:rsidRDefault="00CE7765" w:rsidP="00CE776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policies/procedures</w:t>
            </w:r>
          </w:p>
        </w:tc>
        <w:tc>
          <w:tcPr>
            <w:tcW w:w="1701" w:type="dxa"/>
            <w:tcBorders>
              <w:top w:val="single" w:sz="4" w:space="0" w:color="auto"/>
              <w:left w:val="single" w:sz="4" w:space="0" w:color="auto"/>
              <w:bottom w:val="single" w:sz="4" w:space="0" w:color="auto"/>
              <w:right w:val="single" w:sz="4" w:space="0" w:color="auto"/>
            </w:tcBorders>
            <w:vAlign w:val="center"/>
          </w:tcPr>
          <w:p w14:paraId="7CFBB536" w14:textId="6F216C68" w:rsidR="00CE7765" w:rsidRDefault="00693A6C" w:rsidP="00CE7765">
            <w:pPr>
              <w:widowControl w:val="0"/>
              <w:jc w:val="center"/>
              <w:rPr>
                <w:rFonts w:ascii="Calibri" w:hAnsi="Calibri" w:cs="Calibri"/>
                <w:color w:val="000000"/>
                <w:szCs w:val="22"/>
              </w:rPr>
            </w:pPr>
            <w:r>
              <w:rPr>
                <w:rFonts w:ascii="Calibri" w:hAnsi="Calibri" w:cs="Calibri"/>
                <w:color w:val="000000"/>
                <w:szCs w:val="22"/>
              </w:rPr>
              <w:t>22</w:t>
            </w:r>
          </w:p>
        </w:tc>
        <w:tc>
          <w:tcPr>
            <w:tcW w:w="1418" w:type="dxa"/>
            <w:tcBorders>
              <w:top w:val="single" w:sz="4" w:space="0" w:color="auto"/>
              <w:left w:val="single" w:sz="4" w:space="0" w:color="auto"/>
              <w:bottom w:val="single" w:sz="4" w:space="0" w:color="auto"/>
              <w:right w:val="single" w:sz="4" w:space="0" w:color="auto"/>
            </w:tcBorders>
          </w:tcPr>
          <w:p w14:paraId="5F63CCFB" w14:textId="43D8FB11" w:rsidR="00CE7765" w:rsidRDefault="00EE6433" w:rsidP="00CE7765">
            <w:pPr>
              <w:jc w:val="center"/>
            </w:pPr>
            <w:r>
              <w:t>5.6%</w:t>
            </w:r>
          </w:p>
        </w:tc>
      </w:tr>
      <w:tr w:rsidR="00D21AD4" w14:paraId="28081AEE"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tcPr>
          <w:p w14:paraId="7BAC8505" w14:textId="1156E45A" w:rsidR="00D21AD4" w:rsidRDefault="00D21AD4" w:rsidP="00CE776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 with quality of aids/equipment</w:t>
            </w:r>
          </w:p>
        </w:tc>
        <w:tc>
          <w:tcPr>
            <w:tcW w:w="1701" w:type="dxa"/>
            <w:tcBorders>
              <w:top w:val="single" w:sz="4" w:space="0" w:color="auto"/>
              <w:left w:val="single" w:sz="4" w:space="0" w:color="auto"/>
              <w:bottom w:val="single" w:sz="4" w:space="0" w:color="auto"/>
              <w:right w:val="single" w:sz="4" w:space="0" w:color="auto"/>
            </w:tcBorders>
            <w:vAlign w:val="center"/>
          </w:tcPr>
          <w:p w14:paraId="2477F88A" w14:textId="4736A476" w:rsidR="00D21AD4" w:rsidRDefault="00693A6C" w:rsidP="00CE7765">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tcPr>
          <w:p w14:paraId="298680CE" w14:textId="48D2454E" w:rsidR="00D21AD4" w:rsidRDefault="00EE6433" w:rsidP="00CE7765">
            <w:pPr>
              <w:jc w:val="center"/>
            </w:pPr>
            <w:r>
              <w:t>0.8%</w:t>
            </w:r>
          </w:p>
        </w:tc>
      </w:tr>
      <w:tr w:rsidR="00D21AD4" w14:paraId="5220C09A"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tcPr>
          <w:p w14:paraId="69EE125D" w14:textId="4BC687E1" w:rsidR="00D21AD4" w:rsidRDefault="00D21AD4" w:rsidP="00CE776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 with sharing facility with other consumers</w:t>
            </w:r>
          </w:p>
        </w:tc>
        <w:tc>
          <w:tcPr>
            <w:tcW w:w="1701" w:type="dxa"/>
            <w:tcBorders>
              <w:top w:val="single" w:sz="4" w:space="0" w:color="auto"/>
              <w:left w:val="single" w:sz="4" w:space="0" w:color="auto"/>
              <w:bottom w:val="single" w:sz="4" w:space="0" w:color="auto"/>
              <w:right w:val="single" w:sz="4" w:space="0" w:color="auto"/>
            </w:tcBorders>
            <w:vAlign w:val="center"/>
          </w:tcPr>
          <w:p w14:paraId="6D43727E" w14:textId="00D30308" w:rsidR="00D21AD4" w:rsidRDefault="00693A6C" w:rsidP="00CE7765">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tcPr>
          <w:p w14:paraId="4F8C3D84" w14:textId="3E98B39C" w:rsidR="00D21AD4" w:rsidRDefault="00EE6433" w:rsidP="00CE7765">
            <w:pPr>
              <w:jc w:val="center"/>
            </w:pPr>
            <w:r>
              <w:t>0.8%</w:t>
            </w:r>
          </w:p>
        </w:tc>
      </w:tr>
      <w:tr w:rsidR="00CE7765" w14:paraId="31D975C5"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hideMark/>
          </w:tcPr>
          <w:p w14:paraId="6B6F7F41" w14:textId="77777777" w:rsidR="00CE7765" w:rsidRDefault="00CE7765" w:rsidP="00CE776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Staffing/rostering/other HR issue</w:t>
            </w:r>
          </w:p>
        </w:tc>
        <w:tc>
          <w:tcPr>
            <w:tcW w:w="1701" w:type="dxa"/>
            <w:tcBorders>
              <w:top w:val="single" w:sz="4" w:space="0" w:color="auto"/>
              <w:left w:val="single" w:sz="4" w:space="0" w:color="auto"/>
              <w:bottom w:val="single" w:sz="4" w:space="0" w:color="auto"/>
              <w:right w:val="single" w:sz="4" w:space="0" w:color="auto"/>
            </w:tcBorders>
            <w:vAlign w:val="center"/>
          </w:tcPr>
          <w:p w14:paraId="2F71CAF0" w14:textId="49DE944F" w:rsidR="00CE7765" w:rsidRDefault="00C900D0" w:rsidP="00CE7765">
            <w:pPr>
              <w:widowControl w:val="0"/>
              <w:jc w:val="center"/>
              <w:rPr>
                <w:rFonts w:ascii="Calibri" w:hAnsi="Calibri" w:cs="Calibri"/>
                <w:color w:val="000000"/>
                <w:szCs w:val="22"/>
              </w:rPr>
            </w:pPr>
            <w:r>
              <w:rPr>
                <w:rFonts w:ascii="Calibri" w:hAnsi="Calibri" w:cs="Calibri"/>
                <w:color w:val="000000"/>
                <w:szCs w:val="22"/>
              </w:rPr>
              <w:t>10</w:t>
            </w:r>
          </w:p>
        </w:tc>
        <w:tc>
          <w:tcPr>
            <w:tcW w:w="1418" w:type="dxa"/>
            <w:tcBorders>
              <w:top w:val="single" w:sz="4" w:space="0" w:color="auto"/>
              <w:left w:val="single" w:sz="4" w:space="0" w:color="auto"/>
              <w:bottom w:val="single" w:sz="4" w:space="0" w:color="auto"/>
              <w:right w:val="single" w:sz="4" w:space="0" w:color="auto"/>
            </w:tcBorders>
          </w:tcPr>
          <w:p w14:paraId="3B832970" w14:textId="2D8D785B" w:rsidR="00CE7765" w:rsidRDefault="009F42AE" w:rsidP="00CE7765">
            <w:pPr>
              <w:jc w:val="center"/>
            </w:pPr>
            <w:r>
              <w:t>2.6</w:t>
            </w:r>
            <w:r w:rsidR="00EE6433">
              <w:t>%</w:t>
            </w:r>
          </w:p>
        </w:tc>
      </w:tr>
      <w:tr w:rsidR="00D21AD4" w14:paraId="5DBBCF2C"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tcPr>
          <w:p w14:paraId="3DC044A0" w14:textId="5D43BA9C" w:rsidR="00D21AD4" w:rsidRDefault="00D21AD4" w:rsidP="00CE776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Waiting times</w:t>
            </w:r>
          </w:p>
        </w:tc>
        <w:tc>
          <w:tcPr>
            <w:tcW w:w="1701" w:type="dxa"/>
            <w:tcBorders>
              <w:top w:val="single" w:sz="4" w:space="0" w:color="auto"/>
              <w:left w:val="single" w:sz="4" w:space="0" w:color="auto"/>
              <w:bottom w:val="single" w:sz="4" w:space="0" w:color="auto"/>
              <w:right w:val="single" w:sz="4" w:space="0" w:color="auto"/>
            </w:tcBorders>
            <w:vAlign w:val="center"/>
          </w:tcPr>
          <w:p w14:paraId="141592AF" w14:textId="348DD2B3" w:rsidR="00D21AD4" w:rsidRDefault="00693A6C" w:rsidP="00CE7765">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tcPr>
          <w:p w14:paraId="1AA8EDE9" w14:textId="37E33B4C" w:rsidR="00D21AD4" w:rsidRDefault="00EE6433" w:rsidP="00CE7765">
            <w:pPr>
              <w:jc w:val="center"/>
            </w:pPr>
            <w:r>
              <w:t>1.0%</w:t>
            </w:r>
          </w:p>
        </w:tc>
      </w:tr>
      <w:tr w:rsidR="00CE7765" w14:paraId="11EBE277"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tcPr>
          <w:p w14:paraId="7E87D65D" w14:textId="77777777" w:rsidR="00CE7765" w:rsidRDefault="00CE7765" w:rsidP="00CE7765">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vAlign w:val="center"/>
          </w:tcPr>
          <w:p w14:paraId="3C3798C9" w14:textId="1AB4B5A9" w:rsidR="00CE7765" w:rsidRDefault="00D21AD4" w:rsidP="00CE7765">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tcPr>
          <w:p w14:paraId="3BED192F" w14:textId="02BB2DCC" w:rsidR="00CE7765" w:rsidRDefault="00EE6433" w:rsidP="00CE7765">
            <w:pPr>
              <w:jc w:val="center"/>
            </w:pPr>
            <w:r>
              <w:t>0.8%</w:t>
            </w:r>
          </w:p>
        </w:tc>
      </w:tr>
      <w:tr w:rsidR="00CE7765" w14:paraId="3B212A3E"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5BA029" w14:textId="77777777" w:rsidR="00CE7765" w:rsidRDefault="00CE7765" w:rsidP="00CE7765">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Medication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1C0FD2" w14:textId="4F6E13B0" w:rsidR="00CE7765" w:rsidRDefault="00F13FBA" w:rsidP="00CE7765">
            <w:pPr>
              <w:widowControl w:val="0"/>
              <w:jc w:val="center"/>
              <w:rPr>
                <w:rFonts w:ascii="Calibri" w:hAnsi="Calibri" w:cs="Calibri"/>
                <w:b/>
                <w:i/>
                <w:color w:val="000000"/>
                <w:szCs w:val="22"/>
              </w:rPr>
            </w:pPr>
            <w:r>
              <w:rPr>
                <w:rFonts w:ascii="Calibri" w:hAnsi="Calibri" w:cs="Calibri"/>
                <w:b/>
                <w:i/>
                <w:color w:val="000000"/>
                <w:szCs w:val="22"/>
              </w:rPr>
              <w:t>51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97DDB4" w14:textId="5398812A" w:rsidR="00CE7765" w:rsidRDefault="00EE6433" w:rsidP="00CE7765">
            <w:pPr>
              <w:widowControl w:val="0"/>
              <w:jc w:val="center"/>
              <w:rPr>
                <w:rFonts w:ascii="Calibri" w:hAnsi="Calibri" w:cs="Calibri"/>
                <w:b/>
                <w:i/>
                <w:color w:val="000000"/>
                <w:szCs w:val="22"/>
              </w:rPr>
            </w:pPr>
            <w:r>
              <w:rPr>
                <w:rFonts w:ascii="Calibri" w:hAnsi="Calibri" w:cs="Calibri"/>
                <w:b/>
                <w:i/>
                <w:color w:val="000000"/>
                <w:szCs w:val="22"/>
              </w:rPr>
              <w:t>13.0%</w:t>
            </w:r>
          </w:p>
        </w:tc>
      </w:tr>
      <w:tr w:rsidR="00CE7765" w14:paraId="43AE2147"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hideMark/>
          </w:tcPr>
          <w:p w14:paraId="025E5D13" w14:textId="77777777" w:rsidR="00CE7765" w:rsidRDefault="00CE7765" w:rsidP="00CE7765">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Administration error</w:t>
            </w:r>
          </w:p>
        </w:tc>
        <w:tc>
          <w:tcPr>
            <w:tcW w:w="1701" w:type="dxa"/>
            <w:tcBorders>
              <w:top w:val="single" w:sz="4" w:space="0" w:color="auto"/>
              <w:left w:val="single" w:sz="4" w:space="0" w:color="auto"/>
              <w:bottom w:val="single" w:sz="4" w:space="0" w:color="auto"/>
              <w:right w:val="single" w:sz="4" w:space="0" w:color="auto"/>
            </w:tcBorders>
            <w:vAlign w:val="center"/>
          </w:tcPr>
          <w:p w14:paraId="79255F7E" w14:textId="2D15CEA8" w:rsidR="00CE7765" w:rsidRDefault="00693A6C" w:rsidP="00CE7765">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14:paraId="29CD4A75" w14:textId="10EDBAA0" w:rsidR="00CE7765" w:rsidRDefault="00EE6433" w:rsidP="00CE7765">
            <w:pPr>
              <w:jc w:val="center"/>
            </w:pPr>
            <w:r>
              <w:t>0.5%</w:t>
            </w:r>
          </w:p>
        </w:tc>
      </w:tr>
      <w:tr w:rsidR="00D21AD4" w14:paraId="32A61088"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tcPr>
          <w:p w14:paraId="14801EF0" w14:textId="6EC656EE" w:rsidR="00D21AD4" w:rsidRDefault="00D21AD4" w:rsidP="00CE7765">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administration</w:t>
            </w:r>
          </w:p>
        </w:tc>
        <w:tc>
          <w:tcPr>
            <w:tcW w:w="1701" w:type="dxa"/>
            <w:tcBorders>
              <w:top w:val="single" w:sz="4" w:space="0" w:color="auto"/>
              <w:left w:val="single" w:sz="4" w:space="0" w:color="auto"/>
              <w:bottom w:val="single" w:sz="4" w:space="0" w:color="auto"/>
              <w:right w:val="single" w:sz="4" w:space="0" w:color="auto"/>
            </w:tcBorders>
            <w:vAlign w:val="center"/>
          </w:tcPr>
          <w:p w14:paraId="122F9CE1" w14:textId="69AC96E1" w:rsidR="00D21AD4" w:rsidRDefault="00693A6C" w:rsidP="00CE7765">
            <w:pPr>
              <w:widowControl w:val="0"/>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14:paraId="47A22659" w14:textId="7B5537E9" w:rsidR="00D21AD4" w:rsidRDefault="00EE6433" w:rsidP="00CE7765">
            <w:pPr>
              <w:widowControl w:val="0"/>
              <w:jc w:val="center"/>
              <w:rPr>
                <w:rFonts w:ascii="Calibri" w:hAnsi="Calibri" w:cs="Calibri"/>
                <w:color w:val="000000"/>
                <w:szCs w:val="22"/>
              </w:rPr>
            </w:pPr>
            <w:r>
              <w:rPr>
                <w:rFonts w:ascii="Calibri" w:hAnsi="Calibri" w:cs="Calibri"/>
                <w:color w:val="000000"/>
                <w:szCs w:val="22"/>
              </w:rPr>
              <w:t>1.3%</w:t>
            </w:r>
          </w:p>
        </w:tc>
      </w:tr>
      <w:tr w:rsidR="00CE7765" w14:paraId="6914C654"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hideMark/>
          </w:tcPr>
          <w:p w14:paraId="70BF8A42" w14:textId="77777777" w:rsidR="00CE7765" w:rsidRDefault="00CE7765" w:rsidP="00CE7765">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prescribing</w:t>
            </w:r>
          </w:p>
        </w:tc>
        <w:tc>
          <w:tcPr>
            <w:tcW w:w="1701" w:type="dxa"/>
            <w:tcBorders>
              <w:top w:val="single" w:sz="4" w:space="0" w:color="auto"/>
              <w:left w:val="single" w:sz="4" w:space="0" w:color="auto"/>
              <w:bottom w:val="single" w:sz="4" w:space="0" w:color="auto"/>
              <w:right w:val="single" w:sz="4" w:space="0" w:color="auto"/>
            </w:tcBorders>
            <w:vAlign w:val="center"/>
          </w:tcPr>
          <w:p w14:paraId="7F27EC8D" w14:textId="2322DC4E" w:rsidR="00CE7765" w:rsidRDefault="00693A6C" w:rsidP="00CE7765">
            <w:pPr>
              <w:widowControl w:val="0"/>
              <w:jc w:val="center"/>
              <w:rPr>
                <w:rFonts w:ascii="Calibri" w:hAnsi="Calibri" w:cs="Calibri"/>
                <w:color w:val="000000"/>
                <w:szCs w:val="22"/>
              </w:rPr>
            </w:pPr>
            <w:r>
              <w:rPr>
                <w:rFonts w:ascii="Calibri" w:hAnsi="Calibri" w:cs="Calibri"/>
                <w:color w:val="000000"/>
                <w:szCs w:val="22"/>
              </w:rPr>
              <w:t>34</w:t>
            </w:r>
          </w:p>
        </w:tc>
        <w:tc>
          <w:tcPr>
            <w:tcW w:w="1418" w:type="dxa"/>
            <w:tcBorders>
              <w:top w:val="single" w:sz="4" w:space="0" w:color="auto"/>
              <w:left w:val="single" w:sz="4" w:space="0" w:color="auto"/>
              <w:bottom w:val="single" w:sz="4" w:space="0" w:color="auto"/>
              <w:right w:val="single" w:sz="4" w:space="0" w:color="auto"/>
            </w:tcBorders>
            <w:vAlign w:val="center"/>
          </w:tcPr>
          <w:p w14:paraId="39AAD0B0" w14:textId="701254F0" w:rsidR="00CE7765" w:rsidRDefault="009F42AE" w:rsidP="00CE7765">
            <w:pPr>
              <w:widowControl w:val="0"/>
              <w:jc w:val="center"/>
              <w:rPr>
                <w:rFonts w:ascii="Calibri" w:hAnsi="Calibri" w:cs="Calibri"/>
                <w:color w:val="000000"/>
                <w:szCs w:val="22"/>
              </w:rPr>
            </w:pPr>
            <w:r>
              <w:rPr>
                <w:rFonts w:ascii="Calibri" w:hAnsi="Calibri" w:cs="Calibri"/>
                <w:color w:val="000000"/>
                <w:szCs w:val="22"/>
              </w:rPr>
              <w:t>8.7</w:t>
            </w:r>
            <w:r w:rsidR="00EE6433">
              <w:rPr>
                <w:rFonts w:ascii="Calibri" w:hAnsi="Calibri" w:cs="Calibri"/>
                <w:color w:val="000000"/>
                <w:szCs w:val="22"/>
              </w:rPr>
              <w:t>%</w:t>
            </w:r>
          </w:p>
        </w:tc>
      </w:tr>
      <w:tr w:rsidR="00CE7765" w14:paraId="5AF56830"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tcPr>
          <w:p w14:paraId="5D096EEA" w14:textId="77777777" w:rsidR="00CE7765" w:rsidRDefault="00CE7765" w:rsidP="00CE7765">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Prescribing error</w:t>
            </w:r>
          </w:p>
        </w:tc>
        <w:tc>
          <w:tcPr>
            <w:tcW w:w="1701" w:type="dxa"/>
            <w:tcBorders>
              <w:top w:val="single" w:sz="4" w:space="0" w:color="auto"/>
              <w:left w:val="single" w:sz="4" w:space="0" w:color="auto"/>
              <w:bottom w:val="single" w:sz="4" w:space="0" w:color="auto"/>
              <w:right w:val="single" w:sz="4" w:space="0" w:color="auto"/>
            </w:tcBorders>
            <w:vAlign w:val="center"/>
          </w:tcPr>
          <w:p w14:paraId="4DF0DE26" w14:textId="59656625" w:rsidR="00CE7765" w:rsidRDefault="00693A6C" w:rsidP="00CE7765">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14:paraId="2C873B29" w14:textId="553A24BE" w:rsidR="00CE7765" w:rsidRDefault="00EE6433" w:rsidP="00CE7765">
            <w:pPr>
              <w:jc w:val="center"/>
            </w:pPr>
            <w:r>
              <w:t>0.5%</w:t>
            </w:r>
          </w:p>
        </w:tc>
      </w:tr>
      <w:tr w:rsidR="00CE7765" w14:paraId="6CDB47E0"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hideMark/>
          </w:tcPr>
          <w:p w14:paraId="13AAE08B" w14:textId="77777777" w:rsidR="00CE7765" w:rsidRDefault="00CE7765" w:rsidP="00CE7765">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Refusal to prescribe/dispense/supply</w:t>
            </w:r>
          </w:p>
        </w:tc>
        <w:tc>
          <w:tcPr>
            <w:tcW w:w="1701" w:type="dxa"/>
            <w:tcBorders>
              <w:top w:val="single" w:sz="4" w:space="0" w:color="auto"/>
              <w:left w:val="single" w:sz="4" w:space="0" w:color="auto"/>
              <w:bottom w:val="single" w:sz="4" w:space="0" w:color="auto"/>
              <w:right w:val="single" w:sz="4" w:space="0" w:color="auto"/>
            </w:tcBorders>
            <w:vAlign w:val="center"/>
          </w:tcPr>
          <w:p w14:paraId="1D74E594" w14:textId="5CAF8E80" w:rsidR="00CE7765" w:rsidRDefault="00693A6C" w:rsidP="00CE7765">
            <w:pPr>
              <w:widowControl w:val="0"/>
              <w:jc w:val="center"/>
              <w:rPr>
                <w:rFonts w:ascii="Calibri" w:hAnsi="Calibri" w:cs="Calibri"/>
                <w:color w:val="000000"/>
                <w:szCs w:val="22"/>
              </w:rPr>
            </w:pPr>
            <w:r>
              <w:rPr>
                <w:rFonts w:ascii="Calibri" w:hAnsi="Calibri" w:cs="Calibri"/>
                <w:color w:val="000000"/>
                <w:szCs w:val="22"/>
              </w:rPr>
              <w:t>10</w:t>
            </w:r>
          </w:p>
        </w:tc>
        <w:tc>
          <w:tcPr>
            <w:tcW w:w="1418" w:type="dxa"/>
            <w:tcBorders>
              <w:top w:val="single" w:sz="4" w:space="0" w:color="auto"/>
              <w:left w:val="single" w:sz="4" w:space="0" w:color="auto"/>
              <w:bottom w:val="single" w:sz="4" w:space="0" w:color="auto"/>
              <w:right w:val="single" w:sz="4" w:space="0" w:color="auto"/>
            </w:tcBorders>
          </w:tcPr>
          <w:p w14:paraId="28981145" w14:textId="3D50A4A1" w:rsidR="00CE7765" w:rsidRDefault="009F42AE" w:rsidP="00CE7765">
            <w:pPr>
              <w:jc w:val="center"/>
            </w:pPr>
            <w:r>
              <w:t>2.6</w:t>
            </w:r>
            <w:r w:rsidR="00EE6433">
              <w:t>%</w:t>
            </w:r>
          </w:p>
        </w:tc>
      </w:tr>
      <w:tr w:rsidR="00CE7765" w14:paraId="167CFA9F"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6144FA" w14:textId="77777777" w:rsidR="00CE7765" w:rsidRDefault="00CE7765" w:rsidP="00CE7765">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Reports/certificates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9FF42D" w14:textId="1DE8BF5A" w:rsidR="00CE7765" w:rsidRDefault="0043728B" w:rsidP="00CE7765">
            <w:pPr>
              <w:widowControl w:val="0"/>
              <w:jc w:val="center"/>
              <w:rPr>
                <w:rFonts w:ascii="Calibri" w:hAnsi="Calibri" w:cs="Calibri"/>
                <w:b/>
                <w:i/>
                <w:color w:val="000000"/>
                <w:szCs w:val="22"/>
              </w:rPr>
            </w:pPr>
            <w:r>
              <w:rPr>
                <w:rFonts w:ascii="Calibri" w:hAnsi="Calibri" w:cs="Calibri"/>
                <w:b/>
                <w:i/>
                <w:color w:val="000000"/>
                <w:szCs w:val="22"/>
              </w:rPr>
              <w:t>10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673584" w14:textId="63726373" w:rsidR="00CE7765" w:rsidRDefault="009F42AE" w:rsidP="00CE7765">
            <w:pPr>
              <w:widowControl w:val="0"/>
              <w:jc w:val="center"/>
              <w:rPr>
                <w:rFonts w:ascii="Calibri" w:hAnsi="Calibri" w:cs="Calibri"/>
                <w:b/>
                <w:i/>
                <w:color w:val="000000"/>
                <w:szCs w:val="22"/>
              </w:rPr>
            </w:pPr>
            <w:r>
              <w:rPr>
                <w:rFonts w:ascii="Calibri" w:hAnsi="Calibri" w:cs="Calibri"/>
                <w:b/>
                <w:i/>
                <w:color w:val="000000"/>
                <w:szCs w:val="22"/>
              </w:rPr>
              <w:t>2.6</w:t>
            </w:r>
            <w:r w:rsidR="00EE6433">
              <w:rPr>
                <w:rFonts w:ascii="Calibri" w:hAnsi="Calibri" w:cs="Calibri"/>
                <w:b/>
                <w:i/>
                <w:color w:val="000000"/>
                <w:szCs w:val="22"/>
              </w:rPr>
              <w:t>%</w:t>
            </w:r>
          </w:p>
        </w:tc>
      </w:tr>
      <w:tr w:rsidR="00CE7765" w14:paraId="3E34AAC5"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53A76E4B" w14:textId="77777777" w:rsidR="00CE7765" w:rsidRDefault="00CE7765" w:rsidP="00CE7765">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Inaccurate report/certificate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3F067D" w14:textId="03F09165" w:rsidR="00CE7765" w:rsidRPr="004D62A7" w:rsidRDefault="0043728B" w:rsidP="00CE7765">
            <w:pPr>
              <w:widowControl w:val="0"/>
              <w:jc w:val="center"/>
              <w:rPr>
                <w:rFonts w:ascii="Calibri" w:hAnsi="Calibri" w:cs="Calibri"/>
                <w:color w:val="000000"/>
                <w:szCs w:val="22"/>
              </w:rPr>
            </w:pPr>
            <w:r>
              <w:rPr>
                <w:rFonts w:ascii="Calibri" w:hAnsi="Calibri" w:cs="Calibri"/>
                <w:color w:val="000000"/>
                <w:szCs w:val="22"/>
              </w:rPr>
              <w:t>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1E8E20B" w14:textId="7A558CE7" w:rsidR="00CE7765" w:rsidRPr="00F16F2F" w:rsidRDefault="009F42AE" w:rsidP="00CE7765">
            <w:pPr>
              <w:widowControl w:val="0"/>
              <w:jc w:val="center"/>
              <w:rPr>
                <w:rFonts w:ascii="Calibri" w:hAnsi="Calibri" w:cs="Calibri"/>
                <w:color w:val="000000"/>
                <w:szCs w:val="22"/>
              </w:rPr>
            </w:pPr>
            <w:r>
              <w:rPr>
                <w:rFonts w:ascii="Calibri" w:hAnsi="Calibri" w:cs="Calibri"/>
                <w:color w:val="000000"/>
                <w:szCs w:val="22"/>
              </w:rPr>
              <w:t>2.0</w:t>
            </w:r>
            <w:r w:rsidR="00EE6433">
              <w:rPr>
                <w:rFonts w:ascii="Calibri" w:hAnsi="Calibri" w:cs="Calibri"/>
                <w:color w:val="000000"/>
                <w:szCs w:val="22"/>
              </w:rPr>
              <w:t>%</w:t>
            </w:r>
          </w:p>
        </w:tc>
      </w:tr>
      <w:tr w:rsidR="00CE7765" w14:paraId="22E921CE"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05881B31" w14:textId="77777777" w:rsidR="00CE7765" w:rsidRDefault="00CE7765" w:rsidP="00CE7765">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Refusal to complete report/certificate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87CF30" w14:textId="77777777" w:rsidR="00CE7765" w:rsidRDefault="00CE7765" w:rsidP="00CE7765">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243A9A" w14:textId="56B93F70" w:rsidR="00CE7765" w:rsidRPr="00F16F2F" w:rsidRDefault="00EE6433" w:rsidP="00CE7765">
            <w:pPr>
              <w:widowControl w:val="0"/>
              <w:jc w:val="center"/>
              <w:rPr>
                <w:rFonts w:ascii="Calibri" w:hAnsi="Calibri" w:cs="Calibri"/>
                <w:color w:val="000000"/>
                <w:szCs w:val="22"/>
              </w:rPr>
            </w:pPr>
            <w:r>
              <w:rPr>
                <w:rFonts w:ascii="Calibri" w:hAnsi="Calibri" w:cs="Calibri"/>
                <w:color w:val="000000"/>
                <w:szCs w:val="22"/>
              </w:rPr>
              <w:t>0.5%</w:t>
            </w:r>
          </w:p>
        </w:tc>
      </w:tr>
      <w:tr w:rsidR="00CE7765" w14:paraId="5654F252"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C298FA" w14:textId="766FCB3D" w:rsidR="00CE7765" w:rsidRDefault="00D21AD4" w:rsidP="00CE7765">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P</w:t>
            </w:r>
            <w:r w:rsidR="00CE7765">
              <w:rPr>
                <w:rFonts w:ascii="Calibri" w:hAnsi="Calibri"/>
                <w:b/>
                <w:i/>
                <w:szCs w:val="22"/>
              </w:rPr>
              <w:t>rofessional conduct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73910E" w14:textId="1B78213E" w:rsidR="00CE7765" w:rsidRDefault="00F13FBA" w:rsidP="00CE7765">
            <w:pPr>
              <w:widowControl w:val="0"/>
              <w:jc w:val="center"/>
              <w:rPr>
                <w:rFonts w:ascii="Calibri" w:hAnsi="Calibri" w:cs="Calibri"/>
                <w:b/>
                <w:i/>
                <w:color w:val="000000"/>
                <w:szCs w:val="22"/>
              </w:rPr>
            </w:pPr>
            <w:r>
              <w:rPr>
                <w:rFonts w:ascii="Calibri" w:hAnsi="Calibri" w:cs="Calibri"/>
                <w:b/>
                <w:i/>
                <w:color w:val="000000"/>
                <w:szCs w:val="22"/>
              </w:rPr>
              <w:t>25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907E95" w14:textId="442D9EC1" w:rsidR="00CE7765" w:rsidRDefault="009F42AE" w:rsidP="00CE7765">
            <w:pPr>
              <w:widowControl w:val="0"/>
              <w:jc w:val="center"/>
              <w:rPr>
                <w:rFonts w:ascii="Calibri" w:hAnsi="Calibri" w:cs="Calibri"/>
                <w:b/>
                <w:i/>
                <w:color w:val="000000"/>
                <w:szCs w:val="22"/>
              </w:rPr>
            </w:pPr>
            <w:r>
              <w:rPr>
                <w:rFonts w:ascii="Calibri" w:hAnsi="Calibri" w:cs="Calibri"/>
                <w:b/>
                <w:i/>
                <w:color w:val="000000"/>
                <w:szCs w:val="22"/>
              </w:rPr>
              <w:t>6.4</w:t>
            </w:r>
            <w:r w:rsidR="00EE6433">
              <w:rPr>
                <w:rFonts w:ascii="Calibri" w:hAnsi="Calibri" w:cs="Calibri"/>
                <w:b/>
                <w:i/>
                <w:color w:val="000000"/>
                <w:szCs w:val="22"/>
              </w:rPr>
              <w:t>%</w:t>
            </w:r>
          </w:p>
        </w:tc>
      </w:tr>
      <w:tr w:rsidR="00CE7765" w14:paraId="7305C20C"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tcPr>
          <w:p w14:paraId="13E1059D" w14:textId="77777777" w:rsidR="00CE7765" w:rsidRDefault="00CE7765" w:rsidP="00CE7765">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Disrespectful behaviour</w:t>
            </w:r>
          </w:p>
        </w:tc>
        <w:tc>
          <w:tcPr>
            <w:tcW w:w="1701" w:type="dxa"/>
            <w:tcBorders>
              <w:top w:val="single" w:sz="4" w:space="0" w:color="auto"/>
              <w:left w:val="single" w:sz="4" w:space="0" w:color="auto"/>
              <w:bottom w:val="single" w:sz="4" w:space="0" w:color="auto"/>
              <w:right w:val="single" w:sz="4" w:space="0" w:color="auto"/>
            </w:tcBorders>
            <w:vAlign w:val="center"/>
          </w:tcPr>
          <w:p w14:paraId="3AA11900" w14:textId="79702329" w:rsidR="00CE7765" w:rsidRDefault="00693A6C" w:rsidP="00CE7765">
            <w:pPr>
              <w:widowControl w:val="0"/>
              <w:jc w:val="center"/>
              <w:rPr>
                <w:rFonts w:ascii="Calibri" w:hAnsi="Calibri" w:cs="Calibri"/>
                <w:color w:val="000000"/>
                <w:szCs w:val="22"/>
              </w:rPr>
            </w:pPr>
            <w:r>
              <w:rPr>
                <w:rFonts w:ascii="Calibri" w:hAnsi="Calibri" w:cs="Calibri"/>
                <w:color w:val="000000"/>
                <w:szCs w:val="22"/>
              </w:rPr>
              <w:t>9</w:t>
            </w:r>
          </w:p>
        </w:tc>
        <w:tc>
          <w:tcPr>
            <w:tcW w:w="1418" w:type="dxa"/>
            <w:tcBorders>
              <w:top w:val="single" w:sz="4" w:space="0" w:color="auto"/>
              <w:left w:val="single" w:sz="4" w:space="0" w:color="auto"/>
              <w:bottom w:val="single" w:sz="4" w:space="0" w:color="auto"/>
              <w:right w:val="single" w:sz="4" w:space="0" w:color="auto"/>
            </w:tcBorders>
            <w:vAlign w:val="center"/>
          </w:tcPr>
          <w:p w14:paraId="5148DAFB" w14:textId="7EB759D0" w:rsidR="00CE7765" w:rsidRDefault="00EE6433" w:rsidP="00CE7765">
            <w:pPr>
              <w:widowControl w:val="0"/>
              <w:jc w:val="center"/>
              <w:rPr>
                <w:rFonts w:ascii="Calibri" w:hAnsi="Calibri" w:cs="Calibri"/>
                <w:color w:val="000000"/>
                <w:szCs w:val="22"/>
              </w:rPr>
            </w:pPr>
            <w:r>
              <w:rPr>
                <w:rFonts w:ascii="Calibri" w:hAnsi="Calibri" w:cs="Calibri"/>
                <w:color w:val="000000"/>
                <w:szCs w:val="22"/>
              </w:rPr>
              <w:t>2.3%</w:t>
            </w:r>
          </w:p>
        </w:tc>
      </w:tr>
      <w:tr w:rsidR="00CE7765" w14:paraId="288DB3FE"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hideMark/>
          </w:tcPr>
          <w:p w14:paraId="3EF231A8" w14:textId="77777777" w:rsidR="00CE7765" w:rsidRDefault="00CE7765" w:rsidP="00CE7765">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collection/use/disclosure of information</w:t>
            </w:r>
          </w:p>
        </w:tc>
        <w:tc>
          <w:tcPr>
            <w:tcW w:w="1701" w:type="dxa"/>
            <w:tcBorders>
              <w:top w:val="single" w:sz="4" w:space="0" w:color="auto"/>
              <w:left w:val="single" w:sz="4" w:space="0" w:color="auto"/>
              <w:bottom w:val="single" w:sz="4" w:space="0" w:color="auto"/>
              <w:right w:val="single" w:sz="4" w:space="0" w:color="auto"/>
            </w:tcBorders>
            <w:vAlign w:val="center"/>
          </w:tcPr>
          <w:p w14:paraId="6C67D810" w14:textId="0C791FC2" w:rsidR="00CE7765" w:rsidRDefault="00693A6C" w:rsidP="00CE7765">
            <w:pPr>
              <w:widowControl w:val="0"/>
              <w:jc w:val="center"/>
              <w:rPr>
                <w:rFonts w:ascii="Calibri" w:hAnsi="Calibri" w:cs="Calibri"/>
                <w:color w:val="000000"/>
                <w:szCs w:val="22"/>
              </w:rPr>
            </w:pPr>
            <w:r>
              <w:rPr>
                <w:rFonts w:ascii="Calibri" w:hAnsi="Calibri" w:cs="Calibri"/>
                <w:color w:val="000000"/>
                <w:szCs w:val="22"/>
              </w:rPr>
              <w:t>13</w:t>
            </w:r>
          </w:p>
        </w:tc>
        <w:tc>
          <w:tcPr>
            <w:tcW w:w="1418" w:type="dxa"/>
            <w:tcBorders>
              <w:top w:val="single" w:sz="4" w:space="0" w:color="auto"/>
              <w:left w:val="single" w:sz="4" w:space="0" w:color="auto"/>
              <w:bottom w:val="single" w:sz="4" w:space="0" w:color="auto"/>
              <w:right w:val="single" w:sz="4" w:space="0" w:color="auto"/>
            </w:tcBorders>
          </w:tcPr>
          <w:p w14:paraId="66D8DC70" w14:textId="6DE46369" w:rsidR="00CE7765" w:rsidRDefault="00EE6433" w:rsidP="00CE7765">
            <w:pPr>
              <w:jc w:val="center"/>
            </w:pPr>
            <w:r>
              <w:t>3.3%</w:t>
            </w:r>
          </w:p>
        </w:tc>
      </w:tr>
      <w:tr w:rsidR="00CE7765" w14:paraId="5EC2A069"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tcPr>
          <w:p w14:paraId="5F3EE20D" w14:textId="77777777" w:rsidR="00CE7765" w:rsidRDefault="00CE7765" w:rsidP="00CE7765">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 xml:space="preserve">Other </w:t>
            </w:r>
          </w:p>
        </w:tc>
        <w:tc>
          <w:tcPr>
            <w:tcW w:w="1701" w:type="dxa"/>
            <w:tcBorders>
              <w:top w:val="single" w:sz="4" w:space="0" w:color="auto"/>
              <w:left w:val="single" w:sz="4" w:space="0" w:color="auto"/>
              <w:bottom w:val="single" w:sz="4" w:space="0" w:color="auto"/>
              <w:right w:val="single" w:sz="4" w:space="0" w:color="auto"/>
            </w:tcBorders>
            <w:vAlign w:val="center"/>
          </w:tcPr>
          <w:p w14:paraId="0A72F135" w14:textId="3786F681" w:rsidR="00CE7765" w:rsidRDefault="00D21AD4" w:rsidP="00CE7765">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tcPr>
          <w:p w14:paraId="769C219E" w14:textId="2FEC97D6" w:rsidR="00CE7765" w:rsidRDefault="00EE6433" w:rsidP="00CE7765">
            <w:pPr>
              <w:jc w:val="center"/>
            </w:pPr>
            <w:r>
              <w:t>1.0%</w:t>
            </w:r>
          </w:p>
        </w:tc>
      </w:tr>
      <w:tr w:rsidR="00D43881" w14:paraId="059EF532"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0057ED" w14:textId="00A88635" w:rsidR="00D43881" w:rsidRPr="00D43881" w:rsidRDefault="00D43881" w:rsidP="00D43881">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Teamwork/supervision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3A0C1E" w14:textId="552C3F4B" w:rsidR="00D43881" w:rsidRPr="00D43881" w:rsidRDefault="00F13FBA" w:rsidP="00D43881">
            <w:pPr>
              <w:widowControl w:val="0"/>
              <w:jc w:val="center"/>
              <w:rPr>
                <w:rFonts w:ascii="Calibri" w:hAnsi="Calibri" w:cs="Calibri"/>
                <w:b/>
                <w:i/>
                <w:color w:val="000000"/>
                <w:szCs w:val="22"/>
              </w:rPr>
            </w:pPr>
            <w:r>
              <w:rPr>
                <w:rFonts w:ascii="Calibri" w:hAnsi="Calibri" w:cs="Calibri"/>
                <w:b/>
                <w:i/>
                <w:color w:val="000000"/>
                <w:szCs w:val="22"/>
              </w:rPr>
              <w:t>6</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EFBFD4" w14:textId="4FC82DBF" w:rsidR="00D43881" w:rsidRPr="00D43881" w:rsidRDefault="00EE6433" w:rsidP="00D43881">
            <w:pPr>
              <w:jc w:val="center"/>
              <w:rPr>
                <w:b/>
                <w:i/>
              </w:rPr>
            </w:pPr>
            <w:r>
              <w:rPr>
                <w:b/>
                <w:i/>
              </w:rPr>
              <w:t>1.5%</w:t>
            </w:r>
          </w:p>
        </w:tc>
      </w:tr>
      <w:tr w:rsidR="00D43881" w14:paraId="0195C223" w14:textId="77777777" w:rsidTr="0078382D">
        <w:trPr>
          <w:trHeight w:val="84"/>
        </w:trPr>
        <w:tc>
          <w:tcPr>
            <w:tcW w:w="5670" w:type="dxa"/>
            <w:tcBorders>
              <w:top w:val="single" w:sz="4" w:space="0" w:color="auto"/>
              <w:left w:val="single" w:sz="4" w:space="0" w:color="auto"/>
              <w:bottom w:val="single" w:sz="4" w:space="0" w:color="auto"/>
              <w:right w:val="single" w:sz="4" w:space="0" w:color="auto"/>
            </w:tcBorders>
          </w:tcPr>
          <w:p w14:paraId="3E313616" w14:textId="227C8914" w:rsidR="00D43881" w:rsidRDefault="00D43881" w:rsidP="00D43881">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Inadequate supervision</w:t>
            </w:r>
          </w:p>
        </w:tc>
        <w:tc>
          <w:tcPr>
            <w:tcW w:w="1701" w:type="dxa"/>
            <w:tcBorders>
              <w:top w:val="single" w:sz="4" w:space="0" w:color="auto"/>
              <w:left w:val="single" w:sz="4" w:space="0" w:color="auto"/>
              <w:bottom w:val="single" w:sz="4" w:space="0" w:color="auto"/>
              <w:right w:val="single" w:sz="4" w:space="0" w:color="auto"/>
            </w:tcBorders>
            <w:vAlign w:val="center"/>
          </w:tcPr>
          <w:p w14:paraId="00F4C94E" w14:textId="2967E7A9" w:rsidR="00D43881" w:rsidRDefault="00693A6C" w:rsidP="00D43881">
            <w:pPr>
              <w:widowControl w:val="0"/>
              <w:jc w:val="center"/>
              <w:rPr>
                <w:rFonts w:ascii="Calibri" w:hAnsi="Calibri" w:cs="Calibri"/>
                <w:color w:val="000000"/>
                <w:szCs w:val="22"/>
              </w:rPr>
            </w:pPr>
            <w:r>
              <w:rPr>
                <w:rFonts w:ascii="Calibri" w:hAnsi="Calibri" w:cs="Calibri"/>
                <w:color w:val="000000"/>
                <w:szCs w:val="22"/>
              </w:rPr>
              <w:t>6</w:t>
            </w:r>
          </w:p>
        </w:tc>
        <w:tc>
          <w:tcPr>
            <w:tcW w:w="1418" w:type="dxa"/>
            <w:tcBorders>
              <w:top w:val="single" w:sz="4" w:space="0" w:color="auto"/>
              <w:left w:val="single" w:sz="4" w:space="0" w:color="auto"/>
              <w:bottom w:val="single" w:sz="4" w:space="0" w:color="auto"/>
              <w:right w:val="single" w:sz="4" w:space="0" w:color="auto"/>
            </w:tcBorders>
          </w:tcPr>
          <w:p w14:paraId="49DB6A9C" w14:textId="06A6B478" w:rsidR="00D43881" w:rsidRDefault="00EE6433" w:rsidP="00D43881">
            <w:pPr>
              <w:jc w:val="center"/>
            </w:pPr>
            <w:r>
              <w:t>1.5%</w:t>
            </w:r>
          </w:p>
        </w:tc>
      </w:tr>
      <w:tr w:rsidR="00D43881" w14:paraId="5E05322F"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90B947" w14:textId="77777777" w:rsidR="00D43881" w:rsidRDefault="00D43881" w:rsidP="00D43881">
            <w:pPr>
              <w:widowControl w:val="0"/>
              <w:tabs>
                <w:tab w:val="left" w:pos="176"/>
                <w:tab w:val="left" w:pos="1440"/>
                <w:tab w:val="decimal" w:pos="4320"/>
              </w:tabs>
              <w:outlineLvl w:val="0"/>
              <w:rPr>
                <w:rFonts w:ascii="Calibri" w:hAnsi="Calibri"/>
                <w:b/>
                <w:i/>
                <w:szCs w:val="22"/>
              </w:rPr>
            </w:pPr>
            <w:r>
              <w:rPr>
                <w:rFonts w:ascii="Calibri" w:hAnsi="Calibri"/>
                <w:b/>
                <w:i/>
                <w:szCs w:val="22"/>
              </w:rPr>
              <w:t>Disability-related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20D088" w14:textId="286266A4" w:rsidR="00D43881" w:rsidRDefault="00693A6C" w:rsidP="00D43881">
            <w:pPr>
              <w:widowControl w:val="0"/>
              <w:jc w:val="center"/>
              <w:rPr>
                <w:rFonts w:ascii="Calibri" w:hAnsi="Calibri" w:cs="Calibri"/>
                <w:b/>
                <w:i/>
                <w:color w:val="000000"/>
                <w:szCs w:val="22"/>
              </w:rPr>
            </w:pPr>
            <w:r>
              <w:rPr>
                <w:rFonts w:ascii="Calibri" w:hAnsi="Calibri" w:cs="Calibri"/>
                <w:b/>
                <w:i/>
                <w:color w:val="000000"/>
                <w:szCs w:val="22"/>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ECAF12" w14:textId="5F34EADB" w:rsidR="00D43881" w:rsidRPr="00756A8F" w:rsidRDefault="00EE6433" w:rsidP="00D43881">
            <w:pPr>
              <w:widowControl w:val="0"/>
              <w:jc w:val="center"/>
              <w:rPr>
                <w:rFonts w:ascii="Calibri" w:hAnsi="Calibri" w:cs="Calibri"/>
                <w:b/>
                <w:i/>
                <w:color w:val="000000"/>
                <w:szCs w:val="22"/>
              </w:rPr>
            </w:pPr>
            <w:r>
              <w:rPr>
                <w:rFonts w:ascii="Calibri" w:hAnsi="Calibri" w:cs="Calibri"/>
                <w:b/>
                <w:i/>
                <w:color w:val="000000"/>
                <w:szCs w:val="22"/>
              </w:rPr>
              <w:t>1.0%</w:t>
            </w:r>
          </w:p>
        </w:tc>
      </w:tr>
      <w:tr w:rsidR="00D43881" w14:paraId="26761D82"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631D74" w14:textId="09325AE1" w:rsidR="00D43881" w:rsidRDefault="00D43881" w:rsidP="00D43881">
            <w:pPr>
              <w:widowControl w:val="0"/>
              <w:tabs>
                <w:tab w:val="left" w:pos="176"/>
                <w:tab w:val="left" w:pos="1440"/>
                <w:tab w:val="decimal" w:pos="4320"/>
              </w:tabs>
              <w:outlineLvl w:val="0"/>
              <w:rPr>
                <w:rFonts w:ascii="Calibri" w:hAnsi="Calibri"/>
                <w:b/>
                <w:i/>
                <w:szCs w:val="22"/>
              </w:rPr>
            </w:pPr>
            <w:r>
              <w:rPr>
                <w:rFonts w:ascii="Calibri" w:hAnsi="Calibri"/>
                <w:b/>
                <w:i/>
                <w:szCs w:val="22"/>
              </w:rPr>
              <w:t>Issues regarding right to support person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6D9F97" w14:textId="6EF1BDC8" w:rsidR="00D43881" w:rsidRDefault="006A0C1F" w:rsidP="00D43881">
            <w:pPr>
              <w:widowControl w:val="0"/>
              <w:jc w:val="center"/>
              <w:rPr>
                <w:rFonts w:ascii="Calibri" w:hAnsi="Calibri" w:cs="Calibri"/>
                <w:b/>
                <w:i/>
                <w:color w:val="000000"/>
                <w:szCs w:val="22"/>
              </w:rPr>
            </w:pPr>
            <w:r>
              <w:rPr>
                <w:rFonts w:ascii="Calibri" w:hAnsi="Calibri" w:cs="Calibri"/>
                <w:b/>
                <w:i/>
                <w:color w:val="000000"/>
                <w:szCs w:val="22"/>
              </w:rPr>
              <w:t>11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904363" w14:textId="361A52BE" w:rsidR="00D43881" w:rsidRDefault="00EE6433" w:rsidP="00D43881">
            <w:pPr>
              <w:widowControl w:val="0"/>
              <w:jc w:val="center"/>
              <w:rPr>
                <w:rFonts w:ascii="Calibri" w:hAnsi="Calibri" w:cs="Calibri"/>
                <w:b/>
                <w:i/>
                <w:color w:val="000000"/>
                <w:szCs w:val="22"/>
              </w:rPr>
            </w:pPr>
            <w:r>
              <w:rPr>
                <w:rFonts w:ascii="Calibri" w:hAnsi="Calibri" w:cs="Calibri"/>
                <w:b/>
                <w:i/>
                <w:color w:val="000000"/>
                <w:szCs w:val="22"/>
              </w:rPr>
              <w:t>2.8%</w:t>
            </w:r>
          </w:p>
        </w:tc>
      </w:tr>
      <w:tr w:rsidR="00D43881" w14:paraId="42A33A8F" w14:textId="77777777" w:rsidTr="0078382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66BC7F" w14:textId="2080504B" w:rsidR="00D43881" w:rsidRDefault="00D43881" w:rsidP="00D43881">
            <w:pPr>
              <w:widowControl w:val="0"/>
              <w:tabs>
                <w:tab w:val="left" w:pos="176"/>
                <w:tab w:val="left" w:pos="1440"/>
                <w:tab w:val="decimal" w:pos="4320"/>
              </w:tabs>
              <w:outlineLvl w:val="0"/>
              <w:rPr>
                <w:rFonts w:ascii="Calibri" w:hAnsi="Calibri"/>
                <w:b/>
                <w:i/>
                <w:szCs w:val="22"/>
              </w:rPr>
            </w:pPr>
            <w:r>
              <w:rPr>
                <w:rFonts w:ascii="Calibri" w:hAnsi="Calibri"/>
                <w:b/>
                <w:i/>
                <w:szCs w:val="22"/>
              </w:rPr>
              <w:t>Other</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5A1926" w14:textId="69EA34F5" w:rsidR="00D43881" w:rsidRDefault="006A0C1F" w:rsidP="00D43881">
            <w:pPr>
              <w:widowControl w:val="0"/>
              <w:jc w:val="center"/>
              <w:rPr>
                <w:rFonts w:ascii="Calibri" w:hAnsi="Calibri" w:cs="Calibri"/>
                <w:b/>
                <w:i/>
                <w:color w:val="000000"/>
                <w:szCs w:val="22"/>
              </w:rPr>
            </w:pPr>
            <w:r>
              <w:rPr>
                <w:rFonts w:ascii="Calibri" w:hAnsi="Calibri" w:cs="Calibri"/>
                <w:b/>
                <w:i/>
                <w:color w:val="000000"/>
                <w:szCs w:val="22"/>
              </w:rPr>
              <w:t>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838573" w14:textId="1D1C6A4D" w:rsidR="00D43881" w:rsidRPr="0078382D" w:rsidRDefault="00D43881" w:rsidP="00D43881">
            <w:pPr>
              <w:widowControl w:val="0"/>
              <w:jc w:val="center"/>
              <w:rPr>
                <w:rFonts w:ascii="Calibri" w:hAnsi="Calibri" w:cs="Calibri"/>
                <w:b/>
                <w:i/>
                <w:color w:val="000000"/>
                <w:szCs w:val="22"/>
                <w:highlight w:val="yellow"/>
              </w:rPr>
            </w:pPr>
          </w:p>
        </w:tc>
      </w:tr>
    </w:tbl>
    <w:p w14:paraId="38FD5682" w14:textId="14B7615E" w:rsidR="00555018" w:rsidRDefault="00555018" w:rsidP="00EE6433">
      <w:pPr>
        <w:spacing w:before="240" w:after="240"/>
        <w:rPr>
          <w:rFonts w:ascii="Calibri" w:hAnsi="Calibri"/>
          <w:szCs w:val="22"/>
        </w:rPr>
      </w:pPr>
    </w:p>
    <w:p w14:paraId="500D1C5F" w14:textId="74DAFD4F" w:rsidR="00841E1C" w:rsidRPr="00AF3542" w:rsidRDefault="00841E1C" w:rsidP="00EE6433">
      <w:pPr>
        <w:spacing w:before="240" w:after="240"/>
        <w:rPr>
          <w:rFonts w:ascii="Calibri" w:hAnsi="Calibri"/>
          <w:szCs w:val="22"/>
        </w:rPr>
      </w:pPr>
      <w:r w:rsidRPr="00AF3542">
        <w:rPr>
          <w:rFonts w:ascii="Calibri" w:hAnsi="Calibri"/>
          <w:szCs w:val="22"/>
        </w:rPr>
        <w:t xml:space="preserve">On analysis of all issues identified in complaints about DHBs, the most common complaint issue categories were: </w:t>
      </w:r>
    </w:p>
    <w:p w14:paraId="22063611" w14:textId="4E06F596" w:rsidR="00841E1C" w:rsidRPr="00AF3542" w:rsidRDefault="00841E1C" w:rsidP="00841E1C">
      <w:pPr>
        <w:pStyle w:val="ListParagraph"/>
        <w:numPr>
          <w:ilvl w:val="0"/>
          <w:numId w:val="5"/>
        </w:numPr>
        <w:ind w:left="426" w:hanging="426"/>
        <w:rPr>
          <w:rFonts w:ascii="Calibri" w:hAnsi="Calibri"/>
          <w:szCs w:val="22"/>
        </w:rPr>
      </w:pPr>
      <w:r w:rsidRPr="00AF3542">
        <w:rPr>
          <w:rFonts w:ascii="Calibri" w:hAnsi="Calibri"/>
          <w:szCs w:val="22"/>
        </w:rPr>
        <w:t xml:space="preserve">Care/treatment (present for </w:t>
      </w:r>
      <w:r w:rsidR="007C19CB">
        <w:rPr>
          <w:rFonts w:ascii="Calibri" w:hAnsi="Calibri"/>
          <w:szCs w:val="22"/>
        </w:rPr>
        <w:t>72</w:t>
      </w:r>
      <w:r w:rsidRPr="00AF3542">
        <w:rPr>
          <w:rFonts w:ascii="Calibri" w:hAnsi="Calibri"/>
          <w:szCs w:val="22"/>
        </w:rPr>
        <w:t xml:space="preserve">% of all complaints) </w:t>
      </w:r>
    </w:p>
    <w:p w14:paraId="6354DD93" w14:textId="57256B8C" w:rsidR="00841E1C" w:rsidRDefault="00841E1C" w:rsidP="00841E1C">
      <w:pPr>
        <w:pStyle w:val="ListParagraph"/>
        <w:numPr>
          <w:ilvl w:val="0"/>
          <w:numId w:val="5"/>
        </w:numPr>
        <w:ind w:left="426" w:hanging="426"/>
        <w:rPr>
          <w:rFonts w:ascii="Calibri" w:hAnsi="Calibri"/>
          <w:szCs w:val="22"/>
        </w:rPr>
      </w:pPr>
      <w:r w:rsidRPr="00AF3542">
        <w:rPr>
          <w:rFonts w:ascii="Calibri" w:hAnsi="Calibri"/>
          <w:szCs w:val="22"/>
        </w:rPr>
        <w:t xml:space="preserve">Communication (present for </w:t>
      </w:r>
      <w:r w:rsidR="00EE6433">
        <w:rPr>
          <w:rFonts w:ascii="Calibri" w:hAnsi="Calibri"/>
          <w:szCs w:val="22"/>
        </w:rPr>
        <w:t>62</w:t>
      </w:r>
      <w:r w:rsidRPr="00AF3542">
        <w:rPr>
          <w:rFonts w:ascii="Calibri" w:hAnsi="Calibri"/>
          <w:szCs w:val="22"/>
        </w:rPr>
        <w:t>% of all complaints)</w:t>
      </w:r>
    </w:p>
    <w:p w14:paraId="519BB3B3" w14:textId="241271E8" w:rsidR="00EE6433" w:rsidRPr="00EE6433" w:rsidRDefault="00EE6433" w:rsidP="00EE6433">
      <w:pPr>
        <w:pStyle w:val="ListParagraph"/>
        <w:numPr>
          <w:ilvl w:val="0"/>
          <w:numId w:val="5"/>
        </w:numPr>
        <w:ind w:left="426" w:hanging="426"/>
        <w:rPr>
          <w:rFonts w:ascii="Calibri" w:hAnsi="Calibri"/>
          <w:szCs w:val="22"/>
        </w:rPr>
      </w:pPr>
      <w:r w:rsidRPr="00AF3542">
        <w:rPr>
          <w:rFonts w:ascii="Calibri" w:hAnsi="Calibri"/>
          <w:szCs w:val="22"/>
        </w:rPr>
        <w:t xml:space="preserve">Consent/information (present for </w:t>
      </w:r>
      <w:r>
        <w:rPr>
          <w:rFonts w:ascii="Calibri" w:hAnsi="Calibri"/>
          <w:szCs w:val="22"/>
        </w:rPr>
        <w:t>27% of all complaints)</w:t>
      </w:r>
    </w:p>
    <w:p w14:paraId="49C54178" w14:textId="1CE60359" w:rsidR="00841E1C" w:rsidRPr="00AF3542" w:rsidRDefault="00841E1C" w:rsidP="00841E1C">
      <w:pPr>
        <w:pStyle w:val="ListParagraph"/>
        <w:numPr>
          <w:ilvl w:val="0"/>
          <w:numId w:val="5"/>
        </w:numPr>
        <w:ind w:left="426" w:hanging="426"/>
        <w:rPr>
          <w:rFonts w:ascii="Calibri" w:hAnsi="Calibri"/>
          <w:szCs w:val="22"/>
        </w:rPr>
      </w:pPr>
      <w:r w:rsidRPr="00AF3542">
        <w:rPr>
          <w:rFonts w:ascii="Calibri" w:hAnsi="Calibri"/>
          <w:szCs w:val="22"/>
        </w:rPr>
        <w:t xml:space="preserve">Access/funding (present for </w:t>
      </w:r>
      <w:r w:rsidR="00EE6433">
        <w:rPr>
          <w:rFonts w:ascii="Calibri" w:hAnsi="Calibri"/>
          <w:szCs w:val="22"/>
        </w:rPr>
        <w:t>27</w:t>
      </w:r>
      <w:r w:rsidRPr="00AF3542">
        <w:rPr>
          <w:rFonts w:ascii="Calibri" w:hAnsi="Calibri"/>
          <w:szCs w:val="22"/>
        </w:rPr>
        <w:t xml:space="preserve">% of all complaints) </w:t>
      </w:r>
    </w:p>
    <w:p w14:paraId="1558B7A9" w14:textId="77777777" w:rsidR="00841E1C" w:rsidRDefault="00841E1C" w:rsidP="00841E1C">
      <w:pPr>
        <w:rPr>
          <w:rFonts w:ascii="Calibri" w:hAnsi="Calibri"/>
          <w:szCs w:val="22"/>
        </w:rPr>
      </w:pPr>
    </w:p>
    <w:p w14:paraId="078A9DAC" w14:textId="786C87B9" w:rsidR="00841E1C" w:rsidRDefault="00841E1C" w:rsidP="0078382D">
      <w:pPr>
        <w:keepNext/>
        <w:spacing w:after="240"/>
        <w:rPr>
          <w:rFonts w:ascii="Calibri" w:hAnsi="Calibri"/>
          <w:szCs w:val="22"/>
        </w:rPr>
      </w:pPr>
      <w:r>
        <w:rPr>
          <w:rFonts w:ascii="Calibri" w:hAnsi="Calibri"/>
          <w:szCs w:val="22"/>
        </w:rPr>
        <w:lastRenderedPageBreak/>
        <w:t xml:space="preserve">The most common </w:t>
      </w:r>
      <w:r w:rsidRPr="00AF3542">
        <w:rPr>
          <w:rFonts w:ascii="Calibri" w:hAnsi="Calibri"/>
          <w:i/>
          <w:szCs w:val="22"/>
        </w:rPr>
        <w:t>specific</w:t>
      </w:r>
      <w:r>
        <w:rPr>
          <w:rFonts w:ascii="Calibri" w:hAnsi="Calibri"/>
          <w:szCs w:val="22"/>
        </w:rPr>
        <w:t xml:space="preserve"> issues were: </w:t>
      </w:r>
    </w:p>
    <w:p w14:paraId="6BCF89B4" w14:textId="0C771BC8" w:rsidR="00841E1C" w:rsidRPr="00A4472F" w:rsidRDefault="00841E1C" w:rsidP="0078382D">
      <w:pPr>
        <w:pStyle w:val="ListParagraph"/>
        <w:keepNext/>
        <w:numPr>
          <w:ilvl w:val="0"/>
          <w:numId w:val="6"/>
        </w:numPr>
        <w:ind w:left="426" w:hanging="426"/>
        <w:rPr>
          <w:lang w:eastAsia="en-NZ" w:bidi="ar-SA"/>
        </w:rPr>
      </w:pPr>
      <w:r>
        <w:rPr>
          <w:rFonts w:ascii="Calibri" w:hAnsi="Calibri"/>
          <w:szCs w:val="22"/>
        </w:rPr>
        <w:t>F</w:t>
      </w:r>
      <w:r w:rsidRPr="00064B53">
        <w:rPr>
          <w:rFonts w:ascii="Calibri" w:hAnsi="Calibri"/>
          <w:szCs w:val="22"/>
        </w:rPr>
        <w:t>ailure to communicate effectively with consumer</w:t>
      </w:r>
      <w:r w:rsidR="00EE6433">
        <w:rPr>
          <w:rFonts w:ascii="Calibri" w:hAnsi="Calibri"/>
          <w:szCs w:val="22"/>
        </w:rPr>
        <w:t xml:space="preserve"> (34</w:t>
      </w:r>
      <w:r>
        <w:rPr>
          <w:rFonts w:ascii="Calibri" w:hAnsi="Calibri"/>
          <w:szCs w:val="22"/>
        </w:rPr>
        <w:t>%)</w:t>
      </w:r>
    </w:p>
    <w:p w14:paraId="50717BBB" w14:textId="603C6293" w:rsidR="00A4472F" w:rsidRPr="00CD79E2" w:rsidRDefault="007C19CB" w:rsidP="0078382D">
      <w:pPr>
        <w:pStyle w:val="ListParagraph"/>
        <w:keepNext/>
        <w:numPr>
          <w:ilvl w:val="0"/>
          <w:numId w:val="6"/>
        </w:numPr>
        <w:ind w:left="426" w:hanging="426"/>
        <w:rPr>
          <w:lang w:eastAsia="en-NZ" w:bidi="ar-SA"/>
        </w:rPr>
      </w:pPr>
      <w:r>
        <w:rPr>
          <w:rFonts w:ascii="Calibri" w:hAnsi="Calibri"/>
          <w:szCs w:val="22"/>
        </w:rPr>
        <w:t>Delay in treatment (24</w:t>
      </w:r>
      <w:r w:rsidR="00A4472F">
        <w:rPr>
          <w:rFonts w:ascii="Calibri" w:hAnsi="Calibri"/>
          <w:szCs w:val="22"/>
        </w:rPr>
        <w:t>%)</w:t>
      </w:r>
    </w:p>
    <w:p w14:paraId="13E29D67" w14:textId="6BF81D8C" w:rsidR="00841E1C" w:rsidRPr="00A4472F" w:rsidRDefault="00841E1C" w:rsidP="00841E1C">
      <w:pPr>
        <w:pStyle w:val="ListParagraph"/>
        <w:numPr>
          <w:ilvl w:val="0"/>
          <w:numId w:val="6"/>
        </w:numPr>
        <w:ind w:left="426" w:hanging="426"/>
        <w:rPr>
          <w:lang w:eastAsia="en-NZ" w:bidi="ar-SA"/>
        </w:rPr>
      </w:pPr>
      <w:r w:rsidRPr="00064B53">
        <w:rPr>
          <w:rFonts w:ascii="Calibri" w:hAnsi="Calibri"/>
          <w:szCs w:val="22"/>
        </w:rPr>
        <w:t>Inadequate/i</w:t>
      </w:r>
      <w:r>
        <w:rPr>
          <w:rFonts w:ascii="Calibri" w:hAnsi="Calibri"/>
          <w:szCs w:val="22"/>
        </w:rPr>
        <w:t>nap</w:t>
      </w:r>
      <w:r w:rsidR="00A4472F">
        <w:rPr>
          <w:rFonts w:ascii="Calibri" w:hAnsi="Calibri"/>
          <w:szCs w:val="22"/>
        </w:rPr>
        <w:t>propriate clinical treatment (23</w:t>
      </w:r>
      <w:r>
        <w:rPr>
          <w:rFonts w:ascii="Calibri" w:hAnsi="Calibri"/>
          <w:szCs w:val="22"/>
        </w:rPr>
        <w:t>%)</w:t>
      </w:r>
    </w:p>
    <w:p w14:paraId="28926725" w14:textId="12DC056F" w:rsidR="00A4472F" w:rsidRPr="00B32D14" w:rsidRDefault="00A4472F" w:rsidP="00A4472F">
      <w:pPr>
        <w:pStyle w:val="ListParagraph"/>
        <w:numPr>
          <w:ilvl w:val="0"/>
          <w:numId w:val="6"/>
        </w:numPr>
        <w:ind w:left="426" w:hanging="426"/>
        <w:rPr>
          <w:lang w:eastAsia="en-NZ" w:bidi="ar-SA"/>
        </w:rPr>
      </w:pPr>
      <w:r>
        <w:rPr>
          <w:rFonts w:ascii="Calibri" w:hAnsi="Calibri"/>
          <w:szCs w:val="22"/>
        </w:rPr>
        <w:t>Failure to communicate effectively with family (22%)</w:t>
      </w:r>
    </w:p>
    <w:p w14:paraId="77BD382E" w14:textId="1DC91F29" w:rsidR="00841E1C" w:rsidRPr="00A4472F" w:rsidRDefault="00841E1C" w:rsidP="00841E1C">
      <w:pPr>
        <w:pStyle w:val="ListParagraph"/>
        <w:numPr>
          <w:ilvl w:val="0"/>
          <w:numId w:val="6"/>
        </w:numPr>
        <w:ind w:left="426" w:hanging="426"/>
        <w:rPr>
          <w:lang w:eastAsia="en-NZ" w:bidi="ar-SA"/>
        </w:rPr>
      </w:pPr>
      <w:r>
        <w:rPr>
          <w:rFonts w:ascii="Calibri" w:hAnsi="Calibri"/>
          <w:szCs w:val="22"/>
        </w:rPr>
        <w:t>I</w:t>
      </w:r>
      <w:r w:rsidRPr="00064B53">
        <w:rPr>
          <w:rFonts w:ascii="Calibri" w:hAnsi="Calibri"/>
          <w:szCs w:val="22"/>
        </w:rPr>
        <w:t>nadequate/inappropriate examination/a</w:t>
      </w:r>
      <w:r w:rsidR="00A4472F">
        <w:rPr>
          <w:rFonts w:ascii="Calibri" w:hAnsi="Calibri"/>
          <w:szCs w:val="22"/>
        </w:rPr>
        <w:t>ssessment (18</w:t>
      </w:r>
      <w:r>
        <w:rPr>
          <w:rFonts w:ascii="Calibri" w:hAnsi="Calibri"/>
          <w:szCs w:val="22"/>
        </w:rPr>
        <w:t>%)</w:t>
      </w:r>
    </w:p>
    <w:p w14:paraId="47BD2556" w14:textId="2F2E4C63" w:rsidR="00A4472F" w:rsidRPr="00A4472F" w:rsidRDefault="00A4472F" w:rsidP="00841E1C">
      <w:pPr>
        <w:pStyle w:val="ListParagraph"/>
        <w:numPr>
          <w:ilvl w:val="0"/>
          <w:numId w:val="6"/>
        </w:numPr>
        <w:ind w:left="426" w:hanging="426"/>
        <w:rPr>
          <w:lang w:eastAsia="en-NZ" w:bidi="ar-SA"/>
        </w:rPr>
      </w:pPr>
      <w:r>
        <w:rPr>
          <w:rFonts w:ascii="Calibri" w:hAnsi="Calibri"/>
          <w:szCs w:val="22"/>
        </w:rPr>
        <w:t>Inadequate/inappropriate follow-up (16%)</w:t>
      </w:r>
    </w:p>
    <w:p w14:paraId="1E353208" w14:textId="71ED1B27" w:rsidR="00A4472F" w:rsidRPr="00A4472F" w:rsidRDefault="00A4472F" w:rsidP="00A4472F">
      <w:pPr>
        <w:pStyle w:val="ListParagraph"/>
        <w:numPr>
          <w:ilvl w:val="0"/>
          <w:numId w:val="6"/>
        </w:numPr>
        <w:ind w:left="426" w:hanging="426"/>
        <w:rPr>
          <w:lang w:eastAsia="en-NZ" w:bidi="ar-SA"/>
        </w:rPr>
      </w:pPr>
      <w:r>
        <w:rPr>
          <w:rFonts w:ascii="Calibri" w:hAnsi="Calibri"/>
          <w:szCs w:val="22"/>
        </w:rPr>
        <w:t>I</w:t>
      </w:r>
      <w:r w:rsidRPr="00064B53">
        <w:rPr>
          <w:rFonts w:ascii="Calibri" w:hAnsi="Calibri"/>
          <w:szCs w:val="22"/>
        </w:rPr>
        <w:t>nadequate coordinatio</w:t>
      </w:r>
      <w:r>
        <w:rPr>
          <w:rFonts w:ascii="Calibri" w:hAnsi="Calibri"/>
          <w:szCs w:val="22"/>
        </w:rPr>
        <w:t>n of care/treatment</w:t>
      </w:r>
      <w:r w:rsidRPr="00064B53">
        <w:rPr>
          <w:rFonts w:ascii="Calibri" w:hAnsi="Calibri"/>
          <w:szCs w:val="22"/>
        </w:rPr>
        <w:t xml:space="preserve"> </w:t>
      </w:r>
      <w:r>
        <w:rPr>
          <w:rFonts w:ascii="Calibri" w:hAnsi="Calibri"/>
          <w:szCs w:val="22"/>
        </w:rPr>
        <w:t>(16%)</w:t>
      </w:r>
    </w:p>
    <w:p w14:paraId="671B94A1" w14:textId="33C1F25E" w:rsidR="00A4472F" w:rsidRPr="00A4472F" w:rsidRDefault="007C19CB" w:rsidP="00841E1C">
      <w:pPr>
        <w:pStyle w:val="ListParagraph"/>
        <w:numPr>
          <w:ilvl w:val="0"/>
          <w:numId w:val="6"/>
        </w:numPr>
        <w:ind w:left="426" w:hanging="426"/>
        <w:rPr>
          <w:lang w:eastAsia="en-NZ" w:bidi="ar-SA"/>
        </w:rPr>
      </w:pPr>
      <w:r>
        <w:rPr>
          <w:rFonts w:ascii="Calibri" w:hAnsi="Calibri"/>
          <w:szCs w:val="22"/>
        </w:rPr>
        <w:t>Lack of access to services (15</w:t>
      </w:r>
      <w:r w:rsidR="00A4472F">
        <w:rPr>
          <w:rFonts w:ascii="Calibri" w:hAnsi="Calibri"/>
          <w:szCs w:val="22"/>
        </w:rPr>
        <w:t>%)</w:t>
      </w:r>
    </w:p>
    <w:p w14:paraId="08D2A282" w14:textId="519AE9BE" w:rsidR="00A4472F" w:rsidRPr="00A4472F" w:rsidRDefault="00A4472F" w:rsidP="00A4472F">
      <w:pPr>
        <w:pStyle w:val="ListParagraph"/>
        <w:numPr>
          <w:ilvl w:val="0"/>
          <w:numId w:val="6"/>
        </w:numPr>
        <w:ind w:left="426" w:hanging="426"/>
        <w:rPr>
          <w:lang w:eastAsia="en-NZ" w:bidi="ar-SA"/>
        </w:rPr>
      </w:pPr>
      <w:r>
        <w:rPr>
          <w:rFonts w:ascii="Calibri" w:hAnsi="Calibri"/>
          <w:szCs w:val="22"/>
        </w:rPr>
        <w:t>M</w:t>
      </w:r>
      <w:r w:rsidRPr="00064B53">
        <w:rPr>
          <w:rFonts w:ascii="Calibri" w:hAnsi="Calibri"/>
          <w:szCs w:val="22"/>
        </w:rPr>
        <w:t>issed/incorrect/delay</w:t>
      </w:r>
      <w:r>
        <w:rPr>
          <w:rFonts w:ascii="Calibri" w:hAnsi="Calibri"/>
          <w:szCs w:val="22"/>
        </w:rPr>
        <w:t>ed diagnosis (14%)</w:t>
      </w:r>
    </w:p>
    <w:p w14:paraId="3F05F29E" w14:textId="2060CD50" w:rsidR="00A4472F" w:rsidRPr="00CD79E2" w:rsidRDefault="00A4472F" w:rsidP="00A4472F">
      <w:pPr>
        <w:pStyle w:val="ListParagraph"/>
        <w:numPr>
          <w:ilvl w:val="0"/>
          <w:numId w:val="6"/>
        </w:numPr>
        <w:ind w:left="426" w:hanging="426"/>
        <w:rPr>
          <w:lang w:eastAsia="en-NZ" w:bidi="ar-SA"/>
        </w:rPr>
      </w:pPr>
      <w:r>
        <w:rPr>
          <w:rFonts w:ascii="Calibri" w:hAnsi="Calibri"/>
          <w:szCs w:val="22"/>
        </w:rPr>
        <w:t>Inadequate response to complaint (14%)</w:t>
      </w:r>
    </w:p>
    <w:p w14:paraId="629853C5" w14:textId="1205BA33" w:rsidR="00A4472F" w:rsidRPr="00A65512" w:rsidRDefault="00A4472F" w:rsidP="00A4472F">
      <w:pPr>
        <w:pStyle w:val="ListParagraph"/>
        <w:numPr>
          <w:ilvl w:val="0"/>
          <w:numId w:val="6"/>
        </w:numPr>
        <w:ind w:left="426" w:hanging="426"/>
        <w:rPr>
          <w:lang w:eastAsia="en-NZ" w:bidi="ar-SA"/>
        </w:rPr>
      </w:pPr>
      <w:r>
        <w:rPr>
          <w:rFonts w:ascii="Calibri" w:hAnsi="Calibri"/>
          <w:szCs w:val="22"/>
        </w:rPr>
        <w:t>Unexpected treatment outcome (13%)</w:t>
      </w:r>
    </w:p>
    <w:p w14:paraId="419E34C8" w14:textId="77777777" w:rsidR="00841E1C" w:rsidRDefault="00841E1C" w:rsidP="00841E1C">
      <w:pPr>
        <w:rPr>
          <w:rFonts w:ascii="Calibri" w:hAnsi="Calibri"/>
          <w:szCs w:val="22"/>
        </w:rPr>
      </w:pPr>
    </w:p>
    <w:p w14:paraId="6D5BACFA" w14:textId="1FAF5E55" w:rsidR="00841E1C" w:rsidRDefault="00A4472F" w:rsidP="0078382D">
      <w:pPr>
        <w:spacing w:after="480"/>
        <w:rPr>
          <w:rFonts w:ascii="Calibri" w:hAnsi="Calibri"/>
          <w:szCs w:val="22"/>
        </w:rPr>
      </w:pPr>
      <w:r>
        <w:rPr>
          <w:rFonts w:ascii="Calibri" w:hAnsi="Calibri"/>
          <w:szCs w:val="22"/>
        </w:rPr>
        <w:t>This is broadly similar to what was seen in the last period. However, delay in treatment became one of the top three issues complained about for</w:t>
      </w:r>
      <w:r w:rsidR="00CF6D9B">
        <w:rPr>
          <w:rFonts w:ascii="Calibri" w:hAnsi="Calibri"/>
          <w:szCs w:val="22"/>
        </w:rPr>
        <w:t xml:space="preserve"> the first time in Jan</w:t>
      </w:r>
      <w:r w:rsidR="00B9645D">
        <w:rPr>
          <w:rFonts w:ascii="Calibri" w:hAnsi="Calibri"/>
          <w:szCs w:val="22"/>
        </w:rPr>
        <w:t>–</w:t>
      </w:r>
      <w:r w:rsidR="00CF6D9B">
        <w:rPr>
          <w:rFonts w:ascii="Calibri" w:hAnsi="Calibri"/>
          <w:szCs w:val="22"/>
        </w:rPr>
        <w:t>Jun 2020,</w:t>
      </w:r>
      <w:r>
        <w:rPr>
          <w:rFonts w:ascii="Calibri" w:hAnsi="Calibri"/>
          <w:szCs w:val="22"/>
        </w:rPr>
        <w:t xml:space="preserve"> and there was a small increase in the number of complaints about inadequate/inappropriate follow-up. </w:t>
      </w:r>
    </w:p>
    <w:p w14:paraId="6C0CDC1C" w14:textId="77777777" w:rsidR="00636882" w:rsidRDefault="00636882" w:rsidP="00841E1C">
      <w:pPr>
        <w:rPr>
          <w:rFonts w:ascii="Calibri" w:hAnsi="Calibri"/>
          <w:szCs w:val="22"/>
        </w:rPr>
      </w:pPr>
    </w:p>
    <w:tbl>
      <w:tblPr>
        <w:tblStyle w:val="TableGrid"/>
        <w:tblW w:w="0" w:type="auto"/>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8980"/>
      </w:tblGrid>
      <w:tr w:rsidR="00555018" w14:paraId="1C74FA22" w14:textId="77777777" w:rsidTr="00555018">
        <w:tc>
          <w:tcPr>
            <w:tcW w:w="9016" w:type="dxa"/>
          </w:tcPr>
          <w:p w14:paraId="0940829B" w14:textId="77777777" w:rsidR="00555018" w:rsidRPr="00555018" w:rsidRDefault="00555018" w:rsidP="0078382D">
            <w:pPr>
              <w:spacing w:before="240" w:after="120"/>
              <w:rPr>
                <w:rFonts w:asciiTheme="minorHAnsi" w:hAnsiTheme="minorHAnsi"/>
                <w:b/>
                <w:sz w:val="24"/>
              </w:rPr>
            </w:pPr>
            <w:r w:rsidRPr="00555018">
              <w:rPr>
                <w:rFonts w:asciiTheme="minorHAnsi" w:hAnsiTheme="minorHAnsi"/>
                <w:b/>
                <w:sz w:val="24"/>
              </w:rPr>
              <w:t>Issues complained about in relation to COVID-19</w:t>
            </w:r>
          </w:p>
          <w:p w14:paraId="0ADF2923" w14:textId="77777777" w:rsidR="00555018" w:rsidRPr="00555018" w:rsidRDefault="00555018" w:rsidP="00555018">
            <w:pPr>
              <w:rPr>
                <w:rFonts w:asciiTheme="minorHAnsi" w:hAnsiTheme="minorHAnsi"/>
                <w:sz w:val="22"/>
                <w:szCs w:val="22"/>
              </w:rPr>
            </w:pPr>
            <w:r w:rsidRPr="00555018">
              <w:rPr>
                <w:rFonts w:asciiTheme="minorHAnsi" w:hAnsiTheme="minorHAnsi"/>
                <w:sz w:val="22"/>
                <w:szCs w:val="22"/>
              </w:rPr>
              <w:t xml:space="preserve">HDC received 53 complaints about COVID-19 related issues at DHBs in Jan–Jun 2020. This represents 35% of all complaints about COVID-19 received by HDC during this time period. </w:t>
            </w:r>
          </w:p>
          <w:p w14:paraId="2E39D95D" w14:textId="77777777" w:rsidR="00555018" w:rsidRPr="00555018" w:rsidRDefault="00555018" w:rsidP="00555018">
            <w:pPr>
              <w:rPr>
                <w:rFonts w:asciiTheme="minorHAnsi" w:hAnsiTheme="minorHAnsi"/>
                <w:sz w:val="22"/>
                <w:szCs w:val="22"/>
              </w:rPr>
            </w:pPr>
          </w:p>
          <w:p w14:paraId="7C54A0B8" w14:textId="25C2A831" w:rsidR="00555018" w:rsidRDefault="00555018" w:rsidP="0078382D">
            <w:pPr>
              <w:spacing w:after="120"/>
              <w:rPr>
                <w:rFonts w:asciiTheme="minorHAnsi" w:hAnsiTheme="minorHAnsi"/>
                <w:sz w:val="22"/>
                <w:szCs w:val="22"/>
              </w:rPr>
            </w:pPr>
            <w:r w:rsidRPr="00555018">
              <w:rPr>
                <w:rFonts w:asciiTheme="minorHAnsi" w:hAnsiTheme="minorHAnsi"/>
                <w:sz w:val="22"/>
                <w:szCs w:val="22"/>
              </w:rPr>
              <w:t>The most common issues complained about for DHBs in regard to COVID-19 were:</w:t>
            </w:r>
          </w:p>
          <w:p w14:paraId="55A6AE2D" w14:textId="77777777" w:rsidR="00555018" w:rsidRPr="00555018" w:rsidRDefault="00555018" w:rsidP="0078382D">
            <w:pPr>
              <w:pStyle w:val="ListParagraph"/>
              <w:numPr>
                <w:ilvl w:val="0"/>
                <w:numId w:val="44"/>
              </w:numPr>
              <w:spacing w:after="120"/>
              <w:ind w:left="301" w:hanging="284"/>
              <w:rPr>
                <w:rFonts w:asciiTheme="minorHAnsi" w:hAnsiTheme="minorHAnsi"/>
                <w:sz w:val="22"/>
                <w:szCs w:val="22"/>
              </w:rPr>
            </w:pPr>
            <w:r w:rsidRPr="00555018">
              <w:rPr>
                <w:rFonts w:asciiTheme="minorHAnsi" w:hAnsiTheme="minorHAnsi"/>
                <w:sz w:val="22"/>
                <w:szCs w:val="22"/>
              </w:rPr>
              <w:t>Lack of access to services/delayed treatment (49%)</w:t>
            </w:r>
          </w:p>
          <w:p w14:paraId="7674CD96" w14:textId="77777777" w:rsidR="00555018" w:rsidRPr="00555018" w:rsidRDefault="00555018" w:rsidP="0078382D">
            <w:pPr>
              <w:pStyle w:val="ListParagraph"/>
              <w:numPr>
                <w:ilvl w:val="0"/>
                <w:numId w:val="44"/>
              </w:numPr>
              <w:spacing w:after="120"/>
              <w:ind w:left="300" w:hanging="284"/>
              <w:rPr>
                <w:rFonts w:asciiTheme="minorHAnsi" w:hAnsiTheme="minorHAnsi"/>
                <w:sz w:val="22"/>
                <w:szCs w:val="22"/>
              </w:rPr>
            </w:pPr>
            <w:r w:rsidRPr="00555018">
              <w:rPr>
                <w:rFonts w:asciiTheme="minorHAnsi" w:hAnsiTheme="minorHAnsi"/>
                <w:sz w:val="22"/>
                <w:szCs w:val="22"/>
              </w:rPr>
              <w:t>Policies regarding visitor restrictions/support people (19%)</w:t>
            </w:r>
          </w:p>
          <w:p w14:paraId="79FFDA24" w14:textId="77777777" w:rsidR="00555018" w:rsidRPr="00555018" w:rsidRDefault="00555018" w:rsidP="0078382D">
            <w:pPr>
              <w:pStyle w:val="ListParagraph"/>
              <w:numPr>
                <w:ilvl w:val="0"/>
                <w:numId w:val="44"/>
              </w:numPr>
              <w:spacing w:after="120"/>
              <w:ind w:left="300" w:hanging="284"/>
              <w:rPr>
                <w:rFonts w:asciiTheme="minorHAnsi" w:hAnsiTheme="minorHAnsi"/>
                <w:sz w:val="22"/>
                <w:szCs w:val="22"/>
              </w:rPr>
            </w:pPr>
            <w:r w:rsidRPr="00555018">
              <w:rPr>
                <w:rFonts w:asciiTheme="minorHAnsi" w:hAnsiTheme="minorHAnsi"/>
                <w:sz w:val="22"/>
                <w:szCs w:val="22"/>
              </w:rPr>
              <w:t>Access to testing for COVID-19 (15%)</w:t>
            </w:r>
          </w:p>
          <w:p w14:paraId="67609195" w14:textId="77777777" w:rsidR="00555018" w:rsidRPr="00555018" w:rsidRDefault="00555018" w:rsidP="0078382D">
            <w:pPr>
              <w:pStyle w:val="ListParagraph"/>
              <w:numPr>
                <w:ilvl w:val="0"/>
                <w:numId w:val="44"/>
              </w:numPr>
              <w:spacing w:after="120"/>
              <w:ind w:left="301" w:hanging="284"/>
              <w:rPr>
                <w:rFonts w:asciiTheme="minorHAnsi" w:hAnsiTheme="minorHAnsi"/>
                <w:sz w:val="22"/>
                <w:szCs w:val="22"/>
              </w:rPr>
            </w:pPr>
            <w:r w:rsidRPr="00555018">
              <w:rPr>
                <w:rFonts w:asciiTheme="minorHAnsi" w:hAnsiTheme="minorHAnsi"/>
                <w:sz w:val="22"/>
                <w:szCs w:val="22"/>
              </w:rPr>
              <w:t>Inadequate/failure to follow infection control policies (9%)</w:t>
            </w:r>
          </w:p>
          <w:p w14:paraId="3071E543" w14:textId="77777777" w:rsidR="00555018" w:rsidRDefault="00555018" w:rsidP="00841E1C">
            <w:pPr>
              <w:rPr>
                <w:lang w:bidi="ar-SA"/>
              </w:rPr>
            </w:pPr>
          </w:p>
        </w:tc>
      </w:tr>
    </w:tbl>
    <w:p w14:paraId="6A4EBAF3" w14:textId="77777777" w:rsidR="00636882" w:rsidRDefault="00636882" w:rsidP="00841E1C">
      <w:pPr>
        <w:rPr>
          <w:lang w:eastAsia="en-NZ" w:bidi="ar-SA"/>
        </w:rPr>
      </w:pPr>
    </w:p>
    <w:p w14:paraId="7107E83B" w14:textId="77777777" w:rsidR="00841E1C" w:rsidRDefault="00841E1C" w:rsidP="00841E1C"/>
    <w:p w14:paraId="175A893A" w14:textId="5766A735" w:rsidR="00555018" w:rsidRPr="003D2C86" w:rsidRDefault="00555018" w:rsidP="00555018">
      <w:pPr>
        <w:pStyle w:val="Heading3"/>
        <w:spacing w:after="120"/>
        <w:rPr>
          <w:b/>
          <w:i w:val="0"/>
          <w:sz w:val="28"/>
          <w:szCs w:val="28"/>
        </w:rPr>
      </w:pPr>
      <w:bookmarkStart w:id="70" w:name="_Toc58316490"/>
      <w:r>
        <w:rPr>
          <w:b/>
          <w:i w:val="0"/>
          <w:sz w:val="28"/>
          <w:szCs w:val="28"/>
        </w:rPr>
        <w:lastRenderedPageBreak/>
        <w:t>3.3</w:t>
      </w:r>
      <w:r w:rsidRPr="00666BAC">
        <w:rPr>
          <w:b/>
          <w:i w:val="0"/>
          <w:sz w:val="28"/>
          <w:szCs w:val="28"/>
        </w:rPr>
        <w:tab/>
      </w:r>
      <w:r>
        <w:rPr>
          <w:b/>
          <w:i w:val="0"/>
          <w:sz w:val="28"/>
          <w:szCs w:val="28"/>
        </w:rPr>
        <w:t>Primary issues by service type</w:t>
      </w:r>
      <w:bookmarkEnd w:id="70"/>
      <w:r w:rsidRPr="00666BAC">
        <w:rPr>
          <w:b/>
          <w:i w:val="0"/>
          <w:sz w:val="28"/>
          <w:szCs w:val="28"/>
        </w:rPr>
        <w:t xml:space="preserve"> </w:t>
      </w:r>
    </w:p>
    <w:p w14:paraId="07A7DBA4" w14:textId="77777777" w:rsidR="00CF6D9B" w:rsidRDefault="00CF6D9B" w:rsidP="00CF6D9B">
      <w:pPr>
        <w:keepNext/>
        <w:keepLines/>
        <w:spacing w:after="240"/>
      </w:pPr>
      <w:r>
        <w:t>Table 10</w:t>
      </w:r>
      <w:r w:rsidR="00841E1C">
        <w:t xml:space="preserve"> shows the top three primary issues in complaints concerning the most commonly complained about service types. </w:t>
      </w:r>
    </w:p>
    <w:p w14:paraId="29241091" w14:textId="002C6535" w:rsidR="00281A03" w:rsidRDefault="00841E1C" w:rsidP="0078382D">
      <w:pPr>
        <w:keepNext/>
        <w:keepLines/>
        <w:spacing w:after="600"/>
      </w:pPr>
      <w:r>
        <w:t xml:space="preserve">This is broadly similar to what was seen in </w:t>
      </w:r>
      <w:r w:rsidR="002111FB">
        <w:t>previous periods. However, lack of access to services became more prominent for surgical, mental health</w:t>
      </w:r>
      <w:r w:rsidR="00357609">
        <w:t>,</w:t>
      </w:r>
      <w:r w:rsidR="002111FB">
        <w:t xml:space="preserve"> and medicine services in Jan–Jun 20</w:t>
      </w:r>
      <w:r w:rsidR="00357609">
        <w:t>20</w:t>
      </w:r>
      <w:r w:rsidR="002111FB">
        <w:t xml:space="preserve">. As noted above, this may be due, in part, to COVID-19 restrictions </w:t>
      </w:r>
      <w:r w:rsidR="009D66A9">
        <w:t xml:space="preserve">affecting </w:t>
      </w:r>
      <w:r w:rsidR="002111FB">
        <w:t>the availability of some services.</w:t>
      </w:r>
    </w:p>
    <w:p w14:paraId="48126C9A" w14:textId="010DE30B" w:rsidR="00281A03" w:rsidRDefault="0086165A" w:rsidP="007C19CB">
      <w:pPr>
        <w:keepNext/>
        <w:keepLines/>
        <w:spacing w:after="240"/>
        <w:rPr>
          <w:szCs w:val="22"/>
        </w:rPr>
      </w:pPr>
      <w:r>
        <w:rPr>
          <w:b/>
          <w:szCs w:val="22"/>
        </w:rPr>
        <w:t>Table 10</w:t>
      </w:r>
      <w:r w:rsidR="00841E1C">
        <w:rPr>
          <w:b/>
          <w:szCs w:val="22"/>
        </w:rPr>
        <w:t xml:space="preserve">. </w:t>
      </w:r>
      <w:r w:rsidR="00841E1C">
        <w:rPr>
          <w:szCs w:val="22"/>
        </w:rPr>
        <w:t>Three most common primary issues in complaints by service typ</w:t>
      </w:r>
      <w:r w:rsidR="00091893">
        <w:rPr>
          <w:szCs w:val="22"/>
        </w:rPr>
        <w:t>e</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562"/>
        <w:gridCol w:w="1625"/>
        <w:gridCol w:w="562"/>
        <w:gridCol w:w="1630"/>
        <w:gridCol w:w="562"/>
        <w:gridCol w:w="1676"/>
        <w:gridCol w:w="678"/>
      </w:tblGrid>
      <w:tr w:rsidR="00281A03" w14:paraId="0285771B" w14:textId="77777777" w:rsidTr="0078382D">
        <w:tc>
          <w:tcPr>
            <w:tcW w:w="1228" w:type="pct"/>
            <w:gridSpan w:val="2"/>
            <w:tcBorders>
              <w:top w:val="single" w:sz="4" w:space="0" w:color="auto"/>
              <w:left w:val="single" w:sz="4" w:space="0" w:color="auto"/>
              <w:bottom w:val="single" w:sz="4" w:space="0" w:color="auto"/>
              <w:right w:val="single" w:sz="4" w:space="0" w:color="auto"/>
            </w:tcBorders>
            <w:shd w:val="clear" w:color="auto" w:fill="C00000"/>
            <w:hideMark/>
          </w:tcPr>
          <w:p w14:paraId="697AC8C6" w14:textId="77777777" w:rsidR="00281A03" w:rsidRPr="00E30917" w:rsidRDefault="00281A03" w:rsidP="00281A03">
            <w:pPr>
              <w:keepNext/>
              <w:keepLines/>
              <w:tabs>
                <w:tab w:val="left" w:pos="1440"/>
                <w:tab w:val="decimal" w:pos="4320"/>
              </w:tabs>
              <w:ind w:firstLine="152"/>
              <w:jc w:val="center"/>
              <w:outlineLvl w:val="0"/>
              <w:rPr>
                <w:rFonts w:ascii="Calibri" w:hAnsi="Calibri"/>
                <w:b/>
                <w:sz w:val="20"/>
                <w:szCs w:val="20"/>
              </w:rPr>
            </w:pPr>
            <w:r w:rsidRPr="00E30917">
              <w:rPr>
                <w:rFonts w:ascii="Calibri" w:hAnsi="Calibri"/>
                <w:b/>
                <w:sz w:val="20"/>
                <w:szCs w:val="20"/>
              </w:rPr>
              <w:t>Surgery</w:t>
            </w:r>
          </w:p>
          <w:p w14:paraId="26755495" w14:textId="41ABEF0E" w:rsidR="00281A03" w:rsidRPr="00E30917" w:rsidRDefault="002111FB" w:rsidP="00281A03">
            <w:pPr>
              <w:keepNext/>
              <w:keepLines/>
              <w:tabs>
                <w:tab w:val="left" w:pos="1440"/>
                <w:tab w:val="decimal" w:pos="4320"/>
              </w:tabs>
              <w:ind w:left="139" w:right="10" w:firstLine="13"/>
              <w:jc w:val="center"/>
              <w:outlineLvl w:val="0"/>
              <w:rPr>
                <w:rFonts w:ascii="Calibri" w:hAnsi="Calibri"/>
                <w:b/>
                <w:sz w:val="20"/>
                <w:szCs w:val="20"/>
              </w:rPr>
            </w:pPr>
            <w:r>
              <w:rPr>
                <w:rFonts w:ascii="Calibri" w:hAnsi="Calibri"/>
                <w:b/>
                <w:sz w:val="20"/>
                <w:szCs w:val="20"/>
              </w:rPr>
              <w:t>n=126</w:t>
            </w:r>
          </w:p>
        </w:tc>
        <w:tc>
          <w:tcPr>
            <w:tcW w:w="1225" w:type="pct"/>
            <w:gridSpan w:val="2"/>
            <w:tcBorders>
              <w:top w:val="single" w:sz="4" w:space="0" w:color="auto"/>
              <w:left w:val="single" w:sz="4" w:space="0" w:color="auto"/>
              <w:bottom w:val="single" w:sz="4" w:space="0" w:color="auto"/>
              <w:right w:val="single" w:sz="4" w:space="0" w:color="auto"/>
            </w:tcBorders>
            <w:shd w:val="clear" w:color="auto" w:fill="C00000"/>
            <w:hideMark/>
          </w:tcPr>
          <w:p w14:paraId="7E3AAD3E" w14:textId="77777777" w:rsidR="00281A03" w:rsidRPr="00E30917" w:rsidRDefault="00281A03" w:rsidP="00281A03">
            <w:pPr>
              <w:keepNext/>
              <w:keepLines/>
              <w:tabs>
                <w:tab w:val="left" w:pos="1440"/>
                <w:tab w:val="decimal" w:pos="4320"/>
              </w:tabs>
              <w:ind w:firstLine="152"/>
              <w:jc w:val="center"/>
              <w:outlineLvl w:val="0"/>
              <w:rPr>
                <w:rFonts w:ascii="Calibri" w:hAnsi="Calibri"/>
                <w:b/>
                <w:sz w:val="20"/>
                <w:szCs w:val="20"/>
              </w:rPr>
            </w:pPr>
            <w:r w:rsidRPr="00E30917">
              <w:rPr>
                <w:rFonts w:ascii="Calibri" w:hAnsi="Calibri"/>
                <w:b/>
                <w:sz w:val="20"/>
                <w:szCs w:val="20"/>
              </w:rPr>
              <w:t>Mental health</w:t>
            </w:r>
          </w:p>
          <w:p w14:paraId="2C1530EA" w14:textId="4E0BC755" w:rsidR="00281A03" w:rsidRPr="00E30917" w:rsidRDefault="00281A03" w:rsidP="00281A03">
            <w:pPr>
              <w:keepNext/>
              <w:keepLines/>
              <w:tabs>
                <w:tab w:val="left" w:pos="1440"/>
                <w:tab w:val="decimal" w:pos="4320"/>
              </w:tabs>
              <w:ind w:left="139" w:right="10" w:firstLine="13"/>
              <w:jc w:val="center"/>
              <w:outlineLvl w:val="0"/>
              <w:rPr>
                <w:rFonts w:ascii="Calibri" w:hAnsi="Calibri"/>
                <w:b/>
                <w:sz w:val="20"/>
                <w:szCs w:val="20"/>
              </w:rPr>
            </w:pPr>
            <w:r w:rsidRPr="00E30917">
              <w:rPr>
                <w:rFonts w:ascii="Calibri" w:hAnsi="Calibri"/>
                <w:b/>
                <w:sz w:val="20"/>
                <w:szCs w:val="20"/>
              </w:rPr>
              <w:t>n=</w:t>
            </w:r>
            <w:r w:rsidR="006227F6">
              <w:rPr>
                <w:rFonts w:ascii="Calibri" w:hAnsi="Calibri"/>
                <w:b/>
                <w:sz w:val="20"/>
                <w:szCs w:val="20"/>
              </w:rPr>
              <w:t>89</w:t>
            </w:r>
          </w:p>
        </w:tc>
        <w:tc>
          <w:tcPr>
            <w:tcW w:w="1228" w:type="pct"/>
            <w:gridSpan w:val="2"/>
            <w:tcBorders>
              <w:top w:val="single" w:sz="4" w:space="0" w:color="auto"/>
              <w:left w:val="single" w:sz="4" w:space="0" w:color="auto"/>
              <w:bottom w:val="single" w:sz="4" w:space="0" w:color="auto"/>
              <w:right w:val="single" w:sz="4" w:space="0" w:color="auto"/>
            </w:tcBorders>
            <w:shd w:val="clear" w:color="auto" w:fill="C00000"/>
            <w:hideMark/>
          </w:tcPr>
          <w:p w14:paraId="4402518E" w14:textId="77777777" w:rsidR="00281A03" w:rsidRPr="00E30917" w:rsidRDefault="00281A03" w:rsidP="00281A03">
            <w:pPr>
              <w:keepNext/>
              <w:keepLines/>
              <w:tabs>
                <w:tab w:val="left" w:pos="1440"/>
                <w:tab w:val="decimal" w:pos="4320"/>
              </w:tabs>
              <w:ind w:firstLine="152"/>
              <w:jc w:val="center"/>
              <w:outlineLvl w:val="0"/>
              <w:rPr>
                <w:rFonts w:ascii="Calibri" w:hAnsi="Calibri"/>
                <w:b/>
                <w:sz w:val="20"/>
                <w:szCs w:val="20"/>
              </w:rPr>
            </w:pPr>
            <w:r w:rsidRPr="00E30917">
              <w:rPr>
                <w:rFonts w:ascii="Calibri" w:hAnsi="Calibri"/>
                <w:b/>
                <w:sz w:val="20"/>
                <w:szCs w:val="20"/>
              </w:rPr>
              <w:t>Medicine</w:t>
            </w:r>
          </w:p>
          <w:p w14:paraId="27FF988B" w14:textId="0A564ECB" w:rsidR="00281A03" w:rsidRPr="00E30917" w:rsidRDefault="00281A03" w:rsidP="00281A03">
            <w:pPr>
              <w:keepNext/>
              <w:keepLines/>
              <w:tabs>
                <w:tab w:val="left" w:pos="1440"/>
                <w:tab w:val="decimal" w:pos="4320"/>
              </w:tabs>
              <w:ind w:left="139" w:right="10" w:firstLine="13"/>
              <w:jc w:val="center"/>
              <w:outlineLvl w:val="0"/>
              <w:rPr>
                <w:rFonts w:ascii="Calibri" w:hAnsi="Calibri"/>
                <w:b/>
                <w:sz w:val="20"/>
                <w:szCs w:val="20"/>
              </w:rPr>
            </w:pPr>
            <w:r w:rsidRPr="00E30917">
              <w:rPr>
                <w:rFonts w:ascii="Calibri" w:hAnsi="Calibri"/>
                <w:b/>
                <w:sz w:val="20"/>
                <w:szCs w:val="20"/>
              </w:rPr>
              <w:t>n=</w:t>
            </w:r>
            <w:r w:rsidR="006227F6">
              <w:rPr>
                <w:rFonts w:ascii="Calibri" w:hAnsi="Calibri"/>
                <w:b/>
                <w:sz w:val="20"/>
                <w:szCs w:val="20"/>
              </w:rPr>
              <w:t>73</w:t>
            </w:r>
          </w:p>
        </w:tc>
        <w:tc>
          <w:tcPr>
            <w:tcW w:w="1320" w:type="pct"/>
            <w:gridSpan w:val="2"/>
            <w:tcBorders>
              <w:top w:val="single" w:sz="4" w:space="0" w:color="auto"/>
              <w:left w:val="single" w:sz="4" w:space="0" w:color="auto"/>
              <w:bottom w:val="single" w:sz="4" w:space="0" w:color="auto"/>
              <w:right w:val="single" w:sz="4" w:space="0" w:color="auto"/>
            </w:tcBorders>
            <w:shd w:val="clear" w:color="auto" w:fill="C00000"/>
            <w:hideMark/>
          </w:tcPr>
          <w:p w14:paraId="138BCBD0" w14:textId="77777777" w:rsidR="00281A03" w:rsidRPr="00E30917" w:rsidRDefault="00281A03" w:rsidP="00281A03">
            <w:pPr>
              <w:keepNext/>
              <w:keepLines/>
              <w:tabs>
                <w:tab w:val="left" w:pos="1440"/>
                <w:tab w:val="decimal" w:pos="4320"/>
              </w:tabs>
              <w:ind w:firstLine="152"/>
              <w:jc w:val="center"/>
              <w:outlineLvl w:val="0"/>
              <w:rPr>
                <w:rFonts w:ascii="Calibri" w:hAnsi="Calibri"/>
                <w:b/>
                <w:sz w:val="20"/>
                <w:szCs w:val="20"/>
              </w:rPr>
            </w:pPr>
            <w:r w:rsidRPr="00E30917">
              <w:rPr>
                <w:rFonts w:ascii="Calibri" w:hAnsi="Calibri"/>
                <w:b/>
                <w:sz w:val="20"/>
                <w:szCs w:val="20"/>
              </w:rPr>
              <w:t>Emergency department</w:t>
            </w:r>
          </w:p>
          <w:p w14:paraId="7516B0B1" w14:textId="09DBD4FE" w:rsidR="00281A03" w:rsidRPr="00E30917" w:rsidRDefault="006227F6" w:rsidP="00281A03">
            <w:pPr>
              <w:jc w:val="center"/>
              <w:rPr>
                <w:rFonts w:ascii="Calibri" w:hAnsi="Calibri"/>
                <w:b/>
                <w:sz w:val="20"/>
                <w:szCs w:val="20"/>
              </w:rPr>
            </w:pPr>
            <w:r>
              <w:rPr>
                <w:rFonts w:ascii="Calibri" w:hAnsi="Calibri"/>
                <w:b/>
                <w:sz w:val="20"/>
                <w:szCs w:val="20"/>
              </w:rPr>
              <w:t>n=43</w:t>
            </w:r>
          </w:p>
        </w:tc>
      </w:tr>
      <w:tr w:rsidR="00281A03" w14:paraId="0F4F0175" w14:textId="77777777" w:rsidTr="0078382D">
        <w:trPr>
          <w:trHeight w:val="450"/>
        </w:trPr>
        <w:tc>
          <w:tcPr>
            <w:tcW w:w="913" w:type="pct"/>
            <w:tcBorders>
              <w:top w:val="single" w:sz="4" w:space="0" w:color="auto"/>
              <w:left w:val="single" w:sz="4" w:space="0" w:color="auto"/>
              <w:bottom w:val="single" w:sz="4" w:space="0" w:color="auto"/>
              <w:right w:val="single" w:sz="4" w:space="0" w:color="auto"/>
            </w:tcBorders>
            <w:vAlign w:val="center"/>
            <w:hideMark/>
          </w:tcPr>
          <w:p w14:paraId="55370393" w14:textId="77777777" w:rsidR="00281A03" w:rsidRDefault="00281A03" w:rsidP="00281A03">
            <w:pPr>
              <w:keepNext/>
              <w:keepLines/>
              <w:tabs>
                <w:tab w:val="left" w:pos="1440"/>
                <w:tab w:val="decimal" w:pos="4320"/>
              </w:tabs>
              <w:jc w:val="left"/>
              <w:outlineLvl w:val="0"/>
              <w:rPr>
                <w:rFonts w:ascii="Calibri" w:hAnsi="Calibri"/>
                <w:sz w:val="20"/>
                <w:szCs w:val="20"/>
              </w:rPr>
            </w:pPr>
            <w:r>
              <w:rPr>
                <w:rFonts w:ascii="Calibri" w:hAnsi="Calibri"/>
                <w:sz w:val="20"/>
                <w:szCs w:val="20"/>
              </w:rPr>
              <w:t>Unexpected treatment outcome</w:t>
            </w:r>
          </w:p>
        </w:tc>
        <w:tc>
          <w:tcPr>
            <w:tcW w:w="315" w:type="pct"/>
            <w:tcBorders>
              <w:top w:val="single" w:sz="4" w:space="0" w:color="auto"/>
              <w:left w:val="single" w:sz="4" w:space="0" w:color="auto"/>
              <w:bottom w:val="single" w:sz="4" w:space="0" w:color="auto"/>
              <w:right w:val="single" w:sz="4" w:space="0" w:color="auto"/>
            </w:tcBorders>
            <w:vAlign w:val="center"/>
            <w:hideMark/>
          </w:tcPr>
          <w:p w14:paraId="3A910428" w14:textId="164D6189" w:rsidR="00281A03" w:rsidRDefault="002111FB" w:rsidP="00281A03">
            <w:pPr>
              <w:keepNext/>
              <w:keepLines/>
              <w:tabs>
                <w:tab w:val="left" w:pos="1440"/>
                <w:tab w:val="decimal" w:pos="4320"/>
              </w:tabs>
              <w:jc w:val="center"/>
              <w:outlineLvl w:val="0"/>
              <w:rPr>
                <w:rFonts w:ascii="Calibri" w:hAnsi="Calibri"/>
                <w:sz w:val="20"/>
                <w:szCs w:val="20"/>
              </w:rPr>
            </w:pPr>
            <w:r>
              <w:rPr>
                <w:rFonts w:ascii="Calibri" w:hAnsi="Calibri"/>
                <w:sz w:val="20"/>
                <w:szCs w:val="20"/>
              </w:rPr>
              <w:t>20</w:t>
            </w:r>
            <w:r w:rsidR="00281A03">
              <w:rPr>
                <w:rFonts w:ascii="Calibri" w:hAnsi="Calibri"/>
                <w:sz w:val="20"/>
                <w:szCs w:val="20"/>
              </w:rPr>
              <w:t>%</w:t>
            </w:r>
          </w:p>
        </w:tc>
        <w:tc>
          <w:tcPr>
            <w:tcW w:w="910" w:type="pct"/>
            <w:tcBorders>
              <w:top w:val="single" w:sz="4" w:space="0" w:color="auto"/>
              <w:left w:val="single" w:sz="4" w:space="0" w:color="auto"/>
              <w:bottom w:val="single" w:sz="4" w:space="0" w:color="auto"/>
              <w:right w:val="single" w:sz="4" w:space="0" w:color="auto"/>
            </w:tcBorders>
            <w:vAlign w:val="center"/>
          </w:tcPr>
          <w:p w14:paraId="685956A2" w14:textId="77777777" w:rsidR="00281A03" w:rsidRDefault="00281A03" w:rsidP="00281A03">
            <w:pPr>
              <w:keepNext/>
              <w:keepLines/>
              <w:tabs>
                <w:tab w:val="left" w:pos="1440"/>
                <w:tab w:val="decimal" w:pos="4320"/>
              </w:tabs>
              <w:jc w:val="left"/>
              <w:outlineLvl w:val="0"/>
              <w:rPr>
                <w:rFonts w:ascii="Calibri" w:hAnsi="Calibri"/>
                <w:sz w:val="20"/>
                <w:szCs w:val="20"/>
              </w:rPr>
            </w:pPr>
            <w:r>
              <w:rPr>
                <w:rFonts w:ascii="Calibri" w:hAnsi="Calibri"/>
                <w:sz w:val="20"/>
                <w:szCs w:val="20"/>
              </w:rPr>
              <w:t>Issues with involuntary admission/</w:t>
            </w:r>
          </w:p>
          <w:p w14:paraId="465D7877" w14:textId="0EBDE5CB" w:rsidR="00281A03" w:rsidRDefault="00F43282" w:rsidP="00281A03">
            <w:pPr>
              <w:keepNext/>
              <w:keepLines/>
              <w:tabs>
                <w:tab w:val="left" w:pos="1440"/>
                <w:tab w:val="decimal" w:pos="4320"/>
              </w:tabs>
              <w:jc w:val="left"/>
              <w:outlineLvl w:val="0"/>
              <w:rPr>
                <w:rFonts w:ascii="Calibri" w:hAnsi="Calibri"/>
                <w:sz w:val="20"/>
                <w:szCs w:val="20"/>
              </w:rPr>
            </w:pPr>
            <w:r>
              <w:rPr>
                <w:rFonts w:ascii="Calibri" w:hAnsi="Calibri"/>
                <w:sz w:val="20"/>
                <w:szCs w:val="20"/>
              </w:rPr>
              <w:t>t</w:t>
            </w:r>
            <w:r w:rsidR="00281A03">
              <w:rPr>
                <w:rFonts w:ascii="Calibri" w:hAnsi="Calibri"/>
                <w:sz w:val="20"/>
                <w:szCs w:val="20"/>
              </w:rPr>
              <w:t>reatment</w:t>
            </w:r>
          </w:p>
        </w:tc>
        <w:tc>
          <w:tcPr>
            <w:tcW w:w="315" w:type="pct"/>
            <w:tcBorders>
              <w:top w:val="single" w:sz="4" w:space="0" w:color="auto"/>
              <w:left w:val="single" w:sz="4" w:space="0" w:color="auto"/>
              <w:bottom w:val="single" w:sz="4" w:space="0" w:color="auto"/>
              <w:right w:val="single" w:sz="4" w:space="0" w:color="auto"/>
            </w:tcBorders>
            <w:vAlign w:val="center"/>
          </w:tcPr>
          <w:p w14:paraId="0AE3517D" w14:textId="1FEBFE18" w:rsidR="00281A03" w:rsidRDefault="00F43282" w:rsidP="00281A03">
            <w:pPr>
              <w:keepNext/>
              <w:keepLines/>
              <w:tabs>
                <w:tab w:val="left" w:pos="1440"/>
                <w:tab w:val="decimal" w:pos="4320"/>
              </w:tabs>
              <w:jc w:val="center"/>
              <w:outlineLvl w:val="0"/>
              <w:rPr>
                <w:rFonts w:ascii="Calibri" w:hAnsi="Calibri"/>
                <w:sz w:val="20"/>
                <w:szCs w:val="20"/>
              </w:rPr>
            </w:pPr>
            <w:r>
              <w:rPr>
                <w:rFonts w:ascii="Calibri" w:hAnsi="Calibri"/>
                <w:sz w:val="20"/>
                <w:szCs w:val="20"/>
              </w:rPr>
              <w:t>17</w:t>
            </w:r>
            <w:r w:rsidR="00281A03">
              <w:rPr>
                <w:rFonts w:ascii="Calibri" w:hAnsi="Calibri"/>
                <w:sz w:val="20"/>
                <w:szCs w:val="20"/>
              </w:rPr>
              <w:t>%</w:t>
            </w:r>
          </w:p>
        </w:tc>
        <w:tc>
          <w:tcPr>
            <w:tcW w:w="913" w:type="pct"/>
            <w:tcBorders>
              <w:top w:val="single" w:sz="4" w:space="0" w:color="auto"/>
              <w:left w:val="single" w:sz="4" w:space="0" w:color="auto"/>
              <w:bottom w:val="single" w:sz="4" w:space="0" w:color="auto"/>
              <w:right w:val="single" w:sz="4" w:space="0" w:color="auto"/>
            </w:tcBorders>
            <w:vAlign w:val="center"/>
          </w:tcPr>
          <w:p w14:paraId="4DB9DD3C" w14:textId="77777777" w:rsidR="00281A03" w:rsidRDefault="00281A03" w:rsidP="00281A03">
            <w:pPr>
              <w:keepNext/>
              <w:keepLines/>
              <w:tabs>
                <w:tab w:val="left" w:pos="1440"/>
                <w:tab w:val="decimal" w:pos="4320"/>
              </w:tabs>
              <w:jc w:val="left"/>
              <w:outlineLvl w:val="0"/>
              <w:rPr>
                <w:rFonts w:ascii="Calibri" w:hAnsi="Calibri"/>
                <w:sz w:val="20"/>
                <w:szCs w:val="20"/>
              </w:rPr>
            </w:pPr>
            <w:r>
              <w:rPr>
                <w:rFonts w:ascii="Calibri" w:hAnsi="Calibri"/>
                <w:sz w:val="20"/>
                <w:szCs w:val="20"/>
              </w:rPr>
              <w:t>Missed/</w:t>
            </w:r>
          </w:p>
          <w:p w14:paraId="6E6922CE" w14:textId="77777777" w:rsidR="00281A03" w:rsidRDefault="00281A03" w:rsidP="00281A03">
            <w:pPr>
              <w:keepNext/>
              <w:keepLines/>
              <w:tabs>
                <w:tab w:val="left" w:pos="1440"/>
                <w:tab w:val="decimal" w:pos="4320"/>
              </w:tabs>
              <w:jc w:val="left"/>
              <w:outlineLvl w:val="0"/>
              <w:rPr>
                <w:rFonts w:ascii="Calibri" w:hAnsi="Calibri"/>
                <w:sz w:val="20"/>
                <w:szCs w:val="20"/>
              </w:rPr>
            </w:pPr>
            <w:r>
              <w:rPr>
                <w:rFonts w:ascii="Calibri" w:hAnsi="Calibri"/>
                <w:sz w:val="20"/>
                <w:szCs w:val="20"/>
              </w:rPr>
              <w:t>incorrect/</w:t>
            </w:r>
          </w:p>
          <w:p w14:paraId="52693B23" w14:textId="77777777" w:rsidR="00281A03" w:rsidRDefault="00281A03" w:rsidP="00281A03">
            <w:pPr>
              <w:keepNext/>
              <w:keepLines/>
              <w:tabs>
                <w:tab w:val="left" w:pos="1440"/>
                <w:tab w:val="decimal" w:pos="4320"/>
              </w:tabs>
              <w:jc w:val="left"/>
              <w:outlineLvl w:val="0"/>
              <w:rPr>
                <w:rFonts w:ascii="Calibri" w:hAnsi="Calibri"/>
                <w:sz w:val="20"/>
                <w:szCs w:val="20"/>
              </w:rPr>
            </w:pPr>
            <w:r>
              <w:rPr>
                <w:rFonts w:ascii="Calibri" w:hAnsi="Calibri"/>
                <w:sz w:val="20"/>
                <w:szCs w:val="20"/>
              </w:rPr>
              <w:t>delayed diagnosis</w:t>
            </w:r>
          </w:p>
        </w:tc>
        <w:tc>
          <w:tcPr>
            <w:tcW w:w="315" w:type="pct"/>
            <w:tcBorders>
              <w:top w:val="single" w:sz="4" w:space="0" w:color="auto"/>
              <w:left w:val="single" w:sz="4" w:space="0" w:color="auto"/>
              <w:bottom w:val="single" w:sz="4" w:space="0" w:color="auto"/>
              <w:right w:val="single" w:sz="4" w:space="0" w:color="auto"/>
            </w:tcBorders>
            <w:vAlign w:val="center"/>
          </w:tcPr>
          <w:p w14:paraId="2A0E82C3" w14:textId="52277846" w:rsidR="00281A03" w:rsidRDefault="00F43282" w:rsidP="00281A03">
            <w:pPr>
              <w:keepNext/>
              <w:keepLines/>
              <w:tabs>
                <w:tab w:val="left" w:pos="1440"/>
                <w:tab w:val="decimal" w:pos="4320"/>
              </w:tabs>
              <w:jc w:val="center"/>
              <w:outlineLvl w:val="0"/>
              <w:rPr>
                <w:rFonts w:ascii="Calibri" w:hAnsi="Calibri"/>
                <w:sz w:val="20"/>
                <w:szCs w:val="20"/>
              </w:rPr>
            </w:pPr>
            <w:r>
              <w:rPr>
                <w:rFonts w:ascii="Calibri" w:hAnsi="Calibri"/>
                <w:sz w:val="20"/>
                <w:szCs w:val="20"/>
              </w:rPr>
              <w:t>21</w:t>
            </w:r>
            <w:r w:rsidR="00281A03">
              <w:rPr>
                <w:rFonts w:ascii="Calibri" w:hAnsi="Calibri"/>
                <w:sz w:val="20"/>
                <w:szCs w:val="20"/>
              </w:rPr>
              <w:t>%</w:t>
            </w:r>
          </w:p>
        </w:tc>
        <w:tc>
          <w:tcPr>
            <w:tcW w:w="939" w:type="pct"/>
            <w:tcBorders>
              <w:top w:val="single" w:sz="4" w:space="0" w:color="auto"/>
              <w:left w:val="single" w:sz="4" w:space="0" w:color="auto"/>
              <w:bottom w:val="single" w:sz="4" w:space="0" w:color="auto"/>
              <w:right w:val="single" w:sz="4" w:space="0" w:color="auto"/>
            </w:tcBorders>
            <w:vAlign w:val="center"/>
          </w:tcPr>
          <w:p w14:paraId="09BB2C8A" w14:textId="77777777" w:rsidR="00281A03" w:rsidRDefault="00281A03" w:rsidP="00281A03">
            <w:pPr>
              <w:keepNext/>
              <w:keepLines/>
              <w:tabs>
                <w:tab w:val="left" w:pos="1440"/>
                <w:tab w:val="decimal" w:pos="4320"/>
              </w:tabs>
              <w:jc w:val="left"/>
              <w:outlineLvl w:val="0"/>
              <w:rPr>
                <w:rFonts w:ascii="Calibri" w:hAnsi="Calibri"/>
                <w:sz w:val="20"/>
                <w:szCs w:val="20"/>
              </w:rPr>
            </w:pPr>
            <w:r>
              <w:rPr>
                <w:rFonts w:ascii="Calibri" w:hAnsi="Calibri"/>
                <w:sz w:val="20"/>
                <w:szCs w:val="20"/>
              </w:rPr>
              <w:t>Missed/</w:t>
            </w:r>
          </w:p>
          <w:p w14:paraId="6CA8585C" w14:textId="77777777" w:rsidR="00281A03" w:rsidRDefault="00281A03" w:rsidP="00281A03">
            <w:pPr>
              <w:keepNext/>
              <w:keepLines/>
              <w:tabs>
                <w:tab w:val="left" w:pos="1440"/>
                <w:tab w:val="decimal" w:pos="4320"/>
              </w:tabs>
              <w:jc w:val="left"/>
              <w:outlineLvl w:val="0"/>
              <w:rPr>
                <w:rFonts w:ascii="Calibri" w:hAnsi="Calibri"/>
                <w:sz w:val="20"/>
                <w:szCs w:val="20"/>
              </w:rPr>
            </w:pPr>
            <w:r>
              <w:rPr>
                <w:rFonts w:ascii="Calibri" w:hAnsi="Calibri"/>
                <w:sz w:val="20"/>
                <w:szCs w:val="20"/>
              </w:rPr>
              <w:t>incorrect/</w:t>
            </w:r>
          </w:p>
          <w:p w14:paraId="1152C466" w14:textId="77777777" w:rsidR="00281A03" w:rsidRDefault="00281A03" w:rsidP="00281A03">
            <w:pPr>
              <w:keepNext/>
              <w:keepLines/>
              <w:tabs>
                <w:tab w:val="left" w:pos="1440"/>
                <w:tab w:val="decimal" w:pos="4320"/>
              </w:tabs>
              <w:jc w:val="left"/>
              <w:outlineLvl w:val="0"/>
              <w:rPr>
                <w:rFonts w:ascii="Calibri" w:hAnsi="Calibri"/>
                <w:sz w:val="20"/>
                <w:szCs w:val="20"/>
              </w:rPr>
            </w:pPr>
            <w:r>
              <w:rPr>
                <w:rFonts w:ascii="Calibri" w:hAnsi="Calibri"/>
                <w:sz w:val="20"/>
                <w:szCs w:val="20"/>
              </w:rPr>
              <w:t>delayed diagnosis</w:t>
            </w:r>
          </w:p>
        </w:tc>
        <w:tc>
          <w:tcPr>
            <w:tcW w:w="380" w:type="pct"/>
            <w:tcBorders>
              <w:top w:val="single" w:sz="4" w:space="0" w:color="auto"/>
              <w:left w:val="single" w:sz="4" w:space="0" w:color="auto"/>
              <w:bottom w:val="single" w:sz="4" w:space="0" w:color="auto"/>
              <w:right w:val="single" w:sz="4" w:space="0" w:color="auto"/>
            </w:tcBorders>
            <w:vAlign w:val="center"/>
          </w:tcPr>
          <w:p w14:paraId="2F454403" w14:textId="7DC3B3F8" w:rsidR="00281A03" w:rsidRDefault="00F43282" w:rsidP="00281A03">
            <w:pPr>
              <w:keepNext/>
              <w:keepLines/>
              <w:tabs>
                <w:tab w:val="left" w:pos="1440"/>
                <w:tab w:val="decimal" w:pos="4320"/>
              </w:tabs>
              <w:jc w:val="center"/>
              <w:outlineLvl w:val="0"/>
              <w:rPr>
                <w:rFonts w:ascii="Calibri" w:hAnsi="Calibri"/>
                <w:sz w:val="20"/>
                <w:szCs w:val="20"/>
              </w:rPr>
            </w:pPr>
            <w:r>
              <w:rPr>
                <w:rFonts w:ascii="Calibri" w:hAnsi="Calibri"/>
                <w:sz w:val="20"/>
                <w:szCs w:val="20"/>
              </w:rPr>
              <w:t>24</w:t>
            </w:r>
            <w:r w:rsidR="00281A03">
              <w:rPr>
                <w:rFonts w:ascii="Calibri" w:hAnsi="Calibri"/>
                <w:sz w:val="20"/>
                <w:szCs w:val="20"/>
              </w:rPr>
              <w:t>%</w:t>
            </w:r>
          </w:p>
        </w:tc>
      </w:tr>
      <w:tr w:rsidR="00F43282" w14:paraId="63CB8F1C" w14:textId="77777777" w:rsidTr="0078382D">
        <w:trPr>
          <w:trHeight w:val="400"/>
        </w:trPr>
        <w:tc>
          <w:tcPr>
            <w:tcW w:w="913" w:type="pct"/>
            <w:tcBorders>
              <w:top w:val="single" w:sz="4" w:space="0" w:color="auto"/>
              <w:left w:val="single" w:sz="4" w:space="0" w:color="auto"/>
              <w:bottom w:val="single" w:sz="4" w:space="0" w:color="auto"/>
              <w:right w:val="single" w:sz="4" w:space="0" w:color="auto"/>
            </w:tcBorders>
            <w:vAlign w:val="center"/>
            <w:hideMark/>
          </w:tcPr>
          <w:p w14:paraId="0A0AE2FB" w14:textId="0820C32D" w:rsidR="00F43282" w:rsidRDefault="002111FB" w:rsidP="00F43282">
            <w:pPr>
              <w:keepNext/>
              <w:keepLines/>
              <w:tabs>
                <w:tab w:val="left" w:pos="1440"/>
                <w:tab w:val="decimal" w:pos="4320"/>
              </w:tabs>
              <w:jc w:val="left"/>
              <w:outlineLvl w:val="0"/>
              <w:rPr>
                <w:rFonts w:ascii="Calibri" w:hAnsi="Calibri"/>
                <w:sz w:val="20"/>
                <w:szCs w:val="20"/>
              </w:rPr>
            </w:pPr>
            <w:r>
              <w:rPr>
                <w:rFonts w:ascii="Calibri" w:hAnsi="Calibri"/>
                <w:sz w:val="20"/>
                <w:szCs w:val="20"/>
              </w:rPr>
              <w:t>Lack of access to services</w:t>
            </w:r>
          </w:p>
        </w:tc>
        <w:tc>
          <w:tcPr>
            <w:tcW w:w="315" w:type="pct"/>
            <w:tcBorders>
              <w:top w:val="single" w:sz="4" w:space="0" w:color="auto"/>
              <w:left w:val="single" w:sz="4" w:space="0" w:color="auto"/>
              <w:bottom w:val="single" w:sz="4" w:space="0" w:color="auto"/>
              <w:right w:val="single" w:sz="4" w:space="0" w:color="auto"/>
            </w:tcBorders>
            <w:vAlign w:val="center"/>
            <w:hideMark/>
          </w:tcPr>
          <w:p w14:paraId="5EB261AB" w14:textId="5CF11FF1" w:rsidR="00F43282" w:rsidRDefault="002111FB" w:rsidP="00F43282">
            <w:pPr>
              <w:keepNext/>
              <w:keepLines/>
              <w:tabs>
                <w:tab w:val="left" w:pos="1440"/>
                <w:tab w:val="decimal" w:pos="4320"/>
              </w:tabs>
              <w:jc w:val="center"/>
              <w:outlineLvl w:val="0"/>
              <w:rPr>
                <w:rFonts w:ascii="Calibri" w:hAnsi="Calibri"/>
                <w:sz w:val="20"/>
                <w:szCs w:val="20"/>
              </w:rPr>
            </w:pPr>
            <w:r>
              <w:rPr>
                <w:rFonts w:ascii="Calibri" w:hAnsi="Calibri"/>
                <w:sz w:val="20"/>
                <w:szCs w:val="20"/>
              </w:rPr>
              <w:t>15</w:t>
            </w:r>
            <w:r w:rsidR="00F43282">
              <w:rPr>
                <w:rFonts w:ascii="Calibri" w:hAnsi="Calibri"/>
                <w:sz w:val="20"/>
                <w:szCs w:val="20"/>
              </w:rPr>
              <w:t>%</w:t>
            </w:r>
          </w:p>
        </w:tc>
        <w:tc>
          <w:tcPr>
            <w:tcW w:w="910" w:type="pct"/>
            <w:tcBorders>
              <w:top w:val="single" w:sz="4" w:space="0" w:color="auto"/>
              <w:left w:val="single" w:sz="4" w:space="0" w:color="auto"/>
              <w:bottom w:val="single" w:sz="4" w:space="0" w:color="auto"/>
              <w:right w:val="single" w:sz="4" w:space="0" w:color="auto"/>
            </w:tcBorders>
            <w:vAlign w:val="center"/>
          </w:tcPr>
          <w:p w14:paraId="7C59B695" w14:textId="2BBAFA52" w:rsidR="00F43282" w:rsidRDefault="00F43282" w:rsidP="00F43282">
            <w:pPr>
              <w:keepNext/>
              <w:keepLines/>
              <w:tabs>
                <w:tab w:val="left" w:pos="1440"/>
                <w:tab w:val="decimal" w:pos="4320"/>
              </w:tabs>
              <w:jc w:val="left"/>
              <w:outlineLvl w:val="0"/>
              <w:rPr>
                <w:rFonts w:ascii="Calibri" w:hAnsi="Calibri"/>
                <w:sz w:val="20"/>
                <w:szCs w:val="20"/>
              </w:rPr>
            </w:pPr>
            <w:r>
              <w:rPr>
                <w:rFonts w:ascii="Calibri" w:hAnsi="Calibri"/>
                <w:sz w:val="20"/>
                <w:szCs w:val="20"/>
              </w:rPr>
              <w:t>Lack of access to services</w:t>
            </w:r>
          </w:p>
        </w:tc>
        <w:tc>
          <w:tcPr>
            <w:tcW w:w="315" w:type="pct"/>
            <w:tcBorders>
              <w:top w:val="single" w:sz="4" w:space="0" w:color="auto"/>
              <w:left w:val="single" w:sz="4" w:space="0" w:color="auto"/>
              <w:bottom w:val="single" w:sz="4" w:space="0" w:color="auto"/>
              <w:right w:val="single" w:sz="4" w:space="0" w:color="auto"/>
            </w:tcBorders>
            <w:vAlign w:val="center"/>
          </w:tcPr>
          <w:p w14:paraId="18BE6DB0" w14:textId="691BEFF9" w:rsidR="00F43282" w:rsidRDefault="002111FB" w:rsidP="00F43282">
            <w:pPr>
              <w:keepNext/>
              <w:keepLines/>
              <w:tabs>
                <w:tab w:val="left" w:pos="1440"/>
                <w:tab w:val="decimal" w:pos="4320"/>
              </w:tabs>
              <w:jc w:val="center"/>
              <w:outlineLvl w:val="0"/>
              <w:rPr>
                <w:rFonts w:ascii="Calibri" w:hAnsi="Calibri"/>
                <w:sz w:val="20"/>
                <w:szCs w:val="20"/>
              </w:rPr>
            </w:pPr>
            <w:r>
              <w:rPr>
                <w:rFonts w:ascii="Calibri" w:hAnsi="Calibri"/>
                <w:sz w:val="20"/>
                <w:szCs w:val="20"/>
              </w:rPr>
              <w:t>12</w:t>
            </w:r>
            <w:r w:rsidR="00F43282">
              <w:rPr>
                <w:rFonts w:ascii="Calibri" w:hAnsi="Calibri"/>
                <w:sz w:val="20"/>
                <w:szCs w:val="20"/>
              </w:rPr>
              <w:t>%</w:t>
            </w:r>
          </w:p>
        </w:tc>
        <w:tc>
          <w:tcPr>
            <w:tcW w:w="913" w:type="pct"/>
            <w:tcBorders>
              <w:top w:val="single" w:sz="4" w:space="0" w:color="auto"/>
              <w:left w:val="single" w:sz="4" w:space="0" w:color="auto"/>
              <w:bottom w:val="single" w:sz="4" w:space="0" w:color="auto"/>
              <w:right w:val="single" w:sz="4" w:space="0" w:color="auto"/>
            </w:tcBorders>
            <w:vAlign w:val="center"/>
          </w:tcPr>
          <w:p w14:paraId="13A6B30F" w14:textId="77777777" w:rsidR="00F43282" w:rsidRDefault="00F43282" w:rsidP="00F43282">
            <w:pPr>
              <w:keepNext/>
              <w:keepLines/>
              <w:tabs>
                <w:tab w:val="left" w:pos="1440"/>
                <w:tab w:val="decimal" w:pos="4320"/>
              </w:tabs>
              <w:jc w:val="left"/>
              <w:outlineLvl w:val="0"/>
              <w:rPr>
                <w:rFonts w:ascii="Calibri" w:hAnsi="Calibri"/>
                <w:sz w:val="20"/>
                <w:szCs w:val="20"/>
              </w:rPr>
            </w:pPr>
            <w:r>
              <w:rPr>
                <w:rFonts w:ascii="Calibri" w:hAnsi="Calibri"/>
                <w:sz w:val="20"/>
                <w:szCs w:val="20"/>
              </w:rPr>
              <w:t>Inadequate/</w:t>
            </w:r>
          </w:p>
          <w:p w14:paraId="7511DC94" w14:textId="7D2FF1D4" w:rsidR="00F43282" w:rsidRDefault="00F43282" w:rsidP="00F43282">
            <w:pPr>
              <w:keepNext/>
              <w:keepLines/>
              <w:tabs>
                <w:tab w:val="left" w:pos="1440"/>
                <w:tab w:val="decimal" w:pos="4320"/>
              </w:tabs>
              <w:jc w:val="left"/>
              <w:outlineLvl w:val="0"/>
              <w:rPr>
                <w:rFonts w:ascii="Calibri" w:hAnsi="Calibri"/>
                <w:sz w:val="20"/>
                <w:szCs w:val="20"/>
              </w:rPr>
            </w:pPr>
            <w:r>
              <w:rPr>
                <w:rFonts w:ascii="Calibri" w:hAnsi="Calibri"/>
                <w:sz w:val="20"/>
                <w:szCs w:val="20"/>
              </w:rPr>
              <w:t>Inappropriate treatment</w:t>
            </w:r>
          </w:p>
        </w:tc>
        <w:tc>
          <w:tcPr>
            <w:tcW w:w="315" w:type="pct"/>
            <w:tcBorders>
              <w:top w:val="single" w:sz="4" w:space="0" w:color="auto"/>
              <w:left w:val="single" w:sz="4" w:space="0" w:color="auto"/>
              <w:bottom w:val="single" w:sz="4" w:space="0" w:color="auto"/>
              <w:right w:val="single" w:sz="4" w:space="0" w:color="auto"/>
            </w:tcBorders>
            <w:vAlign w:val="center"/>
          </w:tcPr>
          <w:p w14:paraId="4948006B" w14:textId="79892F12" w:rsidR="00F43282" w:rsidRDefault="00F43282" w:rsidP="00F43282">
            <w:pPr>
              <w:keepNext/>
              <w:keepLines/>
              <w:tabs>
                <w:tab w:val="left" w:pos="1440"/>
                <w:tab w:val="decimal" w:pos="4320"/>
              </w:tabs>
              <w:jc w:val="center"/>
              <w:outlineLvl w:val="0"/>
              <w:rPr>
                <w:rFonts w:ascii="Calibri" w:hAnsi="Calibri"/>
                <w:sz w:val="20"/>
                <w:szCs w:val="20"/>
              </w:rPr>
            </w:pPr>
            <w:r>
              <w:rPr>
                <w:rFonts w:ascii="Calibri" w:hAnsi="Calibri"/>
                <w:sz w:val="20"/>
                <w:szCs w:val="20"/>
              </w:rPr>
              <w:t>11%</w:t>
            </w:r>
          </w:p>
        </w:tc>
        <w:tc>
          <w:tcPr>
            <w:tcW w:w="939" w:type="pct"/>
            <w:tcBorders>
              <w:top w:val="single" w:sz="4" w:space="0" w:color="auto"/>
              <w:left w:val="single" w:sz="4" w:space="0" w:color="auto"/>
              <w:bottom w:val="single" w:sz="4" w:space="0" w:color="auto"/>
              <w:right w:val="single" w:sz="4" w:space="0" w:color="auto"/>
            </w:tcBorders>
            <w:vAlign w:val="center"/>
          </w:tcPr>
          <w:p w14:paraId="6672BB03" w14:textId="77777777" w:rsidR="00F43282" w:rsidRDefault="00F43282" w:rsidP="00F43282">
            <w:pPr>
              <w:keepNext/>
              <w:keepLines/>
              <w:tabs>
                <w:tab w:val="left" w:pos="1440"/>
                <w:tab w:val="decimal" w:pos="4320"/>
              </w:tabs>
              <w:jc w:val="left"/>
              <w:outlineLvl w:val="0"/>
              <w:rPr>
                <w:rFonts w:ascii="Calibri" w:hAnsi="Calibri"/>
                <w:sz w:val="20"/>
                <w:szCs w:val="20"/>
              </w:rPr>
            </w:pPr>
            <w:r>
              <w:rPr>
                <w:rFonts w:ascii="Calibri" w:hAnsi="Calibri"/>
                <w:sz w:val="20"/>
                <w:szCs w:val="20"/>
              </w:rPr>
              <w:t>Inadequate/</w:t>
            </w:r>
          </w:p>
          <w:p w14:paraId="5A7D5DA5" w14:textId="77777777" w:rsidR="00F43282" w:rsidRDefault="00F43282" w:rsidP="00F43282">
            <w:pPr>
              <w:keepNext/>
              <w:keepLines/>
              <w:tabs>
                <w:tab w:val="left" w:pos="1440"/>
                <w:tab w:val="decimal" w:pos="4320"/>
              </w:tabs>
              <w:jc w:val="left"/>
              <w:outlineLvl w:val="0"/>
              <w:rPr>
                <w:rFonts w:ascii="Calibri" w:hAnsi="Calibri"/>
                <w:sz w:val="20"/>
                <w:szCs w:val="20"/>
              </w:rPr>
            </w:pPr>
            <w:r>
              <w:rPr>
                <w:rFonts w:ascii="Calibri" w:hAnsi="Calibri"/>
                <w:sz w:val="20"/>
                <w:szCs w:val="20"/>
              </w:rPr>
              <w:t>inappropriate</w:t>
            </w:r>
          </w:p>
          <w:p w14:paraId="167E70F0" w14:textId="77777777" w:rsidR="00F43282" w:rsidRDefault="00F43282" w:rsidP="00F43282">
            <w:pPr>
              <w:keepNext/>
              <w:keepLines/>
              <w:tabs>
                <w:tab w:val="left" w:pos="1440"/>
                <w:tab w:val="decimal" w:pos="4320"/>
              </w:tabs>
              <w:jc w:val="left"/>
              <w:outlineLvl w:val="0"/>
              <w:rPr>
                <w:rFonts w:ascii="Calibri" w:hAnsi="Calibri"/>
                <w:sz w:val="20"/>
                <w:szCs w:val="20"/>
              </w:rPr>
            </w:pPr>
            <w:r>
              <w:rPr>
                <w:rFonts w:ascii="Calibri" w:hAnsi="Calibri"/>
                <w:sz w:val="20"/>
                <w:szCs w:val="20"/>
              </w:rPr>
              <w:t>examination/</w:t>
            </w:r>
          </w:p>
          <w:p w14:paraId="182D7C16" w14:textId="0BBF738B" w:rsidR="00F43282" w:rsidRDefault="00F43282" w:rsidP="00F43282">
            <w:pPr>
              <w:keepNext/>
              <w:keepLines/>
              <w:tabs>
                <w:tab w:val="left" w:pos="1440"/>
                <w:tab w:val="decimal" w:pos="4320"/>
              </w:tabs>
              <w:jc w:val="left"/>
              <w:outlineLvl w:val="0"/>
              <w:rPr>
                <w:rFonts w:ascii="Calibri" w:hAnsi="Calibri"/>
                <w:sz w:val="20"/>
                <w:szCs w:val="20"/>
              </w:rPr>
            </w:pPr>
            <w:r>
              <w:rPr>
                <w:rFonts w:ascii="Calibri" w:hAnsi="Calibri"/>
                <w:sz w:val="20"/>
                <w:szCs w:val="20"/>
              </w:rPr>
              <w:t>assessment</w:t>
            </w:r>
          </w:p>
        </w:tc>
        <w:tc>
          <w:tcPr>
            <w:tcW w:w="380" w:type="pct"/>
            <w:tcBorders>
              <w:top w:val="single" w:sz="4" w:space="0" w:color="auto"/>
              <w:left w:val="single" w:sz="4" w:space="0" w:color="auto"/>
              <w:bottom w:val="single" w:sz="4" w:space="0" w:color="auto"/>
              <w:right w:val="single" w:sz="4" w:space="0" w:color="auto"/>
            </w:tcBorders>
            <w:vAlign w:val="center"/>
          </w:tcPr>
          <w:p w14:paraId="23FE09D2" w14:textId="08D4D43E" w:rsidR="00F43282" w:rsidRDefault="00F43282" w:rsidP="00F43282">
            <w:pPr>
              <w:keepNext/>
              <w:keepLines/>
              <w:tabs>
                <w:tab w:val="left" w:pos="1440"/>
                <w:tab w:val="decimal" w:pos="4320"/>
              </w:tabs>
              <w:jc w:val="center"/>
              <w:outlineLvl w:val="0"/>
              <w:rPr>
                <w:rFonts w:ascii="Calibri" w:hAnsi="Calibri"/>
                <w:sz w:val="20"/>
                <w:szCs w:val="20"/>
              </w:rPr>
            </w:pPr>
            <w:r>
              <w:rPr>
                <w:rFonts w:ascii="Calibri" w:hAnsi="Calibri"/>
                <w:sz w:val="20"/>
                <w:szCs w:val="20"/>
              </w:rPr>
              <w:t>10%</w:t>
            </w:r>
          </w:p>
        </w:tc>
      </w:tr>
      <w:tr w:rsidR="00F43282" w14:paraId="256B20FC" w14:textId="77777777" w:rsidTr="0078382D">
        <w:tc>
          <w:tcPr>
            <w:tcW w:w="913" w:type="pct"/>
            <w:tcBorders>
              <w:top w:val="single" w:sz="4" w:space="0" w:color="auto"/>
              <w:left w:val="single" w:sz="4" w:space="0" w:color="auto"/>
              <w:bottom w:val="single" w:sz="4" w:space="0" w:color="auto"/>
              <w:right w:val="single" w:sz="4" w:space="0" w:color="auto"/>
            </w:tcBorders>
            <w:vAlign w:val="center"/>
            <w:hideMark/>
          </w:tcPr>
          <w:p w14:paraId="15129860" w14:textId="77777777" w:rsidR="002111FB" w:rsidRDefault="002111FB" w:rsidP="002111FB">
            <w:pPr>
              <w:keepNext/>
              <w:keepLines/>
              <w:tabs>
                <w:tab w:val="left" w:pos="1440"/>
                <w:tab w:val="decimal" w:pos="4320"/>
              </w:tabs>
              <w:jc w:val="left"/>
              <w:outlineLvl w:val="0"/>
              <w:rPr>
                <w:rFonts w:ascii="Calibri" w:hAnsi="Calibri"/>
                <w:sz w:val="20"/>
                <w:szCs w:val="20"/>
              </w:rPr>
            </w:pPr>
            <w:r>
              <w:rPr>
                <w:rFonts w:ascii="Calibri" w:hAnsi="Calibri"/>
                <w:sz w:val="20"/>
                <w:szCs w:val="20"/>
              </w:rPr>
              <w:t>Waiting list/</w:t>
            </w:r>
          </w:p>
          <w:p w14:paraId="1286718D" w14:textId="056C5612" w:rsidR="00F43282" w:rsidRDefault="002111FB" w:rsidP="002111FB">
            <w:pPr>
              <w:keepNext/>
              <w:keepLines/>
              <w:tabs>
                <w:tab w:val="left" w:pos="1440"/>
                <w:tab w:val="decimal" w:pos="4320"/>
              </w:tabs>
              <w:jc w:val="left"/>
              <w:outlineLvl w:val="0"/>
              <w:rPr>
                <w:rFonts w:ascii="Calibri" w:hAnsi="Calibri"/>
                <w:sz w:val="20"/>
                <w:szCs w:val="20"/>
              </w:rPr>
            </w:pPr>
            <w:r>
              <w:rPr>
                <w:rFonts w:ascii="Calibri" w:hAnsi="Calibri"/>
                <w:sz w:val="20"/>
                <w:szCs w:val="20"/>
              </w:rPr>
              <w:t>prioritisation issue</w:t>
            </w:r>
          </w:p>
        </w:tc>
        <w:tc>
          <w:tcPr>
            <w:tcW w:w="315" w:type="pct"/>
            <w:tcBorders>
              <w:top w:val="single" w:sz="4" w:space="0" w:color="auto"/>
              <w:left w:val="single" w:sz="4" w:space="0" w:color="auto"/>
              <w:bottom w:val="single" w:sz="4" w:space="0" w:color="auto"/>
              <w:right w:val="single" w:sz="4" w:space="0" w:color="auto"/>
            </w:tcBorders>
            <w:vAlign w:val="center"/>
            <w:hideMark/>
          </w:tcPr>
          <w:p w14:paraId="4ABEF328" w14:textId="2E63583F" w:rsidR="00F43282" w:rsidRDefault="002111FB" w:rsidP="00F43282">
            <w:pPr>
              <w:keepNext/>
              <w:keepLines/>
              <w:tabs>
                <w:tab w:val="left" w:pos="1440"/>
                <w:tab w:val="decimal" w:pos="4320"/>
              </w:tabs>
              <w:jc w:val="center"/>
              <w:outlineLvl w:val="0"/>
              <w:rPr>
                <w:rFonts w:ascii="Calibri" w:hAnsi="Calibri"/>
                <w:sz w:val="20"/>
                <w:szCs w:val="20"/>
              </w:rPr>
            </w:pPr>
            <w:r>
              <w:rPr>
                <w:rFonts w:ascii="Calibri" w:hAnsi="Calibri"/>
                <w:sz w:val="20"/>
                <w:szCs w:val="20"/>
              </w:rPr>
              <w:t>12</w:t>
            </w:r>
            <w:r w:rsidR="00F43282">
              <w:rPr>
                <w:rFonts w:ascii="Calibri" w:hAnsi="Calibri"/>
                <w:sz w:val="20"/>
                <w:szCs w:val="20"/>
              </w:rPr>
              <w:t>%</w:t>
            </w:r>
          </w:p>
          <w:p w14:paraId="1A832392" w14:textId="77777777" w:rsidR="00F43282" w:rsidRDefault="00F43282" w:rsidP="00F43282">
            <w:pPr>
              <w:keepNext/>
              <w:keepLines/>
              <w:tabs>
                <w:tab w:val="left" w:pos="1440"/>
                <w:tab w:val="decimal" w:pos="4320"/>
              </w:tabs>
              <w:jc w:val="center"/>
              <w:outlineLvl w:val="0"/>
              <w:rPr>
                <w:rFonts w:ascii="Calibri" w:hAnsi="Calibri"/>
                <w:sz w:val="20"/>
                <w:szCs w:val="20"/>
              </w:rPr>
            </w:pPr>
          </w:p>
        </w:tc>
        <w:tc>
          <w:tcPr>
            <w:tcW w:w="910" w:type="pct"/>
            <w:tcBorders>
              <w:top w:val="single" w:sz="4" w:space="0" w:color="auto"/>
              <w:left w:val="single" w:sz="4" w:space="0" w:color="auto"/>
              <w:bottom w:val="single" w:sz="4" w:space="0" w:color="auto"/>
              <w:right w:val="single" w:sz="4" w:space="0" w:color="auto"/>
            </w:tcBorders>
            <w:vAlign w:val="center"/>
          </w:tcPr>
          <w:p w14:paraId="33F849F1" w14:textId="77777777" w:rsidR="00F43282" w:rsidRDefault="00F43282" w:rsidP="00F43282">
            <w:pPr>
              <w:keepNext/>
              <w:keepLines/>
              <w:tabs>
                <w:tab w:val="left" w:pos="1440"/>
                <w:tab w:val="decimal" w:pos="4320"/>
              </w:tabs>
              <w:jc w:val="left"/>
              <w:outlineLvl w:val="0"/>
              <w:rPr>
                <w:rFonts w:ascii="Calibri" w:hAnsi="Calibri"/>
                <w:sz w:val="20"/>
                <w:szCs w:val="20"/>
              </w:rPr>
            </w:pPr>
            <w:r>
              <w:rPr>
                <w:rFonts w:ascii="Calibri" w:hAnsi="Calibri"/>
                <w:sz w:val="20"/>
                <w:szCs w:val="20"/>
              </w:rPr>
              <w:t>Inadequate/</w:t>
            </w:r>
          </w:p>
          <w:p w14:paraId="57397B57" w14:textId="77777777" w:rsidR="00F43282" w:rsidRDefault="00F43282" w:rsidP="00F43282">
            <w:pPr>
              <w:keepNext/>
              <w:keepLines/>
              <w:tabs>
                <w:tab w:val="left" w:pos="1440"/>
                <w:tab w:val="decimal" w:pos="4320"/>
              </w:tabs>
              <w:jc w:val="left"/>
              <w:outlineLvl w:val="0"/>
              <w:rPr>
                <w:rFonts w:ascii="Calibri" w:hAnsi="Calibri"/>
                <w:sz w:val="20"/>
                <w:szCs w:val="20"/>
              </w:rPr>
            </w:pPr>
            <w:r>
              <w:rPr>
                <w:rFonts w:ascii="Calibri" w:hAnsi="Calibri"/>
                <w:sz w:val="20"/>
                <w:szCs w:val="20"/>
              </w:rPr>
              <w:t>inappropriate</w:t>
            </w:r>
          </w:p>
          <w:p w14:paraId="533D9BCF" w14:textId="77777777" w:rsidR="00F43282" w:rsidRDefault="00F43282" w:rsidP="00F43282">
            <w:pPr>
              <w:keepNext/>
              <w:keepLines/>
              <w:tabs>
                <w:tab w:val="left" w:pos="1440"/>
                <w:tab w:val="decimal" w:pos="4320"/>
              </w:tabs>
              <w:jc w:val="left"/>
              <w:outlineLvl w:val="0"/>
              <w:rPr>
                <w:rFonts w:ascii="Calibri" w:hAnsi="Calibri"/>
                <w:sz w:val="20"/>
                <w:szCs w:val="20"/>
              </w:rPr>
            </w:pPr>
            <w:r>
              <w:rPr>
                <w:rFonts w:ascii="Calibri" w:hAnsi="Calibri"/>
                <w:sz w:val="20"/>
                <w:szCs w:val="20"/>
              </w:rPr>
              <w:t>examination/</w:t>
            </w:r>
          </w:p>
          <w:p w14:paraId="7D8F40EB" w14:textId="77777777" w:rsidR="00F43282" w:rsidRDefault="00F43282" w:rsidP="00F43282">
            <w:pPr>
              <w:keepNext/>
              <w:keepLines/>
              <w:tabs>
                <w:tab w:val="left" w:pos="1440"/>
                <w:tab w:val="decimal" w:pos="4320"/>
              </w:tabs>
              <w:jc w:val="left"/>
              <w:outlineLvl w:val="0"/>
              <w:rPr>
                <w:rFonts w:ascii="Calibri" w:hAnsi="Calibri"/>
                <w:sz w:val="20"/>
                <w:szCs w:val="20"/>
              </w:rPr>
            </w:pPr>
            <w:r>
              <w:rPr>
                <w:rFonts w:ascii="Calibri" w:hAnsi="Calibri"/>
                <w:sz w:val="20"/>
                <w:szCs w:val="20"/>
              </w:rPr>
              <w:t>assessment</w:t>
            </w:r>
          </w:p>
        </w:tc>
        <w:tc>
          <w:tcPr>
            <w:tcW w:w="315" w:type="pct"/>
            <w:tcBorders>
              <w:top w:val="single" w:sz="4" w:space="0" w:color="auto"/>
              <w:left w:val="single" w:sz="4" w:space="0" w:color="auto"/>
              <w:bottom w:val="single" w:sz="4" w:space="0" w:color="auto"/>
              <w:right w:val="single" w:sz="4" w:space="0" w:color="auto"/>
            </w:tcBorders>
            <w:vAlign w:val="center"/>
          </w:tcPr>
          <w:p w14:paraId="7BBA66B6" w14:textId="6E6A63D3" w:rsidR="00F43282" w:rsidRDefault="00F43282" w:rsidP="00F43282">
            <w:pPr>
              <w:keepNext/>
              <w:keepLines/>
              <w:tabs>
                <w:tab w:val="left" w:pos="1440"/>
                <w:tab w:val="decimal" w:pos="4320"/>
              </w:tabs>
              <w:jc w:val="center"/>
              <w:outlineLvl w:val="0"/>
              <w:rPr>
                <w:rFonts w:ascii="Calibri" w:hAnsi="Calibri"/>
                <w:sz w:val="20"/>
                <w:szCs w:val="20"/>
              </w:rPr>
            </w:pPr>
            <w:r>
              <w:rPr>
                <w:rFonts w:ascii="Calibri" w:hAnsi="Calibri"/>
                <w:sz w:val="20"/>
                <w:szCs w:val="20"/>
              </w:rPr>
              <w:t>9%</w:t>
            </w:r>
          </w:p>
        </w:tc>
        <w:tc>
          <w:tcPr>
            <w:tcW w:w="913" w:type="pct"/>
            <w:tcBorders>
              <w:top w:val="single" w:sz="4" w:space="0" w:color="auto"/>
              <w:left w:val="single" w:sz="4" w:space="0" w:color="auto"/>
              <w:bottom w:val="single" w:sz="4" w:space="0" w:color="auto"/>
              <w:right w:val="single" w:sz="4" w:space="0" w:color="auto"/>
            </w:tcBorders>
            <w:vAlign w:val="center"/>
          </w:tcPr>
          <w:p w14:paraId="4F53A4B5" w14:textId="2C0F13CD" w:rsidR="00F43282" w:rsidRDefault="00F43282" w:rsidP="00F43282">
            <w:pPr>
              <w:keepNext/>
              <w:keepLines/>
              <w:tabs>
                <w:tab w:val="left" w:pos="1440"/>
                <w:tab w:val="decimal" w:pos="4320"/>
              </w:tabs>
              <w:jc w:val="left"/>
              <w:outlineLvl w:val="0"/>
              <w:rPr>
                <w:rFonts w:ascii="Calibri" w:hAnsi="Calibri"/>
                <w:sz w:val="20"/>
                <w:szCs w:val="20"/>
              </w:rPr>
            </w:pPr>
            <w:r>
              <w:rPr>
                <w:rFonts w:ascii="Calibri" w:hAnsi="Calibri"/>
                <w:sz w:val="20"/>
                <w:szCs w:val="20"/>
              </w:rPr>
              <w:t>Lack of access to services</w:t>
            </w:r>
          </w:p>
        </w:tc>
        <w:tc>
          <w:tcPr>
            <w:tcW w:w="315" w:type="pct"/>
            <w:tcBorders>
              <w:top w:val="single" w:sz="4" w:space="0" w:color="auto"/>
              <w:left w:val="single" w:sz="4" w:space="0" w:color="auto"/>
              <w:bottom w:val="single" w:sz="4" w:space="0" w:color="auto"/>
              <w:right w:val="single" w:sz="4" w:space="0" w:color="auto"/>
            </w:tcBorders>
            <w:vAlign w:val="center"/>
          </w:tcPr>
          <w:p w14:paraId="56E29F80" w14:textId="48426283" w:rsidR="00F43282" w:rsidRDefault="00F43282" w:rsidP="00F43282">
            <w:pPr>
              <w:keepNext/>
              <w:keepLines/>
              <w:tabs>
                <w:tab w:val="left" w:pos="1440"/>
                <w:tab w:val="decimal" w:pos="4320"/>
              </w:tabs>
              <w:jc w:val="center"/>
              <w:outlineLvl w:val="0"/>
              <w:rPr>
                <w:rFonts w:ascii="Calibri" w:hAnsi="Calibri"/>
                <w:sz w:val="20"/>
                <w:szCs w:val="20"/>
              </w:rPr>
            </w:pPr>
            <w:r>
              <w:rPr>
                <w:rFonts w:ascii="Calibri" w:hAnsi="Calibri"/>
                <w:sz w:val="20"/>
                <w:szCs w:val="20"/>
              </w:rPr>
              <w:t>11%</w:t>
            </w:r>
          </w:p>
          <w:p w14:paraId="4F0DD2FB" w14:textId="77777777" w:rsidR="00F43282" w:rsidRDefault="00F43282" w:rsidP="00F43282">
            <w:pPr>
              <w:keepNext/>
              <w:keepLines/>
              <w:tabs>
                <w:tab w:val="left" w:pos="1440"/>
                <w:tab w:val="decimal" w:pos="4320"/>
              </w:tabs>
              <w:jc w:val="center"/>
              <w:outlineLvl w:val="0"/>
              <w:rPr>
                <w:rFonts w:ascii="Calibri" w:hAnsi="Calibri"/>
                <w:sz w:val="20"/>
                <w:szCs w:val="20"/>
              </w:rPr>
            </w:pPr>
          </w:p>
        </w:tc>
        <w:tc>
          <w:tcPr>
            <w:tcW w:w="939" w:type="pct"/>
            <w:tcBorders>
              <w:top w:val="single" w:sz="4" w:space="0" w:color="auto"/>
              <w:left w:val="single" w:sz="4" w:space="0" w:color="auto"/>
              <w:bottom w:val="single" w:sz="4" w:space="0" w:color="auto"/>
              <w:right w:val="single" w:sz="4" w:space="0" w:color="auto"/>
            </w:tcBorders>
            <w:vAlign w:val="center"/>
          </w:tcPr>
          <w:p w14:paraId="44F155E5" w14:textId="77777777" w:rsidR="00F43282" w:rsidRDefault="00F43282" w:rsidP="00F43282">
            <w:pPr>
              <w:keepNext/>
              <w:keepLines/>
              <w:tabs>
                <w:tab w:val="left" w:pos="1440"/>
                <w:tab w:val="decimal" w:pos="4320"/>
              </w:tabs>
              <w:jc w:val="left"/>
              <w:outlineLvl w:val="0"/>
              <w:rPr>
                <w:rFonts w:ascii="Calibri" w:hAnsi="Calibri"/>
                <w:sz w:val="20"/>
                <w:szCs w:val="20"/>
              </w:rPr>
            </w:pPr>
            <w:r>
              <w:rPr>
                <w:rFonts w:ascii="Calibri" w:hAnsi="Calibri"/>
                <w:sz w:val="20"/>
                <w:szCs w:val="20"/>
              </w:rPr>
              <w:t>Waiting list/</w:t>
            </w:r>
          </w:p>
          <w:p w14:paraId="6063CD16" w14:textId="79791E29" w:rsidR="00F43282" w:rsidRDefault="00F43282" w:rsidP="00F43282">
            <w:pPr>
              <w:keepNext/>
              <w:keepLines/>
              <w:tabs>
                <w:tab w:val="left" w:pos="1440"/>
                <w:tab w:val="decimal" w:pos="4320"/>
              </w:tabs>
              <w:jc w:val="left"/>
              <w:outlineLvl w:val="0"/>
              <w:rPr>
                <w:rFonts w:ascii="Calibri" w:hAnsi="Calibri"/>
                <w:sz w:val="20"/>
                <w:szCs w:val="20"/>
              </w:rPr>
            </w:pPr>
            <w:r>
              <w:rPr>
                <w:rFonts w:ascii="Calibri" w:hAnsi="Calibri"/>
                <w:sz w:val="20"/>
                <w:szCs w:val="20"/>
              </w:rPr>
              <w:t>prioritisation issue</w:t>
            </w:r>
          </w:p>
        </w:tc>
        <w:tc>
          <w:tcPr>
            <w:tcW w:w="380" w:type="pct"/>
            <w:tcBorders>
              <w:top w:val="single" w:sz="4" w:space="0" w:color="auto"/>
              <w:left w:val="single" w:sz="4" w:space="0" w:color="auto"/>
              <w:bottom w:val="single" w:sz="4" w:space="0" w:color="auto"/>
              <w:right w:val="single" w:sz="4" w:space="0" w:color="auto"/>
            </w:tcBorders>
            <w:vAlign w:val="center"/>
          </w:tcPr>
          <w:p w14:paraId="6FBFA007" w14:textId="0909F0AE" w:rsidR="00F43282" w:rsidRDefault="00F43282" w:rsidP="00F43282">
            <w:pPr>
              <w:keepNext/>
              <w:keepLines/>
              <w:tabs>
                <w:tab w:val="left" w:pos="1440"/>
                <w:tab w:val="decimal" w:pos="4320"/>
              </w:tabs>
              <w:jc w:val="center"/>
              <w:outlineLvl w:val="0"/>
              <w:rPr>
                <w:rFonts w:ascii="Calibri" w:hAnsi="Calibri"/>
                <w:sz w:val="20"/>
                <w:szCs w:val="20"/>
              </w:rPr>
            </w:pPr>
            <w:r>
              <w:rPr>
                <w:rFonts w:ascii="Calibri" w:hAnsi="Calibri"/>
                <w:sz w:val="20"/>
                <w:szCs w:val="20"/>
              </w:rPr>
              <w:t>10%</w:t>
            </w:r>
          </w:p>
        </w:tc>
      </w:tr>
    </w:tbl>
    <w:p w14:paraId="4572B58E" w14:textId="77777777" w:rsidR="00841E1C" w:rsidRDefault="00841E1C" w:rsidP="0080255D">
      <w:pPr>
        <w:keepNext/>
        <w:keepLines/>
        <w:spacing w:after="480"/>
        <w:rPr>
          <w:szCs w:val="22"/>
        </w:rPr>
      </w:pPr>
    </w:p>
    <w:p w14:paraId="2D3C541A" w14:textId="77777777" w:rsidR="00841E1C" w:rsidRDefault="00841E1C" w:rsidP="00841E1C"/>
    <w:p w14:paraId="7E732E00" w14:textId="77777777" w:rsidR="00841E1C" w:rsidRDefault="00841E1C" w:rsidP="00841E1C"/>
    <w:p w14:paraId="23B8BDEC" w14:textId="77777777" w:rsidR="00841E1C" w:rsidRDefault="00841E1C" w:rsidP="00841E1C">
      <w:pPr>
        <w:pStyle w:val="Heading2"/>
        <w:spacing w:before="360"/>
      </w:pPr>
      <w:r>
        <w:br w:type="page"/>
      </w:r>
    </w:p>
    <w:p w14:paraId="0B057702" w14:textId="736D332A" w:rsidR="00555018" w:rsidRDefault="00555018" w:rsidP="00555018">
      <w:pPr>
        <w:pStyle w:val="Heading2"/>
        <w:spacing w:after="240"/>
        <w:rPr>
          <w:sz w:val="36"/>
          <w:szCs w:val="36"/>
        </w:rPr>
      </w:pPr>
      <w:bookmarkStart w:id="71" w:name="_Toc398125965"/>
      <w:bookmarkStart w:id="72" w:name="_Toc404344435"/>
      <w:bookmarkStart w:id="73" w:name="_Toc506278074"/>
      <w:bookmarkStart w:id="74" w:name="_Toc58316491"/>
      <w:bookmarkStart w:id="75" w:name="_Toc426462637"/>
      <w:bookmarkStart w:id="76" w:name="_Toc443992232"/>
      <w:bookmarkStart w:id="77" w:name="_Toc493684133"/>
      <w:r>
        <w:rPr>
          <w:sz w:val="36"/>
          <w:szCs w:val="36"/>
        </w:rPr>
        <w:lastRenderedPageBreak/>
        <w:t>4</w:t>
      </w:r>
      <w:r w:rsidRPr="00666BAC">
        <w:rPr>
          <w:sz w:val="36"/>
          <w:szCs w:val="36"/>
        </w:rPr>
        <w:t>.</w:t>
      </w:r>
      <w:bookmarkEnd w:id="71"/>
      <w:bookmarkEnd w:id="72"/>
      <w:r w:rsidRPr="00666BAC">
        <w:rPr>
          <w:sz w:val="36"/>
          <w:szCs w:val="36"/>
        </w:rPr>
        <w:t xml:space="preserve"> What were the outcomes of the complaints closed?</w:t>
      </w:r>
      <w:bookmarkEnd w:id="73"/>
      <w:bookmarkEnd w:id="74"/>
    </w:p>
    <w:p w14:paraId="4985FE6F" w14:textId="0E929D75" w:rsidR="00555018" w:rsidRPr="00900CC1" w:rsidRDefault="00555018" w:rsidP="00555018">
      <w:pPr>
        <w:rPr>
          <w:szCs w:val="22"/>
          <w:lang w:val="en-AU" w:bidi="ar-SA"/>
        </w:rPr>
      </w:pPr>
      <w:r w:rsidRPr="00900CC1">
        <w:rPr>
          <w:szCs w:val="22"/>
        </w:rPr>
        <w:t xml:space="preserve">HDC is focused on fair and early resolution of complaints. Each complaint received by HDC is assessed carefully and resolved in the most appropriate manner, bearing in mind the issues raised and the evidence available. The assessment process is thorough and can involve a number of steps, including obtaining a response from the provider/s, seeking </w:t>
      </w:r>
      <w:r>
        <w:rPr>
          <w:szCs w:val="22"/>
        </w:rPr>
        <w:t>clinical</w:t>
      </w:r>
      <w:r w:rsidRPr="00900CC1">
        <w:rPr>
          <w:szCs w:val="22"/>
        </w:rPr>
        <w:t xml:space="preserve"> adv</w:t>
      </w:r>
      <w:r>
        <w:rPr>
          <w:szCs w:val="22"/>
        </w:rPr>
        <w:t>ice</w:t>
      </w:r>
      <w:r w:rsidR="00A24E83">
        <w:rPr>
          <w:szCs w:val="22"/>
        </w:rPr>
        <w:t>,</w:t>
      </w:r>
      <w:r>
        <w:rPr>
          <w:szCs w:val="22"/>
        </w:rPr>
        <w:t xml:space="preserve"> and asking for </w:t>
      </w:r>
      <w:r w:rsidRPr="00900CC1">
        <w:rPr>
          <w:szCs w:val="22"/>
        </w:rPr>
        <w:t xml:space="preserve">information from the consumer or other </w:t>
      </w:r>
      <w:r>
        <w:rPr>
          <w:szCs w:val="22"/>
        </w:rPr>
        <w:t>people</w:t>
      </w:r>
      <w:r w:rsidRPr="00900CC1">
        <w:rPr>
          <w:szCs w:val="22"/>
        </w:rPr>
        <w:t>.</w:t>
      </w:r>
    </w:p>
    <w:p w14:paraId="347EC3F6" w14:textId="77777777" w:rsidR="00555018" w:rsidRDefault="00555018" w:rsidP="00555018">
      <w:pPr>
        <w:rPr>
          <w:lang w:val="en-AU" w:bidi="ar-SA"/>
        </w:rPr>
      </w:pPr>
    </w:p>
    <w:p w14:paraId="44F493C2" w14:textId="6917E5CF" w:rsidR="00555018" w:rsidRPr="00666BAC" w:rsidRDefault="00A24E83" w:rsidP="00555018">
      <w:pPr>
        <w:rPr>
          <w:lang w:val="en-AU" w:bidi="ar-SA"/>
        </w:rPr>
      </w:pPr>
      <w:r>
        <w:rPr>
          <w:lang w:val="en-AU" w:bidi="ar-SA"/>
        </w:rPr>
        <w:t>A</w:t>
      </w:r>
      <w:r w:rsidR="00555018" w:rsidRPr="00666BAC">
        <w:rPr>
          <w:lang w:val="en-AU" w:bidi="ar-SA"/>
        </w:rPr>
        <w:t xml:space="preserve"> number of options </w:t>
      </w:r>
      <w:r>
        <w:rPr>
          <w:lang w:val="en-AU" w:bidi="ar-SA"/>
        </w:rPr>
        <w:t xml:space="preserve">are </w:t>
      </w:r>
      <w:r w:rsidR="00555018" w:rsidRPr="00666BAC">
        <w:rPr>
          <w:lang w:val="en-AU" w:bidi="ar-SA"/>
        </w:rPr>
        <w:t>available</w:t>
      </w:r>
      <w:r w:rsidR="00555018">
        <w:rPr>
          <w:lang w:val="en-AU" w:bidi="ar-SA"/>
        </w:rPr>
        <w:t xml:space="preserve"> to the Commissioner</w:t>
      </w:r>
      <w:r w:rsidR="00555018" w:rsidRPr="00666BAC">
        <w:rPr>
          <w:lang w:val="en-AU" w:bidi="ar-SA"/>
        </w:rPr>
        <w:t xml:space="preserve"> for the resolution of complaints.  These include referring the complaint to the Advocacy Service, to a professional body, or to another agency.</w:t>
      </w:r>
      <w:r w:rsidR="00555018">
        <w:rPr>
          <w:lang w:val="en-AU" w:bidi="ar-SA"/>
        </w:rPr>
        <w:t xml:space="preserve"> </w:t>
      </w:r>
      <w:r w:rsidR="00555018" w:rsidRPr="00666BAC">
        <w:rPr>
          <w:lang w:val="en-AU" w:bidi="ar-SA"/>
        </w:rPr>
        <w:t xml:space="preserve">HDC may also refer a complaint back to the provider to resolve directly.  In line with their responsibilities under the Code, DHBs have increasingly developed good systems to address complaints in a timely and appropriate way. </w:t>
      </w:r>
      <w:r w:rsidR="00555018">
        <w:rPr>
          <w:lang w:val="en-AU" w:bidi="ar-SA"/>
        </w:rPr>
        <w:t>Where complaints are assessed as suitable for resolution between the parties, i</w:t>
      </w:r>
      <w:r w:rsidR="00555018" w:rsidRPr="00666BAC">
        <w:rPr>
          <w:lang w:val="en-AU" w:bidi="ar-SA"/>
        </w:rPr>
        <w:t>t is often appropriate for HDC to refer a complaint to the DHB to resolve, with a requirement that the DHB report back to HDC on the outcome of its handling of the complaint.</w:t>
      </w:r>
    </w:p>
    <w:p w14:paraId="28A3EF3A" w14:textId="77777777" w:rsidR="00555018" w:rsidRPr="00666BAC" w:rsidRDefault="00555018" w:rsidP="00555018">
      <w:pPr>
        <w:rPr>
          <w:lang w:val="en-AU" w:bidi="ar-SA"/>
        </w:rPr>
      </w:pPr>
    </w:p>
    <w:p w14:paraId="341D5B5D" w14:textId="048F4BE6" w:rsidR="00555018" w:rsidRPr="0073374F" w:rsidRDefault="00555018" w:rsidP="00555018">
      <w:pPr>
        <w:rPr>
          <w:lang w:val="en-US"/>
        </w:rPr>
      </w:pPr>
      <w:r w:rsidRPr="00666BAC">
        <w:rPr>
          <w:lang w:val="en-AU" w:bidi="ar-SA"/>
        </w:rPr>
        <w:t>The Commissioner also has a wide discretion to take no further actio</w:t>
      </w:r>
      <w:r>
        <w:rPr>
          <w:lang w:val="en-AU" w:bidi="ar-SA"/>
        </w:rPr>
        <w:t xml:space="preserve">n on a complaint. </w:t>
      </w:r>
      <w:r w:rsidRPr="00666BAC">
        <w:rPr>
          <w:lang w:val="en-US"/>
        </w:rPr>
        <w:t>For example, the Commissioner may take no further action because careful assessment indicates that a provider’s actions were reasonable in the circumstances</w:t>
      </w:r>
      <w:r w:rsidR="009D66A9">
        <w:rPr>
          <w:lang w:val="en-US"/>
        </w:rPr>
        <w:t>;</w:t>
      </w:r>
      <w:r w:rsidRPr="00666BAC">
        <w:rPr>
          <w:lang w:val="en-US"/>
        </w:rPr>
        <w:t xml:space="preserve"> a more appropriate outcome can be achieved in a more flexible and ti</w:t>
      </w:r>
      <w:r>
        <w:rPr>
          <w:lang w:val="en-US"/>
        </w:rPr>
        <w:t>mely way than by means of</w:t>
      </w:r>
      <w:r w:rsidRPr="00666BAC">
        <w:rPr>
          <w:lang w:val="en-US"/>
        </w:rPr>
        <w:t xml:space="preserve"> investigation</w:t>
      </w:r>
      <w:r w:rsidR="009D66A9">
        <w:rPr>
          <w:lang w:val="en-US"/>
        </w:rPr>
        <w:t>;</w:t>
      </w:r>
      <w:r w:rsidRPr="00666BAC">
        <w:rPr>
          <w:lang w:val="en-US"/>
        </w:rPr>
        <w:t xml:space="preserve"> or the matters that are the subject of the complaint have been, are being, or will be</w:t>
      </w:r>
      <w:r w:rsidR="00A24E83">
        <w:rPr>
          <w:lang w:val="en-US"/>
        </w:rPr>
        <w:t>,</w:t>
      </w:r>
      <w:r w:rsidRPr="00666BAC">
        <w:rPr>
          <w:lang w:val="en-US"/>
        </w:rPr>
        <w:t xml:space="preserve"> addressed </w:t>
      </w:r>
      <w:r w:rsidR="00A24E83" w:rsidRPr="00666BAC">
        <w:rPr>
          <w:lang w:val="en-US"/>
        </w:rPr>
        <w:t xml:space="preserve">appropriately </w:t>
      </w:r>
      <w:r w:rsidRPr="00666BAC">
        <w:rPr>
          <w:lang w:val="en-US"/>
        </w:rPr>
        <w:t xml:space="preserve">by other means. </w:t>
      </w:r>
      <w:r w:rsidRPr="00666BAC">
        <w:rPr>
          <w:lang w:val="en-AU" w:bidi="ar-SA"/>
        </w:rPr>
        <w:t xml:space="preserve">Often a decision to take no further action will be accompanied by an educational comment or recommendations designed to assist the provider </w:t>
      </w:r>
      <w:r>
        <w:rPr>
          <w:lang w:val="en-AU" w:bidi="ar-SA"/>
        </w:rPr>
        <w:t>to improve services in future</w:t>
      </w:r>
      <w:r w:rsidRPr="00666BAC">
        <w:rPr>
          <w:lang w:val="en-AU" w:bidi="ar-SA"/>
        </w:rPr>
        <w:t>.</w:t>
      </w:r>
    </w:p>
    <w:p w14:paraId="6546C9B6" w14:textId="77777777" w:rsidR="00555018" w:rsidRPr="00666BAC" w:rsidRDefault="00555018" w:rsidP="00555018">
      <w:pPr>
        <w:rPr>
          <w:lang w:val="en-AU" w:bidi="ar-SA"/>
        </w:rPr>
      </w:pPr>
    </w:p>
    <w:p w14:paraId="67B53D88" w14:textId="59192A86" w:rsidR="00555018" w:rsidRDefault="00555018" w:rsidP="00555018">
      <w:pPr>
        <w:rPr>
          <w:szCs w:val="22"/>
        </w:rPr>
      </w:pPr>
      <w:r w:rsidRPr="002E14D1">
        <w:rPr>
          <w:szCs w:val="22"/>
          <w:lang w:val="en-AU" w:bidi="ar-SA"/>
        </w:rPr>
        <w:t>Where appropriate, the Commissioner may investigate a complaint</w:t>
      </w:r>
      <w:r>
        <w:rPr>
          <w:szCs w:val="22"/>
          <w:lang w:val="en-AU" w:bidi="ar-SA"/>
        </w:rPr>
        <w:t>,</w:t>
      </w:r>
      <w:r w:rsidRPr="002E14D1">
        <w:rPr>
          <w:szCs w:val="22"/>
          <w:lang w:val="en-AU" w:bidi="ar-SA"/>
        </w:rPr>
        <w:t xml:space="preserve"> which may result in a DHB being found in breach of the Code. </w:t>
      </w:r>
      <w:r w:rsidRPr="002E14D1">
        <w:rPr>
          <w:szCs w:val="22"/>
        </w:rPr>
        <w:t>Notification of investigation generally indicates more serious issues.</w:t>
      </w:r>
    </w:p>
    <w:p w14:paraId="35814D4B" w14:textId="69CC8B8B" w:rsidR="00555018" w:rsidRDefault="00555018" w:rsidP="00555018">
      <w:pPr>
        <w:rPr>
          <w:szCs w:val="22"/>
        </w:rPr>
      </w:pPr>
    </w:p>
    <w:p w14:paraId="671235A6" w14:textId="1C06D4EF" w:rsidR="00555018" w:rsidRDefault="00555018" w:rsidP="00555018">
      <w:pPr>
        <w:rPr>
          <w:szCs w:val="22"/>
        </w:rPr>
      </w:pPr>
    </w:p>
    <w:p w14:paraId="4D23A213" w14:textId="669F0430" w:rsidR="008229D3" w:rsidRDefault="008229D3" w:rsidP="0078382D"/>
    <w:p w14:paraId="6BB34B4F" w14:textId="6B84D3D7" w:rsidR="00555018" w:rsidRPr="00666BAC" w:rsidRDefault="00555018" w:rsidP="00555018">
      <w:pPr>
        <w:pStyle w:val="Heading3"/>
        <w:rPr>
          <w:b/>
          <w:i w:val="0"/>
          <w:sz w:val="28"/>
          <w:szCs w:val="28"/>
          <w:lang w:val="en-AU" w:bidi="ar-SA"/>
        </w:rPr>
      </w:pPr>
      <w:bookmarkStart w:id="78" w:name="_Toc404344436"/>
      <w:bookmarkStart w:id="79" w:name="_Toc506278075"/>
      <w:bookmarkStart w:id="80" w:name="_Toc58316492"/>
      <w:r>
        <w:rPr>
          <w:b/>
          <w:i w:val="0"/>
          <w:sz w:val="28"/>
          <w:szCs w:val="28"/>
          <w:lang w:val="en-AU" w:bidi="ar-SA"/>
        </w:rPr>
        <w:t>4</w:t>
      </w:r>
      <w:r w:rsidRPr="00666BAC">
        <w:rPr>
          <w:b/>
          <w:i w:val="0"/>
          <w:sz w:val="28"/>
          <w:szCs w:val="28"/>
          <w:lang w:val="en-AU" w:bidi="ar-SA"/>
        </w:rPr>
        <w:t xml:space="preserve">.1 </w:t>
      </w:r>
      <w:r w:rsidRPr="00666BAC">
        <w:rPr>
          <w:b/>
          <w:i w:val="0"/>
          <w:sz w:val="28"/>
          <w:szCs w:val="28"/>
          <w:lang w:val="en-AU" w:bidi="ar-SA"/>
        </w:rPr>
        <w:tab/>
      </w:r>
      <w:bookmarkEnd w:id="78"/>
      <w:bookmarkEnd w:id="79"/>
      <w:r>
        <w:rPr>
          <w:b/>
          <w:i w:val="0"/>
          <w:sz w:val="28"/>
          <w:szCs w:val="28"/>
          <w:lang w:val="en-AU" w:bidi="ar-SA"/>
        </w:rPr>
        <w:t>Number of complaints closed</w:t>
      </w:r>
      <w:bookmarkEnd w:id="80"/>
    </w:p>
    <w:p w14:paraId="585D0FC2" w14:textId="77777777" w:rsidR="00555018" w:rsidRPr="00666BAC" w:rsidRDefault="00555018" w:rsidP="00555018">
      <w:pPr>
        <w:rPr>
          <w:b/>
          <w:lang w:val="en-AU" w:bidi="ar-SA"/>
        </w:rPr>
      </w:pPr>
    </w:p>
    <w:bookmarkEnd w:id="75"/>
    <w:bookmarkEnd w:id="76"/>
    <w:bookmarkEnd w:id="77"/>
    <w:p w14:paraId="243E8349" w14:textId="4D48BF8A" w:rsidR="00841E1C" w:rsidRPr="00605F09" w:rsidRDefault="00130B4D" w:rsidP="0078382D">
      <w:pPr>
        <w:spacing w:after="480"/>
      </w:pPr>
      <w:r>
        <w:t xml:space="preserve">In the period Jan–Jun 2020, </w:t>
      </w:r>
      <w:r w:rsidR="00841E1C" w:rsidRPr="00605F09">
        <w:t xml:space="preserve">HDC closed </w:t>
      </w:r>
      <w:r w:rsidR="00841E1C" w:rsidRPr="00605F09">
        <w:rPr>
          <w:b/>
        </w:rPr>
        <w:t>4</w:t>
      </w:r>
      <w:r w:rsidR="006A7AED">
        <w:rPr>
          <w:b/>
        </w:rPr>
        <w:t>28</w:t>
      </w:r>
      <w:r w:rsidR="00841E1C" w:rsidRPr="003E5338">
        <w:rPr>
          <w:rStyle w:val="FootnoteReference"/>
        </w:rPr>
        <w:footnoteReference w:id="4"/>
      </w:r>
      <w:r w:rsidR="00841E1C" w:rsidRPr="00605F09">
        <w:rPr>
          <w:b/>
        </w:rPr>
        <w:t xml:space="preserve"> </w:t>
      </w:r>
      <w:r w:rsidR="00841E1C" w:rsidRPr="00605F09">
        <w:t xml:space="preserve">complaints </w:t>
      </w:r>
      <w:r w:rsidR="00556413">
        <w:t>i</w:t>
      </w:r>
      <w:r w:rsidR="003412FC">
        <w:t>nvolving DHBs. Table 11</w:t>
      </w:r>
      <w:r w:rsidR="00841E1C" w:rsidRPr="00605F09">
        <w:t xml:space="preserve"> shows the number of complaints closed in previous six-month periods.</w:t>
      </w:r>
    </w:p>
    <w:p w14:paraId="0D3F4E11" w14:textId="758A5037" w:rsidR="00841E1C" w:rsidRDefault="003412FC" w:rsidP="00130B4D">
      <w:pPr>
        <w:spacing w:after="120"/>
      </w:pPr>
      <w:r>
        <w:rPr>
          <w:b/>
        </w:rPr>
        <w:t>Table 11</w:t>
      </w:r>
      <w:r w:rsidR="00841E1C" w:rsidRPr="00605F09">
        <w:rPr>
          <w:b/>
        </w:rPr>
        <w:t>.</w:t>
      </w:r>
      <w:r w:rsidR="00841E1C" w:rsidRPr="00605F09">
        <w:t xml:space="preserve"> Number of complaints about DHBs closed in the last five years</w:t>
      </w:r>
    </w:p>
    <w:tbl>
      <w:tblPr>
        <w:tblStyle w:val="TableGrid"/>
        <w:tblpPr w:leftFromText="180" w:rightFromText="180" w:vertAnchor="text" w:horzAnchor="margin" w:tblpY="105"/>
        <w:tblW w:w="4899" w:type="pct"/>
        <w:tblLook w:val="04A0" w:firstRow="1" w:lastRow="0" w:firstColumn="1" w:lastColumn="0" w:noHBand="0" w:noVBand="1"/>
      </w:tblPr>
      <w:tblGrid>
        <w:gridCol w:w="1188"/>
        <w:gridCol w:w="679"/>
        <w:gridCol w:w="588"/>
        <w:gridCol w:w="675"/>
        <w:gridCol w:w="680"/>
        <w:gridCol w:w="680"/>
        <w:gridCol w:w="680"/>
        <w:gridCol w:w="680"/>
        <w:gridCol w:w="680"/>
        <w:gridCol w:w="680"/>
        <w:gridCol w:w="965"/>
        <w:gridCol w:w="659"/>
      </w:tblGrid>
      <w:tr w:rsidR="00556413" w14:paraId="6D146279" w14:textId="77777777" w:rsidTr="0078382D">
        <w:tc>
          <w:tcPr>
            <w:tcW w:w="672" w:type="pct"/>
            <w:tcBorders>
              <w:top w:val="single" w:sz="4" w:space="0" w:color="auto"/>
              <w:left w:val="single" w:sz="4" w:space="0" w:color="auto"/>
              <w:bottom w:val="single" w:sz="4" w:space="0" w:color="auto"/>
              <w:right w:val="single" w:sz="4" w:space="0" w:color="auto"/>
            </w:tcBorders>
            <w:vAlign w:val="center"/>
          </w:tcPr>
          <w:p w14:paraId="50A2A965" w14:textId="77777777" w:rsidR="00556413" w:rsidRDefault="00556413" w:rsidP="00556413">
            <w:pPr>
              <w:keepNext/>
              <w:keepLines/>
              <w:jc w:val="left"/>
              <w:rPr>
                <w:rFonts w:ascii="Calibri" w:hAnsi="Calibri"/>
                <w:b/>
                <w:szCs w:val="20"/>
              </w:rPr>
            </w:pPr>
          </w:p>
          <w:p w14:paraId="0B496744" w14:textId="77777777" w:rsidR="00556413" w:rsidRDefault="00556413" w:rsidP="00556413">
            <w:pPr>
              <w:keepNext/>
              <w:keepLines/>
              <w:jc w:val="left"/>
              <w:rPr>
                <w:rFonts w:ascii="Calibri" w:hAnsi="Calibri"/>
                <w:b/>
                <w:szCs w:val="20"/>
              </w:rPr>
            </w:pPr>
          </w:p>
        </w:tc>
        <w:tc>
          <w:tcPr>
            <w:tcW w:w="384" w:type="pct"/>
            <w:tcBorders>
              <w:top w:val="single" w:sz="4" w:space="0" w:color="auto"/>
              <w:left w:val="single" w:sz="4" w:space="0" w:color="auto"/>
              <w:bottom w:val="single" w:sz="4" w:space="0" w:color="auto"/>
              <w:right w:val="single" w:sz="4" w:space="0" w:color="auto"/>
            </w:tcBorders>
            <w:vAlign w:val="center"/>
          </w:tcPr>
          <w:p w14:paraId="1A0B5626" w14:textId="006BBC0E" w:rsidR="00556413" w:rsidRDefault="00556413" w:rsidP="00556413">
            <w:pPr>
              <w:keepNext/>
              <w:keepLines/>
              <w:jc w:val="center"/>
              <w:rPr>
                <w:rFonts w:ascii="Calibri" w:hAnsi="Calibri"/>
                <w:b/>
                <w:szCs w:val="20"/>
              </w:rPr>
            </w:pPr>
            <w:r>
              <w:rPr>
                <w:rFonts w:ascii="Calibri" w:hAnsi="Calibri"/>
                <w:b/>
                <w:szCs w:val="20"/>
              </w:rPr>
              <w:t>Jul–Dec</w:t>
            </w:r>
            <w:r>
              <w:rPr>
                <w:rFonts w:ascii="Calibri" w:hAnsi="Calibri"/>
                <w:b/>
                <w:szCs w:val="20"/>
              </w:rPr>
              <w:br/>
              <w:t>15</w:t>
            </w:r>
          </w:p>
        </w:tc>
        <w:tc>
          <w:tcPr>
            <w:tcW w:w="333" w:type="pct"/>
            <w:tcBorders>
              <w:top w:val="single" w:sz="4" w:space="0" w:color="auto"/>
              <w:left w:val="single" w:sz="4" w:space="0" w:color="auto"/>
              <w:bottom w:val="single" w:sz="4" w:space="0" w:color="auto"/>
              <w:right w:val="single" w:sz="4" w:space="0" w:color="auto"/>
            </w:tcBorders>
            <w:hideMark/>
          </w:tcPr>
          <w:p w14:paraId="3FF4BD5B" w14:textId="4383859E" w:rsidR="00556413" w:rsidRDefault="00556413" w:rsidP="00556413">
            <w:pPr>
              <w:keepNext/>
              <w:keepLines/>
              <w:spacing w:before="180"/>
              <w:jc w:val="center"/>
              <w:rPr>
                <w:rFonts w:ascii="Calibri" w:hAnsi="Calibri"/>
                <w:b/>
                <w:szCs w:val="20"/>
              </w:rPr>
            </w:pPr>
            <w:r>
              <w:rPr>
                <w:rFonts w:ascii="Calibri" w:hAnsi="Calibri"/>
                <w:b/>
                <w:szCs w:val="20"/>
              </w:rPr>
              <w:t>Jan–Jun</w:t>
            </w:r>
            <w:r>
              <w:rPr>
                <w:rFonts w:ascii="Calibri" w:hAnsi="Calibri"/>
                <w:b/>
                <w:szCs w:val="20"/>
              </w:rPr>
              <w:br/>
              <w:t>16</w:t>
            </w:r>
          </w:p>
        </w:tc>
        <w:tc>
          <w:tcPr>
            <w:tcW w:w="382" w:type="pct"/>
            <w:tcBorders>
              <w:top w:val="single" w:sz="4" w:space="0" w:color="auto"/>
              <w:left w:val="single" w:sz="4" w:space="0" w:color="auto"/>
              <w:bottom w:val="single" w:sz="4" w:space="0" w:color="auto"/>
              <w:right w:val="single" w:sz="4" w:space="0" w:color="auto"/>
            </w:tcBorders>
            <w:hideMark/>
          </w:tcPr>
          <w:p w14:paraId="2B1125D3" w14:textId="40C736EB" w:rsidR="00556413" w:rsidRDefault="00556413" w:rsidP="00556413">
            <w:pPr>
              <w:keepNext/>
              <w:keepLines/>
              <w:spacing w:before="180"/>
              <w:jc w:val="center"/>
              <w:rPr>
                <w:rFonts w:ascii="Calibri" w:hAnsi="Calibri"/>
                <w:b/>
                <w:szCs w:val="20"/>
              </w:rPr>
            </w:pPr>
            <w:r>
              <w:rPr>
                <w:rFonts w:ascii="Calibri" w:hAnsi="Calibri"/>
                <w:b/>
                <w:szCs w:val="20"/>
              </w:rPr>
              <w:t>Jul–Dec</w:t>
            </w:r>
            <w:r>
              <w:rPr>
                <w:rFonts w:ascii="Calibri" w:hAnsi="Calibri"/>
                <w:b/>
                <w:szCs w:val="20"/>
              </w:rPr>
              <w:br/>
              <w:t>16</w:t>
            </w:r>
          </w:p>
        </w:tc>
        <w:tc>
          <w:tcPr>
            <w:tcW w:w="385" w:type="pct"/>
            <w:tcBorders>
              <w:top w:val="single" w:sz="4" w:space="0" w:color="auto"/>
              <w:left w:val="single" w:sz="4" w:space="0" w:color="auto"/>
              <w:bottom w:val="single" w:sz="4" w:space="0" w:color="auto"/>
              <w:right w:val="single" w:sz="4" w:space="0" w:color="auto"/>
            </w:tcBorders>
            <w:hideMark/>
          </w:tcPr>
          <w:p w14:paraId="4BE4DA5B" w14:textId="54282104" w:rsidR="00556413" w:rsidRDefault="00556413" w:rsidP="00556413">
            <w:pPr>
              <w:keepNext/>
              <w:keepLines/>
              <w:spacing w:before="180"/>
              <w:jc w:val="center"/>
              <w:rPr>
                <w:rFonts w:ascii="Calibri" w:hAnsi="Calibri"/>
                <w:b/>
                <w:szCs w:val="20"/>
              </w:rPr>
            </w:pPr>
            <w:r>
              <w:rPr>
                <w:rFonts w:ascii="Calibri" w:hAnsi="Calibri"/>
                <w:b/>
                <w:szCs w:val="20"/>
              </w:rPr>
              <w:t>Jan–Jun</w:t>
            </w:r>
            <w:r>
              <w:rPr>
                <w:rFonts w:ascii="Calibri" w:hAnsi="Calibri"/>
                <w:b/>
                <w:szCs w:val="20"/>
              </w:rPr>
              <w:br/>
              <w:t>17</w:t>
            </w:r>
          </w:p>
        </w:tc>
        <w:tc>
          <w:tcPr>
            <w:tcW w:w="385" w:type="pct"/>
            <w:tcBorders>
              <w:top w:val="single" w:sz="4" w:space="0" w:color="auto"/>
              <w:left w:val="single" w:sz="4" w:space="0" w:color="auto"/>
              <w:bottom w:val="single" w:sz="4" w:space="0" w:color="auto"/>
              <w:right w:val="single" w:sz="4" w:space="0" w:color="auto"/>
            </w:tcBorders>
            <w:hideMark/>
          </w:tcPr>
          <w:p w14:paraId="2599B292" w14:textId="13E7BBE6" w:rsidR="00556413" w:rsidRDefault="00556413" w:rsidP="00556413">
            <w:pPr>
              <w:keepNext/>
              <w:keepLines/>
              <w:spacing w:before="180"/>
              <w:jc w:val="center"/>
              <w:rPr>
                <w:rFonts w:ascii="Calibri" w:hAnsi="Calibri"/>
                <w:b/>
                <w:szCs w:val="20"/>
              </w:rPr>
            </w:pPr>
            <w:r>
              <w:rPr>
                <w:rFonts w:ascii="Calibri" w:hAnsi="Calibri"/>
                <w:b/>
                <w:szCs w:val="20"/>
              </w:rPr>
              <w:t>Jul–Dec</w:t>
            </w:r>
            <w:r>
              <w:rPr>
                <w:rFonts w:ascii="Calibri" w:hAnsi="Calibri"/>
                <w:b/>
                <w:szCs w:val="20"/>
              </w:rPr>
              <w:br/>
              <w:t>17</w:t>
            </w:r>
          </w:p>
        </w:tc>
        <w:tc>
          <w:tcPr>
            <w:tcW w:w="385" w:type="pct"/>
            <w:tcBorders>
              <w:top w:val="single" w:sz="4" w:space="0" w:color="auto"/>
              <w:left w:val="single" w:sz="4" w:space="0" w:color="auto"/>
              <w:bottom w:val="single" w:sz="4" w:space="0" w:color="auto"/>
              <w:right w:val="single" w:sz="4" w:space="0" w:color="auto"/>
            </w:tcBorders>
            <w:hideMark/>
          </w:tcPr>
          <w:p w14:paraId="146458E4" w14:textId="367997BE" w:rsidR="00556413" w:rsidRDefault="00556413" w:rsidP="00556413">
            <w:pPr>
              <w:keepNext/>
              <w:keepLines/>
              <w:spacing w:before="180"/>
              <w:jc w:val="center"/>
              <w:rPr>
                <w:rFonts w:ascii="Calibri" w:hAnsi="Calibri"/>
                <w:b/>
                <w:szCs w:val="20"/>
              </w:rPr>
            </w:pPr>
            <w:r>
              <w:rPr>
                <w:rFonts w:ascii="Calibri" w:hAnsi="Calibri"/>
                <w:b/>
                <w:szCs w:val="20"/>
              </w:rPr>
              <w:t>Jan–Jun</w:t>
            </w:r>
            <w:r>
              <w:rPr>
                <w:rFonts w:ascii="Calibri" w:hAnsi="Calibri"/>
                <w:b/>
                <w:szCs w:val="20"/>
              </w:rPr>
              <w:br/>
              <w:t>18</w:t>
            </w:r>
          </w:p>
        </w:tc>
        <w:tc>
          <w:tcPr>
            <w:tcW w:w="385" w:type="pct"/>
            <w:tcBorders>
              <w:top w:val="single" w:sz="4" w:space="0" w:color="auto"/>
              <w:left w:val="single" w:sz="4" w:space="0" w:color="auto"/>
              <w:bottom w:val="single" w:sz="4" w:space="0" w:color="auto"/>
              <w:right w:val="single" w:sz="4" w:space="0" w:color="auto"/>
            </w:tcBorders>
            <w:hideMark/>
          </w:tcPr>
          <w:p w14:paraId="68B2F21A" w14:textId="11236AD9" w:rsidR="00556413" w:rsidRDefault="00556413" w:rsidP="00556413">
            <w:pPr>
              <w:keepNext/>
              <w:keepLines/>
              <w:spacing w:before="180"/>
              <w:jc w:val="center"/>
              <w:rPr>
                <w:rFonts w:ascii="Calibri" w:hAnsi="Calibri"/>
                <w:b/>
                <w:szCs w:val="20"/>
              </w:rPr>
            </w:pPr>
            <w:r>
              <w:rPr>
                <w:rFonts w:ascii="Calibri" w:hAnsi="Calibri"/>
                <w:b/>
                <w:szCs w:val="20"/>
              </w:rPr>
              <w:t>Jul–Dec</w:t>
            </w:r>
            <w:r>
              <w:rPr>
                <w:rFonts w:ascii="Calibri" w:hAnsi="Calibri"/>
                <w:b/>
                <w:szCs w:val="20"/>
              </w:rPr>
              <w:br/>
              <w:t>18</w:t>
            </w:r>
          </w:p>
        </w:tc>
        <w:tc>
          <w:tcPr>
            <w:tcW w:w="385" w:type="pct"/>
            <w:tcBorders>
              <w:top w:val="single" w:sz="4" w:space="0" w:color="auto"/>
              <w:left w:val="single" w:sz="4" w:space="0" w:color="auto"/>
              <w:bottom w:val="single" w:sz="4" w:space="0" w:color="auto"/>
              <w:right w:val="single" w:sz="4" w:space="0" w:color="auto"/>
            </w:tcBorders>
            <w:hideMark/>
          </w:tcPr>
          <w:p w14:paraId="33FEB007" w14:textId="122694B8" w:rsidR="00556413" w:rsidRDefault="00556413" w:rsidP="00556413">
            <w:pPr>
              <w:keepNext/>
              <w:keepLines/>
              <w:spacing w:before="180"/>
              <w:jc w:val="center"/>
              <w:rPr>
                <w:rFonts w:ascii="Calibri" w:hAnsi="Calibri"/>
                <w:b/>
                <w:szCs w:val="20"/>
              </w:rPr>
            </w:pPr>
            <w:r>
              <w:rPr>
                <w:rFonts w:ascii="Calibri" w:hAnsi="Calibri"/>
                <w:b/>
                <w:szCs w:val="20"/>
              </w:rPr>
              <w:t>Jan–Jun</w:t>
            </w:r>
            <w:r>
              <w:rPr>
                <w:rFonts w:ascii="Calibri" w:hAnsi="Calibri"/>
                <w:b/>
                <w:szCs w:val="20"/>
              </w:rPr>
              <w:br/>
              <w:t>19</w:t>
            </w:r>
          </w:p>
        </w:tc>
        <w:tc>
          <w:tcPr>
            <w:tcW w:w="385" w:type="pct"/>
            <w:tcBorders>
              <w:top w:val="single" w:sz="4" w:space="0" w:color="auto"/>
              <w:left w:val="single" w:sz="4" w:space="0" w:color="auto"/>
              <w:bottom w:val="single" w:sz="4" w:space="0" w:color="auto"/>
              <w:right w:val="single" w:sz="4" w:space="0" w:color="auto"/>
            </w:tcBorders>
          </w:tcPr>
          <w:p w14:paraId="4CB3DB8D" w14:textId="31971A81" w:rsidR="00556413" w:rsidRDefault="00556413" w:rsidP="00556413">
            <w:pPr>
              <w:keepNext/>
              <w:keepLines/>
              <w:spacing w:before="180"/>
              <w:jc w:val="center"/>
              <w:rPr>
                <w:rFonts w:ascii="Calibri" w:hAnsi="Calibri"/>
                <w:b/>
                <w:szCs w:val="20"/>
              </w:rPr>
            </w:pPr>
            <w:r>
              <w:rPr>
                <w:rFonts w:ascii="Calibri" w:hAnsi="Calibri"/>
                <w:b/>
                <w:szCs w:val="20"/>
              </w:rPr>
              <w:t>Jul–Dec</w:t>
            </w:r>
          </w:p>
          <w:p w14:paraId="2AFA965A" w14:textId="77777777" w:rsidR="00556413" w:rsidRDefault="00556413" w:rsidP="00556413">
            <w:pPr>
              <w:keepNext/>
              <w:keepLines/>
              <w:jc w:val="center"/>
              <w:rPr>
                <w:rFonts w:ascii="Calibri" w:hAnsi="Calibri"/>
                <w:b/>
                <w:szCs w:val="20"/>
              </w:rPr>
            </w:pPr>
            <w:r>
              <w:rPr>
                <w:rFonts w:ascii="Calibri" w:hAnsi="Calibri"/>
                <w:b/>
                <w:szCs w:val="20"/>
              </w:rPr>
              <w:t>19</w:t>
            </w:r>
          </w:p>
        </w:tc>
        <w:tc>
          <w:tcPr>
            <w:tcW w:w="546" w:type="pct"/>
            <w:tcBorders>
              <w:top w:val="single" w:sz="4" w:space="0" w:color="auto"/>
              <w:left w:val="single" w:sz="4" w:space="0" w:color="auto"/>
              <w:bottom w:val="single" w:sz="4" w:space="0" w:color="auto"/>
              <w:right w:val="single" w:sz="4" w:space="0" w:color="auto"/>
            </w:tcBorders>
            <w:hideMark/>
          </w:tcPr>
          <w:p w14:paraId="6A66C446" w14:textId="77777777" w:rsidR="00556413" w:rsidRDefault="00556413" w:rsidP="00556413">
            <w:pPr>
              <w:keepNext/>
              <w:keepLines/>
              <w:spacing w:before="120"/>
              <w:jc w:val="center"/>
              <w:rPr>
                <w:rFonts w:ascii="Calibri" w:hAnsi="Calibri"/>
                <w:b/>
                <w:szCs w:val="20"/>
              </w:rPr>
            </w:pPr>
            <w:r>
              <w:rPr>
                <w:rFonts w:ascii="Calibri" w:hAnsi="Calibri"/>
                <w:b/>
                <w:szCs w:val="20"/>
              </w:rPr>
              <w:t xml:space="preserve">Average of last 4  </w:t>
            </w:r>
          </w:p>
          <w:p w14:paraId="03849982" w14:textId="77777777" w:rsidR="00556413" w:rsidRDefault="00556413" w:rsidP="00556413">
            <w:pPr>
              <w:keepNext/>
              <w:keepLines/>
              <w:jc w:val="center"/>
              <w:rPr>
                <w:rFonts w:ascii="Calibri" w:hAnsi="Calibri"/>
                <w:b/>
                <w:szCs w:val="20"/>
              </w:rPr>
            </w:pPr>
            <w:r>
              <w:rPr>
                <w:rFonts w:ascii="Calibri" w:hAnsi="Calibri"/>
                <w:b/>
                <w:szCs w:val="20"/>
              </w:rPr>
              <w:t>6-month periods</w:t>
            </w:r>
          </w:p>
        </w:tc>
        <w:tc>
          <w:tcPr>
            <w:tcW w:w="373" w:type="pct"/>
            <w:tcBorders>
              <w:top w:val="single" w:sz="4" w:space="0" w:color="auto"/>
              <w:left w:val="single" w:sz="4" w:space="0" w:color="auto"/>
              <w:bottom w:val="single" w:sz="4" w:space="0" w:color="auto"/>
              <w:right w:val="single" w:sz="4" w:space="0" w:color="auto"/>
            </w:tcBorders>
            <w:hideMark/>
          </w:tcPr>
          <w:p w14:paraId="1101CF2B" w14:textId="7AE8E041" w:rsidR="00556413" w:rsidRDefault="00556413" w:rsidP="00556413">
            <w:pPr>
              <w:keepNext/>
              <w:keepLines/>
              <w:spacing w:before="180"/>
              <w:jc w:val="center"/>
              <w:rPr>
                <w:rFonts w:ascii="Calibri" w:hAnsi="Calibri"/>
                <w:b/>
                <w:szCs w:val="20"/>
              </w:rPr>
            </w:pPr>
            <w:r>
              <w:rPr>
                <w:rFonts w:ascii="Calibri" w:hAnsi="Calibri"/>
                <w:b/>
                <w:szCs w:val="20"/>
              </w:rPr>
              <w:t>Jan</w:t>
            </w:r>
            <w:r w:rsidR="00130B4D">
              <w:rPr>
                <w:rFonts w:ascii="Calibri" w:hAnsi="Calibri"/>
                <w:b/>
                <w:szCs w:val="20"/>
              </w:rPr>
              <w:t>–</w:t>
            </w:r>
            <w:r>
              <w:rPr>
                <w:rFonts w:ascii="Calibri" w:hAnsi="Calibri"/>
                <w:b/>
                <w:szCs w:val="20"/>
              </w:rPr>
              <w:t>Jun</w:t>
            </w:r>
          </w:p>
          <w:p w14:paraId="0D756E47" w14:textId="775E1302" w:rsidR="00556413" w:rsidRDefault="00556413" w:rsidP="00556413">
            <w:pPr>
              <w:keepNext/>
              <w:keepLines/>
              <w:jc w:val="center"/>
              <w:rPr>
                <w:rFonts w:ascii="Calibri" w:hAnsi="Calibri"/>
                <w:b/>
                <w:szCs w:val="20"/>
              </w:rPr>
            </w:pPr>
            <w:r>
              <w:rPr>
                <w:rFonts w:ascii="Calibri" w:hAnsi="Calibri"/>
                <w:b/>
                <w:szCs w:val="20"/>
              </w:rPr>
              <w:t>20</w:t>
            </w:r>
          </w:p>
        </w:tc>
      </w:tr>
      <w:tr w:rsidR="00556413" w14:paraId="1394FE71" w14:textId="77777777" w:rsidTr="0078382D">
        <w:tc>
          <w:tcPr>
            <w:tcW w:w="672" w:type="pct"/>
            <w:tcBorders>
              <w:top w:val="single" w:sz="4" w:space="0" w:color="auto"/>
              <w:left w:val="single" w:sz="4" w:space="0" w:color="auto"/>
              <w:bottom w:val="single" w:sz="4" w:space="0" w:color="auto"/>
              <w:right w:val="single" w:sz="4" w:space="0" w:color="auto"/>
            </w:tcBorders>
            <w:vAlign w:val="center"/>
            <w:hideMark/>
          </w:tcPr>
          <w:p w14:paraId="42129D24" w14:textId="77777777" w:rsidR="00556413" w:rsidRDefault="00556413" w:rsidP="00556413">
            <w:pPr>
              <w:keepNext/>
              <w:keepLines/>
              <w:spacing w:after="40"/>
              <w:jc w:val="left"/>
              <w:rPr>
                <w:rFonts w:ascii="Calibri" w:hAnsi="Calibri"/>
                <w:b/>
                <w:szCs w:val="20"/>
              </w:rPr>
            </w:pPr>
            <w:r>
              <w:rPr>
                <w:rFonts w:ascii="Calibri" w:hAnsi="Calibri"/>
                <w:b/>
                <w:szCs w:val="20"/>
              </w:rPr>
              <w:t>Number of complaints closed</w:t>
            </w:r>
          </w:p>
        </w:tc>
        <w:tc>
          <w:tcPr>
            <w:tcW w:w="384" w:type="pct"/>
            <w:tcBorders>
              <w:top w:val="single" w:sz="4" w:space="0" w:color="auto"/>
              <w:left w:val="single" w:sz="4" w:space="0" w:color="auto"/>
              <w:bottom w:val="single" w:sz="4" w:space="0" w:color="auto"/>
              <w:right w:val="single" w:sz="4" w:space="0" w:color="auto"/>
            </w:tcBorders>
            <w:vAlign w:val="center"/>
          </w:tcPr>
          <w:p w14:paraId="5F23382E" w14:textId="7B3D3112" w:rsidR="00556413" w:rsidRDefault="00556413" w:rsidP="00556413">
            <w:pPr>
              <w:keepNext/>
              <w:keepLines/>
              <w:jc w:val="center"/>
              <w:rPr>
                <w:rFonts w:ascii="Calibri" w:hAnsi="Calibri"/>
                <w:szCs w:val="20"/>
              </w:rPr>
            </w:pPr>
            <w:r>
              <w:rPr>
                <w:rFonts w:ascii="Calibri" w:hAnsi="Calibri"/>
                <w:szCs w:val="20"/>
              </w:rPr>
              <w:t>365</w:t>
            </w:r>
          </w:p>
        </w:tc>
        <w:tc>
          <w:tcPr>
            <w:tcW w:w="333" w:type="pct"/>
            <w:tcBorders>
              <w:top w:val="single" w:sz="4" w:space="0" w:color="auto"/>
              <w:left w:val="single" w:sz="4" w:space="0" w:color="auto"/>
              <w:bottom w:val="single" w:sz="4" w:space="0" w:color="auto"/>
              <w:right w:val="single" w:sz="4" w:space="0" w:color="auto"/>
            </w:tcBorders>
            <w:vAlign w:val="center"/>
            <w:hideMark/>
          </w:tcPr>
          <w:p w14:paraId="652F2F33" w14:textId="41708591" w:rsidR="00556413" w:rsidRDefault="00556413" w:rsidP="00556413">
            <w:pPr>
              <w:keepNext/>
              <w:keepLines/>
              <w:jc w:val="center"/>
              <w:rPr>
                <w:rFonts w:ascii="Calibri" w:hAnsi="Calibri"/>
                <w:szCs w:val="20"/>
              </w:rPr>
            </w:pPr>
            <w:r>
              <w:rPr>
                <w:rFonts w:ascii="Calibri" w:hAnsi="Calibri"/>
                <w:szCs w:val="20"/>
              </w:rPr>
              <w:t>482</w:t>
            </w:r>
          </w:p>
        </w:tc>
        <w:tc>
          <w:tcPr>
            <w:tcW w:w="382" w:type="pct"/>
            <w:tcBorders>
              <w:top w:val="single" w:sz="4" w:space="0" w:color="auto"/>
              <w:left w:val="single" w:sz="4" w:space="0" w:color="auto"/>
              <w:bottom w:val="single" w:sz="4" w:space="0" w:color="auto"/>
              <w:right w:val="single" w:sz="4" w:space="0" w:color="auto"/>
            </w:tcBorders>
            <w:vAlign w:val="center"/>
            <w:hideMark/>
          </w:tcPr>
          <w:p w14:paraId="5E32A658" w14:textId="35C0FBF1" w:rsidR="00556413" w:rsidRDefault="00556413" w:rsidP="00556413">
            <w:pPr>
              <w:keepNext/>
              <w:keepLines/>
              <w:jc w:val="center"/>
              <w:rPr>
                <w:rFonts w:ascii="Calibri" w:hAnsi="Calibri"/>
                <w:szCs w:val="20"/>
              </w:rPr>
            </w:pPr>
            <w:r>
              <w:rPr>
                <w:rFonts w:ascii="Calibri" w:hAnsi="Calibri"/>
                <w:szCs w:val="20"/>
              </w:rPr>
              <w:t>316</w:t>
            </w:r>
          </w:p>
        </w:tc>
        <w:tc>
          <w:tcPr>
            <w:tcW w:w="385" w:type="pct"/>
            <w:tcBorders>
              <w:top w:val="single" w:sz="4" w:space="0" w:color="auto"/>
              <w:left w:val="single" w:sz="4" w:space="0" w:color="auto"/>
              <w:bottom w:val="single" w:sz="4" w:space="0" w:color="auto"/>
              <w:right w:val="single" w:sz="4" w:space="0" w:color="auto"/>
            </w:tcBorders>
            <w:vAlign w:val="center"/>
            <w:hideMark/>
          </w:tcPr>
          <w:p w14:paraId="5824709C" w14:textId="33FBF526" w:rsidR="00556413" w:rsidRDefault="00556413" w:rsidP="00556413">
            <w:pPr>
              <w:keepNext/>
              <w:keepLines/>
              <w:jc w:val="center"/>
              <w:rPr>
                <w:rFonts w:ascii="Calibri" w:hAnsi="Calibri"/>
                <w:szCs w:val="20"/>
              </w:rPr>
            </w:pPr>
            <w:r>
              <w:rPr>
                <w:rFonts w:ascii="Calibri" w:hAnsi="Calibri"/>
                <w:szCs w:val="20"/>
              </w:rPr>
              <w:t>465</w:t>
            </w:r>
          </w:p>
        </w:tc>
        <w:tc>
          <w:tcPr>
            <w:tcW w:w="385" w:type="pct"/>
            <w:tcBorders>
              <w:top w:val="single" w:sz="4" w:space="0" w:color="auto"/>
              <w:left w:val="single" w:sz="4" w:space="0" w:color="auto"/>
              <w:bottom w:val="single" w:sz="4" w:space="0" w:color="auto"/>
              <w:right w:val="single" w:sz="4" w:space="0" w:color="auto"/>
            </w:tcBorders>
            <w:vAlign w:val="center"/>
            <w:hideMark/>
          </w:tcPr>
          <w:p w14:paraId="0900E711" w14:textId="61423F93" w:rsidR="00556413" w:rsidRDefault="00556413" w:rsidP="00556413">
            <w:pPr>
              <w:keepNext/>
              <w:keepLines/>
              <w:jc w:val="center"/>
              <w:rPr>
                <w:rFonts w:ascii="Calibri" w:hAnsi="Calibri"/>
                <w:szCs w:val="20"/>
              </w:rPr>
            </w:pPr>
            <w:r>
              <w:rPr>
                <w:rFonts w:ascii="Calibri" w:hAnsi="Calibri"/>
                <w:szCs w:val="20"/>
              </w:rPr>
              <w:t>383</w:t>
            </w:r>
          </w:p>
        </w:tc>
        <w:tc>
          <w:tcPr>
            <w:tcW w:w="385" w:type="pct"/>
            <w:tcBorders>
              <w:top w:val="single" w:sz="4" w:space="0" w:color="auto"/>
              <w:left w:val="single" w:sz="4" w:space="0" w:color="auto"/>
              <w:bottom w:val="single" w:sz="4" w:space="0" w:color="auto"/>
              <w:right w:val="single" w:sz="4" w:space="0" w:color="auto"/>
            </w:tcBorders>
            <w:vAlign w:val="center"/>
            <w:hideMark/>
          </w:tcPr>
          <w:p w14:paraId="02AD3B37" w14:textId="6B43C978" w:rsidR="00556413" w:rsidRDefault="00556413" w:rsidP="00556413">
            <w:pPr>
              <w:keepNext/>
              <w:keepLines/>
              <w:jc w:val="center"/>
              <w:rPr>
                <w:rFonts w:ascii="Calibri" w:hAnsi="Calibri"/>
                <w:szCs w:val="20"/>
              </w:rPr>
            </w:pPr>
            <w:r>
              <w:rPr>
                <w:rFonts w:ascii="Calibri" w:hAnsi="Calibri"/>
                <w:szCs w:val="20"/>
              </w:rPr>
              <w:t>476</w:t>
            </w:r>
          </w:p>
        </w:tc>
        <w:tc>
          <w:tcPr>
            <w:tcW w:w="385" w:type="pct"/>
            <w:tcBorders>
              <w:top w:val="single" w:sz="4" w:space="0" w:color="auto"/>
              <w:left w:val="single" w:sz="4" w:space="0" w:color="auto"/>
              <w:bottom w:val="single" w:sz="4" w:space="0" w:color="auto"/>
              <w:right w:val="single" w:sz="4" w:space="0" w:color="auto"/>
            </w:tcBorders>
            <w:vAlign w:val="center"/>
            <w:hideMark/>
          </w:tcPr>
          <w:p w14:paraId="4AC55DC2" w14:textId="6571DECB" w:rsidR="00556413" w:rsidRDefault="00556413" w:rsidP="00556413">
            <w:pPr>
              <w:keepNext/>
              <w:keepLines/>
              <w:jc w:val="center"/>
              <w:rPr>
                <w:rFonts w:ascii="Calibri" w:hAnsi="Calibri"/>
                <w:szCs w:val="20"/>
              </w:rPr>
            </w:pPr>
            <w:r>
              <w:rPr>
                <w:rFonts w:ascii="Calibri" w:hAnsi="Calibri"/>
                <w:szCs w:val="20"/>
              </w:rPr>
              <w:t>449</w:t>
            </w:r>
          </w:p>
        </w:tc>
        <w:tc>
          <w:tcPr>
            <w:tcW w:w="385" w:type="pct"/>
            <w:tcBorders>
              <w:top w:val="single" w:sz="4" w:space="0" w:color="auto"/>
              <w:left w:val="single" w:sz="4" w:space="0" w:color="auto"/>
              <w:bottom w:val="single" w:sz="4" w:space="0" w:color="auto"/>
              <w:right w:val="single" w:sz="4" w:space="0" w:color="auto"/>
            </w:tcBorders>
            <w:vAlign w:val="center"/>
            <w:hideMark/>
          </w:tcPr>
          <w:p w14:paraId="10AABED6" w14:textId="3FFF044F" w:rsidR="00556413" w:rsidRDefault="00556413" w:rsidP="00556413">
            <w:pPr>
              <w:keepNext/>
              <w:keepLines/>
              <w:jc w:val="center"/>
              <w:rPr>
                <w:rFonts w:ascii="Calibri" w:hAnsi="Calibri"/>
                <w:szCs w:val="20"/>
              </w:rPr>
            </w:pPr>
            <w:r w:rsidRPr="003B4C75">
              <w:rPr>
                <w:rFonts w:ascii="Calibri" w:hAnsi="Calibri"/>
                <w:szCs w:val="20"/>
              </w:rPr>
              <w:t>444</w:t>
            </w:r>
          </w:p>
        </w:tc>
        <w:tc>
          <w:tcPr>
            <w:tcW w:w="385" w:type="pct"/>
            <w:tcBorders>
              <w:top w:val="single" w:sz="4" w:space="0" w:color="auto"/>
              <w:left w:val="single" w:sz="4" w:space="0" w:color="auto"/>
              <w:bottom w:val="single" w:sz="4" w:space="0" w:color="auto"/>
              <w:right w:val="single" w:sz="4" w:space="0" w:color="auto"/>
            </w:tcBorders>
            <w:vAlign w:val="center"/>
          </w:tcPr>
          <w:p w14:paraId="0167DCAE" w14:textId="5760BD1E" w:rsidR="00556413" w:rsidRPr="003B4C75" w:rsidRDefault="00556413" w:rsidP="00556413">
            <w:pPr>
              <w:keepNext/>
              <w:keepLines/>
              <w:jc w:val="center"/>
              <w:rPr>
                <w:rFonts w:ascii="Calibri" w:hAnsi="Calibri"/>
                <w:szCs w:val="20"/>
              </w:rPr>
            </w:pPr>
            <w:r>
              <w:rPr>
                <w:rFonts w:ascii="Calibri" w:hAnsi="Calibri"/>
                <w:szCs w:val="20"/>
              </w:rPr>
              <w:t>423</w:t>
            </w:r>
          </w:p>
        </w:tc>
        <w:tc>
          <w:tcPr>
            <w:tcW w:w="546" w:type="pct"/>
            <w:tcBorders>
              <w:top w:val="single" w:sz="4" w:space="0" w:color="auto"/>
              <w:left w:val="single" w:sz="4" w:space="0" w:color="auto"/>
              <w:bottom w:val="single" w:sz="4" w:space="0" w:color="auto"/>
              <w:right w:val="single" w:sz="4" w:space="0" w:color="auto"/>
            </w:tcBorders>
            <w:vAlign w:val="center"/>
            <w:hideMark/>
          </w:tcPr>
          <w:p w14:paraId="0889B6E3" w14:textId="62F5D97B" w:rsidR="00556413" w:rsidRDefault="00556413" w:rsidP="00556413">
            <w:pPr>
              <w:keepNext/>
              <w:keepLines/>
              <w:jc w:val="center"/>
              <w:rPr>
                <w:rFonts w:ascii="Calibri" w:hAnsi="Calibri"/>
                <w:b/>
                <w:szCs w:val="20"/>
              </w:rPr>
            </w:pPr>
            <w:r>
              <w:rPr>
                <w:rFonts w:ascii="Calibri" w:hAnsi="Calibri"/>
                <w:b/>
                <w:szCs w:val="20"/>
              </w:rPr>
              <w:t>448</w:t>
            </w:r>
          </w:p>
        </w:tc>
        <w:tc>
          <w:tcPr>
            <w:tcW w:w="373" w:type="pct"/>
            <w:tcBorders>
              <w:top w:val="single" w:sz="4" w:space="0" w:color="auto"/>
              <w:left w:val="single" w:sz="4" w:space="0" w:color="auto"/>
              <w:bottom w:val="single" w:sz="4" w:space="0" w:color="auto"/>
              <w:right w:val="single" w:sz="4" w:space="0" w:color="auto"/>
            </w:tcBorders>
            <w:vAlign w:val="center"/>
            <w:hideMark/>
          </w:tcPr>
          <w:p w14:paraId="2639D45F" w14:textId="5CAB3A35" w:rsidR="00556413" w:rsidRDefault="006A7AED" w:rsidP="00556413">
            <w:pPr>
              <w:keepNext/>
              <w:keepLines/>
              <w:jc w:val="center"/>
              <w:rPr>
                <w:rFonts w:ascii="Calibri" w:hAnsi="Calibri"/>
                <w:b/>
                <w:szCs w:val="20"/>
              </w:rPr>
            </w:pPr>
            <w:r>
              <w:rPr>
                <w:rFonts w:ascii="Calibri" w:hAnsi="Calibri"/>
                <w:b/>
                <w:szCs w:val="20"/>
              </w:rPr>
              <w:t>428</w:t>
            </w:r>
          </w:p>
        </w:tc>
      </w:tr>
    </w:tbl>
    <w:p w14:paraId="55F2008A" w14:textId="77777777" w:rsidR="00841E1C" w:rsidRDefault="00841E1C" w:rsidP="00841E1C">
      <w:bookmarkStart w:id="81" w:name="_Toc415221219"/>
      <w:bookmarkStart w:id="82" w:name="_Toc415153518"/>
      <w:bookmarkStart w:id="83" w:name="_Toc415147244"/>
      <w:bookmarkStart w:id="84" w:name="_Toc415135530"/>
      <w:bookmarkStart w:id="85" w:name="_Toc415046458"/>
      <w:bookmarkStart w:id="86" w:name="_Toc415039802"/>
      <w:bookmarkStart w:id="87" w:name="_Toc414952831"/>
      <w:bookmarkStart w:id="88" w:name="_Toc414886546"/>
      <w:bookmarkStart w:id="89" w:name="_Toc414875836"/>
      <w:bookmarkStart w:id="90" w:name="_Toc414461838"/>
      <w:bookmarkStart w:id="91" w:name="_Toc414442657"/>
    </w:p>
    <w:p w14:paraId="68C9801B" w14:textId="14A7793E" w:rsidR="00F666F0" w:rsidRPr="00666BAC" w:rsidRDefault="00F666F0" w:rsidP="0078382D">
      <w:pPr>
        <w:pStyle w:val="Heading3"/>
        <w:spacing w:before="240"/>
        <w:rPr>
          <w:b/>
          <w:i w:val="0"/>
          <w:sz w:val="28"/>
          <w:szCs w:val="28"/>
          <w:lang w:val="en-AU" w:bidi="ar-SA"/>
        </w:rPr>
      </w:pPr>
      <w:bookmarkStart w:id="92" w:name="_Toc58316493"/>
      <w:bookmarkEnd w:id="81"/>
      <w:bookmarkEnd w:id="82"/>
      <w:bookmarkEnd w:id="83"/>
      <w:bookmarkEnd w:id="84"/>
      <w:bookmarkEnd w:id="85"/>
      <w:bookmarkEnd w:id="86"/>
      <w:bookmarkEnd w:id="87"/>
      <w:bookmarkEnd w:id="88"/>
      <w:bookmarkEnd w:id="89"/>
      <w:bookmarkEnd w:id="90"/>
      <w:bookmarkEnd w:id="91"/>
      <w:r>
        <w:rPr>
          <w:b/>
          <w:i w:val="0"/>
          <w:sz w:val="28"/>
          <w:szCs w:val="28"/>
          <w:lang w:val="en-AU" w:bidi="ar-SA"/>
        </w:rPr>
        <w:lastRenderedPageBreak/>
        <w:t>4.2</w:t>
      </w:r>
      <w:r w:rsidRPr="00666BAC">
        <w:rPr>
          <w:b/>
          <w:i w:val="0"/>
          <w:sz w:val="28"/>
          <w:szCs w:val="28"/>
          <w:lang w:val="en-AU" w:bidi="ar-SA"/>
        </w:rPr>
        <w:t xml:space="preserve"> </w:t>
      </w:r>
      <w:r w:rsidRPr="00666BAC">
        <w:rPr>
          <w:b/>
          <w:i w:val="0"/>
          <w:sz w:val="28"/>
          <w:szCs w:val="28"/>
          <w:lang w:val="en-AU" w:bidi="ar-SA"/>
        </w:rPr>
        <w:tab/>
      </w:r>
      <w:r>
        <w:rPr>
          <w:b/>
          <w:i w:val="0"/>
          <w:sz w:val="28"/>
          <w:szCs w:val="28"/>
          <w:lang w:val="en-AU" w:bidi="ar-SA"/>
        </w:rPr>
        <w:t>Outcomes of complaints closed</w:t>
      </w:r>
      <w:bookmarkEnd w:id="92"/>
    </w:p>
    <w:p w14:paraId="5DE11728" w14:textId="77777777" w:rsidR="00841E1C" w:rsidRDefault="00841E1C" w:rsidP="0078382D">
      <w:pPr>
        <w:keepNext/>
        <w:rPr>
          <w:lang w:eastAsia="en-NZ" w:bidi="ar-SA"/>
        </w:rPr>
      </w:pPr>
    </w:p>
    <w:p w14:paraId="1F424CA0" w14:textId="5F324E67" w:rsidR="00841E1C" w:rsidRPr="008565E0" w:rsidRDefault="00841E1C" w:rsidP="00841E1C">
      <w:pPr>
        <w:rPr>
          <w:lang w:eastAsia="en-NZ"/>
        </w:rPr>
      </w:pPr>
      <w:r w:rsidRPr="0029389C">
        <w:rPr>
          <w:lang w:eastAsia="en-NZ"/>
        </w:rPr>
        <w:t xml:space="preserve">In the </w:t>
      </w:r>
      <w:r w:rsidR="001F7DC9">
        <w:t>Jan–</w:t>
      </w:r>
      <w:r w:rsidR="00556413">
        <w:t>Jun 2020</w:t>
      </w:r>
      <w:r w:rsidRPr="0029389C">
        <w:t xml:space="preserve"> </w:t>
      </w:r>
      <w:r w:rsidR="001F7DC9">
        <w:rPr>
          <w:lang w:eastAsia="en-NZ"/>
        </w:rPr>
        <w:t xml:space="preserve">period, </w:t>
      </w:r>
      <w:r w:rsidR="009D66A9">
        <w:rPr>
          <w:lang w:eastAsia="en-NZ"/>
        </w:rPr>
        <w:t>seven</w:t>
      </w:r>
      <w:r w:rsidRPr="0029389C">
        <w:rPr>
          <w:lang w:eastAsia="en-NZ"/>
        </w:rPr>
        <w:t xml:space="preserve"> DHBs</w:t>
      </w:r>
      <w:r w:rsidR="001F7DC9">
        <w:rPr>
          <w:lang w:eastAsia="en-NZ"/>
        </w:rPr>
        <w:t xml:space="preserve"> had no investigations closed, </w:t>
      </w:r>
      <w:r w:rsidR="009D66A9">
        <w:rPr>
          <w:lang w:eastAsia="en-NZ"/>
        </w:rPr>
        <w:t>three</w:t>
      </w:r>
      <w:r w:rsidRPr="0029389C">
        <w:rPr>
          <w:lang w:eastAsia="en-NZ"/>
        </w:rPr>
        <w:t xml:space="preserve"> DHBs</w:t>
      </w:r>
      <w:r w:rsidR="001F7DC9">
        <w:rPr>
          <w:lang w:eastAsia="en-NZ"/>
        </w:rPr>
        <w:t xml:space="preserve"> had one investigation closed, </w:t>
      </w:r>
      <w:r w:rsidR="009D66A9">
        <w:rPr>
          <w:lang w:eastAsia="en-NZ"/>
        </w:rPr>
        <w:t>six</w:t>
      </w:r>
      <w:r w:rsidRPr="0029389C">
        <w:rPr>
          <w:lang w:eastAsia="en-NZ"/>
        </w:rPr>
        <w:t xml:space="preserve"> DHBs </w:t>
      </w:r>
      <w:r w:rsidR="001F7DC9">
        <w:rPr>
          <w:lang w:eastAsia="en-NZ"/>
        </w:rPr>
        <w:t xml:space="preserve">had two investigations closed, </w:t>
      </w:r>
      <w:r w:rsidR="009D66A9">
        <w:rPr>
          <w:lang w:eastAsia="en-NZ"/>
        </w:rPr>
        <w:t>one</w:t>
      </w:r>
      <w:r w:rsidRPr="0029389C">
        <w:rPr>
          <w:lang w:eastAsia="en-NZ"/>
        </w:rPr>
        <w:t xml:space="preserve"> DHB ha</w:t>
      </w:r>
      <w:r w:rsidR="001F7DC9">
        <w:rPr>
          <w:lang w:eastAsia="en-NZ"/>
        </w:rPr>
        <w:t xml:space="preserve">d three investigations closed, </w:t>
      </w:r>
      <w:r w:rsidR="009D66A9">
        <w:rPr>
          <w:lang w:eastAsia="en-NZ"/>
        </w:rPr>
        <w:t>two</w:t>
      </w:r>
      <w:r w:rsidRPr="0029389C">
        <w:rPr>
          <w:lang w:eastAsia="en-NZ"/>
        </w:rPr>
        <w:t xml:space="preserve"> DHB</w:t>
      </w:r>
      <w:r w:rsidR="001F7DC9">
        <w:rPr>
          <w:lang w:eastAsia="en-NZ"/>
        </w:rPr>
        <w:t>s</w:t>
      </w:r>
      <w:r w:rsidRPr="0029389C">
        <w:rPr>
          <w:lang w:eastAsia="en-NZ"/>
        </w:rPr>
        <w:t xml:space="preserve"> had </w:t>
      </w:r>
      <w:r w:rsidR="001F7DC9">
        <w:rPr>
          <w:lang w:eastAsia="en-NZ"/>
        </w:rPr>
        <w:t>four investigations closed</w:t>
      </w:r>
      <w:r w:rsidR="00130B4D">
        <w:rPr>
          <w:lang w:eastAsia="en-NZ"/>
        </w:rPr>
        <w:t>,</w:t>
      </w:r>
      <w:r w:rsidR="001F7DC9">
        <w:rPr>
          <w:lang w:eastAsia="en-NZ"/>
        </w:rPr>
        <w:t xml:space="preserve"> and </w:t>
      </w:r>
      <w:r w:rsidR="009D66A9">
        <w:rPr>
          <w:lang w:eastAsia="en-NZ"/>
        </w:rPr>
        <w:t>one</w:t>
      </w:r>
      <w:r w:rsidRPr="0029389C">
        <w:rPr>
          <w:lang w:eastAsia="en-NZ"/>
        </w:rPr>
        <w:t xml:space="preserve"> DHB had five investigations closed.</w:t>
      </w:r>
    </w:p>
    <w:p w14:paraId="1F1BF6EE" w14:textId="38B786A0" w:rsidR="00555018" w:rsidRDefault="00841E1C" w:rsidP="0078382D">
      <w:pPr>
        <w:spacing w:after="240"/>
        <w:rPr>
          <w:rFonts w:ascii="Calibri" w:hAnsi="Calibri"/>
        </w:rPr>
      </w:pPr>
      <w:r>
        <w:rPr>
          <w:rFonts w:ascii="Calibri" w:hAnsi="Calibri"/>
          <w:lang w:eastAsia="en-NZ"/>
        </w:rPr>
        <w:br/>
      </w:r>
      <w:r>
        <w:rPr>
          <w:rFonts w:ascii="Calibri" w:hAnsi="Calibri"/>
        </w:rPr>
        <w:t xml:space="preserve">The manner of resolution </w:t>
      </w:r>
      <w:r>
        <w:rPr>
          <w:rFonts w:ascii="Calibri" w:hAnsi="Calibri" w:cs="Calibri"/>
        </w:rPr>
        <w:t>and</w:t>
      </w:r>
      <w:r>
        <w:rPr>
          <w:rFonts w:ascii="Calibri" w:hAnsi="Calibri"/>
        </w:rPr>
        <w:t xml:space="preserve"> outcomes of all complaints about DHBs closed in </w:t>
      </w:r>
      <w:r w:rsidR="001F7DC9">
        <w:t>Jan–</w:t>
      </w:r>
      <w:r w:rsidR="00556413">
        <w:t>Jun 2020</w:t>
      </w:r>
      <w:r>
        <w:t xml:space="preserve"> </w:t>
      </w:r>
      <w:r w:rsidR="001F7DC9">
        <w:rPr>
          <w:rFonts w:ascii="Calibri" w:hAnsi="Calibri"/>
        </w:rPr>
        <w:t>is shown in Table 12</w:t>
      </w:r>
      <w:r>
        <w:rPr>
          <w:rFonts w:ascii="Calibri" w:hAnsi="Calibri"/>
        </w:rPr>
        <w:t xml:space="preserve">. </w:t>
      </w:r>
    </w:p>
    <w:p w14:paraId="7D85FC92" w14:textId="77777777" w:rsidR="00555018" w:rsidRDefault="00555018" w:rsidP="00841E1C">
      <w:pPr>
        <w:rPr>
          <w:rFonts w:ascii="Calibri" w:hAnsi="Calibri"/>
        </w:rPr>
      </w:pPr>
    </w:p>
    <w:p w14:paraId="3DE632A2" w14:textId="01E5DBC1" w:rsidR="00555018" w:rsidRDefault="001F7DC9" w:rsidP="00555018">
      <w:pPr>
        <w:keepNext/>
        <w:keepLines/>
        <w:spacing w:after="120"/>
        <w:rPr>
          <w:lang w:eastAsia="en-NZ"/>
        </w:rPr>
      </w:pPr>
      <w:r>
        <w:rPr>
          <w:rFonts w:ascii="Calibri" w:hAnsi="Calibri"/>
          <w:b/>
          <w:szCs w:val="22"/>
        </w:rPr>
        <w:t>Table 12</w:t>
      </w:r>
      <w:r w:rsidR="00555018">
        <w:rPr>
          <w:rFonts w:ascii="Calibri" w:hAnsi="Calibri"/>
          <w:b/>
          <w:szCs w:val="22"/>
        </w:rPr>
        <w:t xml:space="preserve">. </w:t>
      </w:r>
      <w:r w:rsidR="00555018">
        <w:rPr>
          <w:rFonts w:ascii="Calibri" w:hAnsi="Calibri"/>
          <w:szCs w:val="22"/>
        </w:rPr>
        <w:t>Outcome for DHBs of complaints closed by complaint type</w:t>
      </w:r>
      <w:r w:rsidR="00555018" w:rsidRPr="003E5338">
        <w:rPr>
          <w:rStyle w:val="FootnoteReference"/>
        </w:rPr>
        <w:footnoteReference w:id="5"/>
      </w:r>
    </w:p>
    <w:tbl>
      <w:tblPr>
        <w:tblStyle w:val="TableGrid"/>
        <w:tblW w:w="9178" w:type="dxa"/>
        <w:tblLook w:val="04A0" w:firstRow="1" w:lastRow="0" w:firstColumn="1" w:lastColumn="0" w:noHBand="0" w:noVBand="1"/>
      </w:tblPr>
      <w:tblGrid>
        <w:gridCol w:w="7090"/>
        <w:gridCol w:w="2088"/>
      </w:tblGrid>
      <w:tr w:rsidR="00555018" w14:paraId="14D7294B" w14:textId="77777777" w:rsidTr="0078382D">
        <w:trPr>
          <w:trHeight w:val="386"/>
        </w:trPr>
        <w:tc>
          <w:tcPr>
            <w:tcW w:w="7090"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433153FB" w14:textId="77777777" w:rsidR="00555018" w:rsidRPr="00556413" w:rsidRDefault="00555018" w:rsidP="0078382D">
            <w:pPr>
              <w:keepNext/>
              <w:keepLines/>
              <w:tabs>
                <w:tab w:val="left" w:pos="1440"/>
                <w:tab w:val="decimal" w:pos="4320"/>
              </w:tabs>
              <w:jc w:val="left"/>
              <w:outlineLvl w:val="0"/>
              <w:rPr>
                <w:rFonts w:ascii="Calibri" w:hAnsi="Calibri"/>
                <w:b/>
                <w:sz w:val="22"/>
                <w:szCs w:val="22"/>
              </w:rPr>
            </w:pPr>
            <w:r w:rsidRPr="00556413">
              <w:rPr>
                <w:rFonts w:ascii="Calibri" w:hAnsi="Calibri"/>
                <w:b/>
                <w:sz w:val="22"/>
                <w:szCs w:val="22"/>
              </w:rPr>
              <w:br w:type="page"/>
              <w:t>Outcome for DHBs</w:t>
            </w:r>
          </w:p>
        </w:tc>
        <w:tc>
          <w:tcPr>
            <w:tcW w:w="2088" w:type="dxa"/>
            <w:tcBorders>
              <w:top w:val="single" w:sz="4" w:space="0" w:color="auto"/>
              <w:left w:val="single" w:sz="4" w:space="0" w:color="auto"/>
              <w:bottom w:val="single" w:sz="4" w:space="0" w:color="auto"/>
              <w:right w:val="single" w:sz="4" w:space="0" w:color="auto"/>
            </w:tcBorders>
            <w:shd w:val="clear" w:color="auto" w:fill="C00000"/>
          </w:tcPr>
          <w:p w14:paraId="566FA9EF" w14:textId="77777777" w:rsidR="00555018" w:rsidRPr="00556413" w:rsidRDefault="00555018" w:rsidP="0078382D">
            <w:pPr>
              <w:keepNext/>
              <w:keepLines/>
              <w:tabs>
                <w:tab w:val="left" w:pos="1440"/>
                <w:tab w:val="decimal" w:pos="4320"/>
              </w:tabs>
              <w:spacing w:before="60" w:after="60"/>
              <w:jc w:val="center"/>
              <w:outlineLvl w:val="0"/>
              <w:rPr>
                <w:rFonts w:ascii="Calibri" w:hAnsi="Calibri"/>
                <w:b/>
                <w:sz w:val="22"/>
                <w:szCs w:val="22"/>
              </w:rPr>
            </w:pPr>
            <w:r w:rsidRPr="00556413">
              <w:rPr>
                <w:rFonts w:ascii="Calibri" w:hAnsi="Calibri"/>
                <w:b/>
                <w:sz w:val="22"/>
                <w:szCs w:val="22"/>
              </w:rPr>
              <w:t>Number of complaints closed</w:t>
            </w:r>
          </w:p>
        </w:tc>
      </w:tr>
      <w:tr w:rsidR="00555018" w14:paraId="0BAE7F45" w14:textId="77777777" w:rsidTr="0078382D">
        <w:trPr>
          <w:trHeight w:val="272"/>
        </w:trPr>
        <w:tc>
          <w:tcPr>
            <w:tcW w:w="7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57D234" w14:textId="77777777" w:rsidR="00555018" w:rsidRPr="00556413" w:rsidRDefault="00555018" w:rsidP="00555018">
            <w:pPr>
              <w:keepNext/>
              <w:keepLines/>
              <w:tabs>
                <w:tab w:val="left" w:pos="1440"/>
                <w:tab w:val="decimal" w:pos="4320"/>
              </w:tabs>
              <w:jc w:val="left"/>
              <w:outlineLvl w:val="0"/>
              <w:rPr>
                <w:rFonts w:ascii="Calibri" w:hAnsi="Calibri"/>
                <w:b/>
                <w:i/>
                <w:sz w:val="22"/>
                <w:szCs w:val="22"/>
              </w:rPr>
            </w:pPr>
            <w:r w:rsidRPr="00556413">
              <w:rPr>
                <w:rFonts w:ascii="Calibri" w:hAnsi="Calibri"/>
                <w:b/>
                <w:i/>
                <w:sz w:val="22"/>
                <w:szCs w:val="22"/>
              </w:rPr>
              <w:t>Investigation</w:t>
            </w:r>
          </w:p>
        </w:tc>
        <w:tc>
          <w:tcPr>
            <w:tcW w:w="2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27D1F5" w14:textId="77777777" w:rsidR="00555018" w:rsidRPr="00556413" w:rsidRDefault="00555018" w:rsidP="00555018">
            <w:pPr>
              <w:keepNext/>
              <w:keepLines/>
              <w:tabs>
                <w:tab w:val="left" w:pos="1440"/>
                <w:tab w:val="decimal" w:pos="4320"/>
              </w:tabs>
              <w:jc w:val="center"/>
              <w:outlineLvl w:val="0"/>
              <w:rPr>
                <w:rFonts w:ascii="Calibri" w:hAnsi="Calibri"/>
                <w:b/>
                <w:i/>
                <w:sz w:val="22"/>
                <w:szCs w:val="22"/>
              </w:rPr>
            </w:pPr>
            <w:r>
              <w:rPr>
                <w:rFonts w:ascii="Calibri" w:hAnsi="Calibri"/>
                <w:b/>
                <w:i/>
                <w:sz w:val="22"/>
                <w:szCs w:val="22"/>
              </w:rPr>
              <w:t>31</w:t>
            </w:r>
          </w:p>
        </w:tc>
      </w:tr>
      <w:tr w:rsidR="00555018" w14:paraId="7A9864AB" w14:textId="77777777" w:rsidTr="0078382D">
        <w:trPr>
          <w:trHeight w:val="272"/>
        </w:trPr>
        <w:tc>
          <w:tcPr>
            <w:tcW w:w="7090" w:type="dxa"/>
            <w:tcBorders>
              <w:top w:val="single" w:sz="4" w:space="0" w:color="auto"/>
              <w:left w:val="single" w:sz="4" w:space="0" w:color="auto"/>
              <w:bottom w:val="single" w:sz="4" w:space="0" w:color="auto"/>
              <w:right w:val="single" w:sz="4" w:space="0" w:color="auto"/>
            </w:tcBorders>
            <w:vAlign w:val="bottom"/>
          </w:tcPr>
          <w:p w14:paraId="405536AF" w14:textId="77777777" w:rsidR="00555018" w:rsidRPr="00556413" w:rsidRDefault="00555018" w:rsidP="00555018">
            <w:pPr>
              <w:keepNext/>
              <w:keepLines/>
              <w:tabs>
                <w:tab w:val="left" w:pos="1440"/>
                <w:tab w:val="decimal" w:pos="4320"/>
              </w:tabs>
              <w:jc w:val="left"/>
              <w:outlineLvl w:val="0"/>
              <w:rPr>
                <w:rFonts w:ascii="Calibri" w:hAnsi="Calibri"/>
                <w:sz w:val="22"/>
                <w:szCs w:val="22"/>
              </w:rPr>
            </w:pPr>
            <w:r w:rsidRPr="00556413">
              <w:rPr>
                <w:rFonts w:ascii="Calibri" w:hAnsi="Calibri"/>
                <w:color w:val="000000"/>
                <w:sz w:val="22"/>
                <w:szCs w:val="22"/>
              </w:rPr>
              <w:t>Breach finding</w:t>
            </w:r>
          </w:p>
        </w:tc>
        <w:tc>
          <w:tcPr>
            <w:tcW w:w="2088" w:type="dxa"/>
            <w:tcBorders>
              <w:top w:val="single" w:sz="4" w:space="0" w:color="auto"/>
              <w:left w:val="single" w:sz="4" w:space="0" w:color="auto"/>
              <w:bottom w:val="single" w:sz="4" w:space="0" w:color="auto"/>
              <w:right w:val="single" w:sz="4" w:space="0" w:color="auto"/>
            </w:tcBorders>
            <w:vAlign w:val="bottom"/>
          </w:tcPr>
          <w:p w14:paraId="201FAF64" w14:textId="77777777" w:rsidR="00555018" w:rsidRPr="00556413" w:rsidRDefault="00555018" w:rsidP="00555018">
            <w:pPr>
              <w:keepNext/>
              <w:keepLines/>
              <w:tabs>
                <w:tab w:val="left" w:pos="1440"/>
                <w:tab w:val="decimal" w:pos="4320"/>
              </w:tabs>
              <w:jc w:val="center"/>
              <w:outlineLvl w:val="0"/>
              <w:rPr>
                <w:rFonts w:ascii="Calibri" w:hAnsi="Calibri"/>
                <w:sz w:val="22"/>
                <w:szCs w:val="22"/>
              </w:rPr>
            </w:pPr>
            <w:r>
              <w:rPr>
                <w:rFonts w:ascii="Calibri" w:hAnsi="Calibri"/>
                <w:sz w:val="22"/>
                <w:szCs w:val="22"/>
              </w:rPr>
              <w:t>19</w:t>
            </w:r>
          </w:p>
        </w:tc>
      </w:tr>
      <w:tr w:rsidR="00555018" w14:paraId="39E4D504" w14:textId="77777777" w:rsidTr="0078382D">
        <w:trPr>
          <w:trHeight w:val="272"/>
        </w:trPr>
        <w:tc>
          <w:tcPr>
            <w:tcW w:w="7090" w:type="dxa"/>
            <w:tcBorders>
              <w:top w:val="single" w:sz="4" w:space="0" w:color="auto"/>
              <w:left w:val="single" w:sz="4" w:space="0" w:color="auto"/>
              <w:bottom w:val="single" w:sz="4" w:space="0" w:color="auto"/>
              <w:right w:val="single" w:sz="4" w:space="0" w:color="auto"/>
            </w:tcBorders>
            <w:vAlign w:val="bottom"/>
          </w:tcPr>
          <w:p w14:paraId="435AF00D" w14:textId="52F0169F" w:rsidR="00555018" w:rsidRPr="00556413" w:rsidRDefault="00555018" w:rsidP="001F1407">
            <w:pPr>
              <w:keepNext/>
              <w:keepLines/>
              <w:tabs>
                <w:tab w:val="left" w:pos="1440"/>
                <w:tab w:val="decimal" w:pos="4320"/>
              </w:tabs>
              <w:jc w:val="left"/>
              <w:outlineLvl w:val="0"/>
              <w:rPr>
                <w:rFonts w:ascii="Calibri" w:hAnsi="Calibri"/>
                <w:sz w:val="22"/>
                <w:szCs w:val="22"/>
              </w:rPr>
            </w:pPr>
            <w:r w:rsidRPr="00556413">
              <w:rPr>
                <w:rFonts w:ascii="Calibri" w:hAnsi="Calibri"/>
                <w:color w:val="000000"/>
                <w:sz w:val="22"/>
                <w:szCs w:val="22"/>
              </w:rPr>
              <w:t xml:space="preserve">No breach finding </w:t>
            </w:r>
            <w:r w:rsidR="001F1407">
              <w:rPr>
                <w:rFonts w:ascii="Calibri" w:hAnsi="Calibri"/>
                <w:color w:val="000000"/>
                <w:sz w:val="22"/>
                <w:szCs w:val="22"/>
              </w:rPr>
              <w:t>—</w:t>
            </w:r>
            <w:r w:rsidR="001F1407" w:rsidRPr="00556413">
              <w:rPr>
                <w:rFonts w:ascii="Calibri" w:hAnsi="Calibri"/>
                <w:color w:val="000000"/>
                <w:sz w:val="22"/>
                <w:szCs w:val="22"/>
              </w:rPr>
              <w:t xml:space="preserve"> </w:t>
            </w:r>
            <w:r w:rsidRPr="00556413">
              <w:rPr>
                <w:rFonts w:ascii="Calibri" w:hAnsi="Calibri"/>
                <w:color w:val="000000"/>
                <w:sz w:val="22"/>
                <w:szCs w:val="22"/>
              </w:rPr>
              <w:t>with adverse comment and recommendations</w:t>
            </w:r>
          </w:p>
        </w:tc>
        <w:tc>
          <w:tcPr>
            <w:tcW w:w="2088" w:type="dxa"/>
            <w:tcBorders>
              <w:top w:val="single" w:sz="4" w:space="0" w:color="auto"/>
              <w:left w:val="single" w:sz="4" w:space="0" w:color="auto"/>
              <w:bottom w:val="single" w:sz="4" w:space="0" w:color="auto"/>
              <w:right w:val="single" w:sz="4" w:space="0" w:color="auto"/>
            </w:tcBorders>
            <w:vAlign w:val="bottom"/>
          </w:tcPr>
          <w:p w14:paraId="12B80D59" w14:textId="77777777" w:rsidR="00555018" w:rsidRPr="00556413" w:rsidRDefault="00555018" w:rsidP="00555018">
            <w:pPr>
              <w:keepNext/>
              <w:keepLines/>
              <w:tabs>
                <w:tab w:val="left" w:pos="1440"/>
                <w:tab w:val="decimal" w:pos="4320"/>
              </w:tabs>
              <w:jc w:val="center"/>
              <w:outlineLvl w:val="0"/>
              <w:rPr>
                <w:rFonts w:ascii="Calibri" w:hAnsi="Calibri"/>
                <w:sz w:val="22"/>
                <w:szCs w:val="22"/>
              </w:rPr>
            </w:pPr>
            <w:r>
              <w:rPr>
                <w:rFonts w:ascii="Calibri" w:hAnsi="Calibri"/>
                <w:sz w:val="22"/>
                <w:szCs w:val="22"/>
              </w:rPr>
              <w:t>7</w:t>
            </w:r>
          </w:p>
        </w:tc>
      </w:tr>
      <w:tr w:rsidR="00555018" w14:paraId="15E3E2EB" w14:textId="77777777" w:rsidTr="0078382D">
        <w:trPr>
          <w:trHeight w:val="272"/>
        </w:trPr>
        <w:tc>
          <w:tcPr>
            <w:tcW w:w="7090" w:type="dxa"/>
            <w:tcBorders>
              <w:top w:val="single" w:sz="4" w:space="0" w:color="auto"/>
              <w:left w:val="single" w:sz="4" w:space="0" w:color="auto"/>
              <w:bottom w:val="single" w:sz="4" w:space="0" w:color="auto"/>
              <w:right w:val="single" w:sz="4" w:space="0" w:color="auto"/>
            </w:tcBorders>
            <w:vAlign w:val="bottom"/>
          </w:tcPr>
          <w:p w14:paraId="1ACCD173" w14:textId="77777777" w:rsidR="00555018" w:rsidRPr="00556413" w:rsidRDefault="00555018" w:rsidP="00555018">
            <w:pPr>
              <w:keepNext/>
              <w:keepLines/>
              <w:tabs>
                <w:tab w:val="left" w:pos="1440"/>
                <w:tab w:val="decimal" w:pos="4320"/>
              </w:tabs>
              <w:jc w:val="left"/>
              <w:outlineLvl w:val="0"/>
              <w:rPr>
                <w:rFonts w:ascii="Calibri" w:hAnsi="Calibri"/>
                <w:color w:val="000000"/>
                <w:sz w:val="22"/>
                <w:szCs w:val="22"/>
              </w:rPr>
            </w:pPr>
            <w:r w:rsidRPr="00556413">
              <w:rPr>
                <w:rFonts w:ascii="Calibri" w:hAnsi="Calibri"/>
                <w:color w:val="000000"/>
                <w:sz w:val="22"/>
                <w:szCs w:val="22"/>
              </w:rPr>
              <w:t>No breach finding with recommendations</w:t>
            </w:r>
          </w:p>
        </w:tc>
        <w:tc>
          <w:tcPr>
            <w:tcW w:w="2088" w:type="dxa"/>
            <w:tcBorders>
              <w:top w:val="single" w:sz="4" w:space="0" w:color="auto"/>
              <w:left w:val="single" w:sz="4" w:space="0" w:color="auto"/>
              <w:bottom w:val="single" w:sz="4" w:space="0" w:color="auto"/>
              <w:right w:val="single" w:sz="4" w:space="0" w:color="auto"/>
            </w:tcBorders>
            <w:vAlign w:val="bottom"/>
          </w:tcPr>
          <w:p w14:paraId="3E8BD7D5" w14:textId="77777777" w:rsidR="00555018" w:rsidRPr="00556413" w:rsidRDefault="00555018" w:rsidP="00555018">
            <w:pPr>
              <w:keepNext/>
              <w:keepLines/>
              <w:tabs>
                <w:tab w:val="left" w:pos="1440"/>
                <w:tab w:val="decimal" w:pos="4320"/>
              </w:tabs>
              <w:jc w:val="center"/>
              <w:outlineLvl w:val="0"/>
              <w:rPr>
                <w:rFonts w:ascii="Calibri" w:hAnsi="Calibri"/>
                <w:sz w:val="22"/>
                <w:szCs w:val="22"/>
              </w:rPr>
            </w:pPr>
            <w:r>
              <w:rPr>
                <w:rFonts w:ascii="Calibri" w:hAnsi="Calibri"/>
                <w:sz w:val="22"/>
                <w:szCs w:val="22"/>
              </w:rPr>
              <w:t>2</w:t>
            </w:r>
          </w:p>
        </w:tc>
      </w:tr>
      <w:tr w:rsidR="00555018" w14:paraId="2FAFA3FF" w14:textId="77777777" w:rsidTr="0078382D">
        <w:trPr>
          <w:trHeight w:val="272"/>
        </w:trPr>
        <w:tc>
          <w:tcPr>
            <w:tcW w:w="7090" w:type="dxa"/>
            <w:tcBorders>
              <w:top w:val="single" w:sz="4" w:space="0" w:color="auto"/>
              <w:left w:val="single" w:sz="4" w:space="0" w:color="auto"/>
              <w:bottom w:val="single" w:sz="4" w:space="0" w:color="auto"/>
              <w:right w:val="single" w:sz="4" w:space="0" w:color="auto"/>
            </w:tcBorders>
            <w:vAlign w:val="bottom"/>
          </w:tcPr>
          <w:p w14:paraId="6285115C" w14:textId="77777777" w:rsidR="00555018" w:rsidRPr="00556413" w:rsidRDefault="00555018" w:rsidP="00555018">
            <w:pPr>
              <w:keepNext/>
              <w:keepLines/>
              <w:tabs>
                <w:tab w:val="left" w:pos="1440"/>
                <w:tab w:val="decimal" w:pos="4320"/>
              </w:tabs>
              <w:jc w:val="left"/>
              <w:outlineLvl w:val="0"/>
              <w:rPr>
                <w:rFonts w:ascii="Calibri" w:hAnsi="Calibri"/>
                <w:sz w:val="22"/>
                <w:szCs w:val="22"/>
              </w:rPr>
            </w:pPr>
            <w:r w:rsidRPr="00556413">
              <w:rPr>
                <w:rFonts w:ascii="Calibri" w:hAnsi="Calibri"/>
                <w:color w:val="000000"/>
                <w:sz w:val="22"/>
                <w:szCs w:val="22"/>
              </w:rPr>
              <w:t>No breach finding</w:t>
            </w:r>
          </w:p>
        </w:tc>
        <w:tc>
          <w:tcPr>
            <w:tcW w:w="2088" w:type="dxa"/>
            <w:tcBorders>
              <w:top w:val="single" w:sz="4" w:space="0" w:color="auto"/>
              <w:left w:val="single" w:sz="4" w:space="0" w:color="auto"/>
              <w:bottom w:val="single" w:sz="4" w:space="0" w:color="auto"/>
              <w:right w:val="single" w:sz="4" w:space="0" w:color="auto"/>
            </w:tcBorders>
            <w:vAlign w:val="bottom"/>
          </w:tcPr>
          <w:p w14:paraId="25F7D4E9" w14:textId="77777777" w:rsidR="00555018" w:rsidRPr="00556413" w:rsidRDefault="00555018" w:rsidP="00555018">
            <w:pPr>
              <w:keepNext/>
              <w:keepLines/>
              <w:tabs>
                <w:tab w:val="left" w:pos="1440"/>
                <w:tab w:val="decimal" w:pos="4320"/>
              </w:tabs>
              <w:jc w:val="center"/>
              <w:outlineLvl w:val="0"/>
              <w:rPr>
                <w:rFonts w:ascii="Calibri" w:hAnsi="Calibri"/>
                <w:sz w:val="22"/>
                <w:szCs w:val="22"/>
              </w:rPr>
            </w:pPr>
            <w:r>
              <w:rPr>
                <w:rFonts w:ascii="Calibri" w:hAnsi="Calibri"/>
                <w:sz w:val="22"/>
                <w:szCs w:val="22"/>
              </w:rPr>
              <w:t>3</w:t>
            </w:r>
          </w:p>
        </w:tc>
      </w:tr>
      <w:tr w:rsidR="00555018" w14:paraId="61447346" w14:textId="77777777" w:rsidTr="0078382D">
        <w:trPr>
          <w:trHeight w:val="272"/>
        </w:trPr>
        <w:tc>
          <w:tcPr>
            <w:tcW w:w="7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332DB4" w14:textId="77777777" w:rsidR="00555018" w:rsidRPr="00556413" w:rsidRDefault="00555018" w:rsidP="00555018">
            <w:pPr>
              <w:keepNext/>
              <w:keepLines/>
              <w:tabs>
                <w:tab w:val="left" w:pos="1440"/>
                <w:tab w:val="decimal" w:pos="4320"/>
              </w:tabs>
              <w:jc w:val="left"/>
              <w:outlineLvl w:val="0"/>
              <w:rPr>
                <w:rFonts w:ascii="Calibri" w:hAnsi="Calibri"/>
                <w:b/>
                <w:i/>
                <w:sz w:val="22"/>
                <w:szCs w:val="22"/>
              </w:rPr>
            </w:pPr>
            <w:r w:rsidRPr="00556413">
              <w:rPr>
                <w:rFonts w:ascii="Calibri" w:hAnsi="Calibri"/>
                <w:b/>
                <w:i/>
                <w:sz w:val="22"/>
                <w:szCs w:val="22"/>
              </w:rPr>
              <w:t>Other resolution following assessment</w:t>
            </w:r>
          </w:p>
        </w:tc>
        <w:tc>
          <w:tcPr>
            <w:tcW w:w="2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D117B" w14:textId="77777777" w:rsidR="00555018" w:rsidRPr="00556413" w:rsidRDefault="00555018" w:rsidP="00555018">
            <w:pPr>
              <w:keepNext/>
              <w:keepLines/>
              <w:tabs>
                <w:tab w:val="left" w:pos="1440"/>
                <w:tab w:val="decimal" w:pos="4320"/>
              </w:tabs>
              <w:jc w:val="center"/>
              <w:outlineLvl w:val="0"/>
              <w:rPr>
                <w:rFonts w:ascii="Calibri" w:hAnsi="Calibri"/>
                <w:b/>
                <w:i/>
                <w:sz w:val="22"/>
                <w:szCs w:val="22"/>
              </w:rPr>
            </w:pPr>
            <w:r>
              <w:rPr>
                <w:rFonts w:ascii="Calibri" w:hAnsi="Calibri"/>
                <w:b/>
                <w:i/>
                <w:sz w:val="22"/>
                <w:szCs w:val="22"/>
              </w:rPr>
              <w:t>395</w:t>
            </w:r>
          </w:p>
        </w:tc>
      </w:tr>
      <w:tr w:rsidR="00555018" w14:paraId="2FA43C25" w14:textId="77777777" w:rsidTr="0078382D">
        <w:trPr>
          <w:trHeight w:val="272"/>
        </w:trPr>
        <w:tc>
          <w:tcPr>
            <w:tcW w:w="7090" w:type="dxa"/>
            <w:tcBorders>
              <w:top w:val="single" w:sz="4" w:space="0" w:color="auto"/>
              <w:left w:val="single" w:sz="4" w:space="0" w:color="auto"/>
              <w:bottom w:val="single" w:sz="4" w:space="0" w:color="auto"/>
              <w:right w:val="single" w:sz="4" w:space="0" w:color="auto"/>
            </w:tcBorders>
            <w:vAlign w:val="bottom"/>
          </w:tcPr>
          <w:p w14:paraId="1A07399F" w14:textId="77777777" w:rsidR="00555018" w:rsidRPr="00556413" w:rsidRDefault="00555018" w:rsidP="00555018">
            <w:pPr>
              <w:keepNext/>
              <w:keepLines/>
              <w:tabs>
                <w:tab w:val="left" w:pos="1440"/>
                <w:tab w:val="decimal" w:pos="4320"/>
              </w:tabs>
              <w:jc w:val="left"/>
              <w:outlineLvl w:val="0"/>
              <w:rPr>
                <w:rFonts w:ascii="Calibri" w:hAnsi="Calibri" w:cs="Arial"/>
                <w:sz w:val="22"/>
                <w:szCs w:val="22"/>
                <w:lang w:bidi="ar-SA"/>
              </w:rPr>
            </w:pPr>
            <w:r w:rsidRPr="00556413">
              <w:rPr>
                <w:rFonts w:ascii="Calibri" w:hAnsi="Calibri"/>
                <w:color w:val="000000"/>
                <w:sz w:val="22"/>
                <w:szCs w:val="22"/>
              </w:rPr>
              <w:t>No further action</w:t>
            </w:r>
            <w:r>
              <w:t xml:space="preserve"> </w:t>
            </w:r>
            <w:r w:rsidRPr="00556413">
              <w:rPr>
                <w:rFonts w:ascii="Calibri" w:hAnsi="Calibri"/>
                <w:color w:val="000000"/>
                <w:sz w:val="22"/>
                <w:szCs w:val="22"/>
              </w:rPr>
              <w:t>with recommendations or educational comment</w:t>
            </w:r>
          </w:p>
        </w:tc>
        <w:tc>
          <w:tcPr>
            <w:tcW w:w="2088" w:type="dxa"/>
            <w:tcBorders>
              <w:top w:val="single" w:sz="4" w:space="0" w:color="auto"/>
              <w:left w:val="single" w:sz="4" w:space="0" w:color="auto"/>
              <w:bottom w:val="single" w:sz="4" w:space="0" w:color="auto"/>
              <w:right w:val="single" w:sz="4" w:space="0" w:color="auto"/>
            </w:tcBorders>
            <w:vAlign w:val="bottom"/>
          </w:tcPr>
          <w:p w14:paraId="223A3F89" w14:textId="77777777" w:rsidR="00555018" w:rsidRPr="00556413" w:rsidDel="00B8523B" w:rsidRDefault="00555018" w:rsidP="00555018">
            <w:pPr>
              <w:jc w:val="center"/>
              <w:rPr>
                <w:rFonts w:ascii="Calibri" w:hAnsi="Calibri" w:cs="Calibri"/>
                <w:color w:val="000000"/>
                <w:sz w:val="22"/>
                <w:szCs w:val="22"/>
              </w:rPr>
            </w:pPr>
            <w:r>
              <w:rPr>
                <w:rFonts w:ascii="Calibri" w:hAnsi="Calibri" w:cs="Calibri"/>
                <w:color w:val="000000"/>
                <w:sz w:val="22"/>
                <w:szCs w:val="22"/>
              </w:rPr>
              <w:t>51</w:t>
            </w:r>
          </w:p>
        </w:tc>
      </w:tr>
      <w:tr w:rsidR="00555018" w14:paraId="01E10BBD" w14:textId="77777777" w:rsidTr="0078382D">
        <w:trPr>
          <w:trHeight w:val="272"/>
        </w:trPr>
        <w:tc>
          <w:tcPr>
            <w:tcW w:w="7090" w:type="dxa"/>
            <w:tcBorders>
              <w:top w:val="single" w:sz="4" w:space="0" w:color="auto"/>
              <w:left w:val="single" w:sz="4" w:space="0" w:color="auto"/>
              <w:bottom w:val="single" w:sz="4" w:space="0" w:color="auto"/>
              <w:right w:val="single" w:sz="4" w:space="0" w:color="auto"/>
            </w:tcBorders>
            <w:vAlign w:val="bottom"/>
          </w:tcPr>
          <w:p w14:paraId="4AA414F5" w14:textId="77777777" w:rsidR="00555018" w:rsidRPr="00556413" w:rsidRDefault="00555018" w:rsidP="00555018">
            <w:pPr>
              <w:rPr>
                <w:rFonts w:ascii="Calibri" w:hAnsi="Calibri" w:cs="Calibri"/>
                <w:color w:val="000000"/>
                <w:sz w:val="22"/>
                <w:szCs w:val="22"/>
              </w:rPr>
            </w:pPr>
            <w:r w:rsidRPr="00556413">
              <w:rPr>
                <w:rFonts w:ascii="Calibri" w:hAnsi="Calibri"/>
                <w:color w:val="000000"/>
                <w:sz w:val="22"/>
                <w:szCs w:val="22"/>
              </w:rPr>
              <w:t>Referred to District Inspector</w:t>
            </w:r>
          </w:p>
        </w:tc>
        <w:tc>
          <w:tcPr>
            <w:tcW w:w="2088" w:type="dxa"/>
            <w:tcBorders>
              <w:top w:val="single" w:sz="4" w:space="0" w:color="auto"/>
              <w:left w:val="single" w:sz="4" w:space="0" w:color="auto"/>
              <w:bottom w:val="single" w:sz="4" w:space="0" w:color="auto"/>
              <w:right w:val="single" w:sz="4" w:space="0" w:color="auto"/>
            </w:tcBorders>
            <w:vAlign w:val="bottom"/>
          </w:tcPr>
          <w:p w14:paraId="13C4D9B7" w14:textId="77777777" w:rsidR="00555018" w:rsidRPr="00556413" w:rsidRDefault="00555018" w:rsidP="00555018">
            <w:pPr>
              <w:jc w:val="center"/>
              <w:rPr>
                <w:rFonts w:ascii="Calibri" w:hAnsi="Calibri" w:cs="Calibri"/>
                <w:color w:val="000000"/>
                <w:sz w:val="22"/>
                <w:szCs w:val="22"/>
              </w:rPr>
            </w:pPr>
            <w:r>
              <w:rPr>
                <w:rFonts w:ascii="Calibri" w:hAnsi="Calibri" w:cs="Calibri"/>
                <w:color w:val="000000"/>
                <w:sz w:val="22"/>
                <w:szCs w:val="22"/>
              </w:rPr>
              <w:t>14</w:t>
            </w:r>
          </w:p>
        </w:tc>
      </w:tr>
      <w:tr w:rsidR="00555018" w14:paraId="6B7FC107" w14:textId="77777777" w:rsidTr="0078382D">
        <w:trPr>
          <w:trHeight w:val="272"/>
        </w:trPr>
        <w:tc>
          <w:tcPr>
            <w:tcW w:w="7090" w:type="dxa"/>
            <w:tcBorders>
              <w:top w:val="single" w:sz="4" w:space="0" w:color="auto"/>
              <w:left w:val="single" w:sz="4" w:space="0" w:color="auto"/>
              <w:bottom w:val="single" w:sz="4" w:space="0" w:color="auto"/>
              <w:right w:val="single" w:sz="4" w:space="0" w:color="auto"/>
            </w:tcBorders>
            <w:vAlign w:val="bottom"/>
          </w:tcPr>
          <w:p w14:paraId="318C055D" w14:textId="77777777" w:rsidR="00555018" w:rsidRPr="00556413" w:rsidRDefault="00555018" w:rsidP="00555018">
            <w:pPr>
              <w:rPr>
                <w:rFonts w:ascii="Calibri" w:hAnsi="Calibri" w:cs="Calibri"/>
                <w:color w:val="000000"/>
                <w:sz w:val="22"/>
                <w:szCs w:val="22"/>
              </w:rPr>
            </w:pPr>
            <w:r w:rsidRPr="00556413">
              <w:rPr>
                <w:rFonts w:ascii="Calibri" w:hAnsi="Calibri"/>
                <w:color w:val="000000"/>
                <w:sz w:val="22"/>
                <w:szCs w:val="22"/>
              </w:rPr>
              <w:t xml:space="preserve">Referred to other agency </w:t>
            </w:r>
          </w:p>
        </w:tc>
        <w:tc>
          <w:tcPr>
            <w:tcW w:w="2088" w:type="dxa"/>
            <w:tcBorders>
              <w:top w:val="single" w:sz="4" w:space="0" w:color="auto"/>
              <w:left w:val="single" w:sz="4" w:space="0" w:color="auto"/>
              <w:bottom w:val="single" w:sz="4" w:space="0" w:color="auto"/>
              <w:right w:val="single" w:sz="4" w:space="0" w:color="auto"/>
            </w:tcBorders>
            <w:vAlign w:val="bottom"/>
          </w:tcPr>
          <w:p w14:paraId="63B68100" w14:textId="77777777" w:rsidR="00555018" w:rsidRPr="00556413" w:rsidRDefault="00555018" w:rsidP="00555018">
            <w:pPr>
              <w:jc w:val="center"/>
              <w:rPr>
                <w:rFonts w:ascii="Calibri" w:hAnsi="Calibri" w:cs="Calibri"/>
                <w:color w:val="000000"/>
                <w:sz w:val="22"/>
                <w:szCs w:val="22"/>
              </w:rPr>
            </w:pPr>
            <w:r>
              <w:rPr>
                <w:rFonts w:ascii="Calibri" w:hAnsi="Calibri" w:cs="Calibri"/>
                <w:color w:val="000000"/>
                <w:sz w:val="22"/>
                <w:szCs w:val="22"/>
              </w:rPr>
              <w:t>4</w:t>
            </w:r>
          </w:p>
        </w:tc>
      </w:tr>
      <w:tr w:rsidR="00555018" w14:paraId="3E49211E" w14:textId="77777777" w:rsidTr="0078382D">
        <w:trPr>
          <w:trHeight w:val="272"/>
        </w:trPr>
        <w:tc>
          <w:tcPr>
            <w:tcW w:w="7090" w:type="dxa"/>
            <w:tcBorders>
              <w:top w:val="single" w:sz="4" w:space="0" w:color="auto"/>
              <w:left w:val="single" w:sz="4" w:space="0" w:color="auto"/>
              <w:bottom w:val="single" w:sz="4" w:space="0" w:color="auto"/>
              <w:right w:val="single" w:sz="4" w:space="0" w:color="auto"/>
            </w:tcBorders>
            <w:vAlign w:val="bottom"/>
          </w:tcPr>
          <w:p w14:paraId="1F1D1631" w14:textId="77777777" w:rsidR="00555018" w:rsidRPr="00556413" w:rsidRDefault="00555018" w:rsidP="00555018">
            <w:pPr>
              <w:keepNext/>
              <w:keepLines/>
              <w:tabs>
                <w:tab w:val="left" w:pos="1440"/>
                <w:tab w:val="decimal" w:pos="4320"/>
              </w:tabs>
              <w:jc w:val="left"/>
              <w:outlineLvl w:val="0"/>
              <w:rPr>
                <w:rFonts w:ascii="Calibri" w:hAnsi="Calibri" w:cs="Arial"/>
                <w:sz w:val="22"/>
                <w:szCs w:val="22"/>
                <w:lang w:bidi="ar-SA"/>
              </w:rPr>
            </w:pPr>
            <w:r w:rsidRPr="00556413">
              <w:rPr>
                <w:rFonts w:ascii="Calibri" w:hAnsi="Calibri"/>
                <w:color w:val="000000"/>
                <w:sz w:val="22"/>
                <w:szCs w:val="22"/>
              </w:rPr>
              <w:t>Referred to DHB</w:t>
            </w:r>
          </w:p>
        </w:tc>
        <w:tc>
          <w:tcPr>
            <w:tcW w:w="2088" w:type="dxa"/>
            <w:tcBorders>
              <w:top w:val="single" w:sz="4" w:space="0" w:color="auto"/>
              <w:left w:val="single" w:sz="4" w:space="0" w:color="auto"/>
              <w:bottom w:val="single" w:sz="4" w:space="0" w:color="auto"/>
              <w:right w:val="single" w:sz="4" w:space="0" w:color="auto"/>
            </w:tcBorders>
            <w:vAlign w:val="bottom"/>
          </w:tcPr>
          <w:p w14:paraId="39E917F7" w14:textId="77777777" w:rsidR="00555018" w:rsidRPr="00556413" w:rsidRDefault="00555018" w:rsidP="00555018">
            <w:pPr>
              <w:keepNext/>
              <w:keepLines/>
              <w:tabs>
                <w:tab w:val="left" w:pos="1440"/>
                <w:tab w:val="decimal" w:pos="4320"/>
              </w:tabs>
              <w:jc w:val="center"/>
              <w:outlineLvl w:val="0"/>
              <w:rPr>
                <w:rFonts w:ascii="Calibri" w:hAnsi="Calibri"/>
                <w:sz w:val="22"/>
                <w:szCs w:val="22"/>
              </w:rPr>
            </w:pPr>
            <w:r>
              <w:rPr>
                <w:rFonts w:ascii="Calibri" w:hAnsi="Calibri"/>
                <w:sz w:val="22"/>
                <w:szCs w:val="22"/>
              </w:rPr>
              <w:t>55</w:t>
            </w:r>
          </w:p>
        </w:tc>
      </w:tr>
      <w:tr w:rsidR="00555018" w14:paraId="31D556FD" w14:textId="77777777" w:rsidTr="0078382D">
        <w:trPr>
          <w:trHeight w:val="272"/>
        </w:trPr>
        <w:tc>
          <w:tcPr>
            <w:tcW w:w="7090" w:type="dxa"/>
            <w:tcBorders>
              <w:top w:val="single" w:sz="4" w:space="0" w:color="auto"/>
              <w:left w:val="single" w:sz="4" w:space="0" w:color="auto"/>
              <w:bottom w:val="single" w:sz="4" w:space="0" w:color="auto"/>
              <w:right w:val="single" w:sz="4" w:space="0" w:color="auto"/>
            </w:tcBorders>
            <w:vAlign w:val="bottom"/>
          </w:tcPr>
          <w:p w14:paraId="16885331" w14:textId="77777777" w:rsidR="00555018" w:rsidRPr="00556413" w:rsidRDefault="00555018" w:rsidP="00555018">
            <w:pPr>
              <w:keepNext/>
              <w:keepLines/>
              <w:tabs>
                <w:tab w:val="left" w:pos="1440"/>
                <w:tab w:val="decimal" w:pos="4320"/>
              </w:tabs>
              <w:jc w:val="left"/>
              <w:outlineLvl w:val="0"/>
              <w:rPr>
                <w:rFonts w:ascii="Calibri" w:hAnsi="Calibri"/>
                <w:sz w:val="22"/>
                <w:szCs w:val="22"/>
              </w:rPr>
            </w:pPr>
            <w:r w:rsidRPr="00556413">
              <w:rPr>
                <w:rFonts w:ascii="Calibri" w:hAnsi="Calibri"/>
                <w:color w:val="000000"/>
                <w:sz w:val="22"/>
                <w:szCs w:val="22"/>
              </w:rPr>
              <w:t>Referred to Advocacy</w:t>
            </w:r>
          </w:p>
        </w:tc>
        <w:tc>
          <w:tcPr>
            <w:tcW w:w="2088" w:type="dxa"/>
            <w:tcBorders>
              <w:top w:val="single" w:sz="4" w:space="0" w:color="auto"/>
              <w:left w:val="single" w:sz="4" w:space="0" w:color="auto"/>
              <w:bottom w:val="single" w:sz="4" w:space="0" w:color="auto"/>
              <w:right w:val="single" w:sz="4" w:space="0" w:color="auto"/>
            </w:tcBorders>
            <w:vAlign w:val="bottom"/>
          </w:tcPr>
          <w:p w14:paraId="06EC49BC" w14:textId="77777777" w:rsidR="00555018" w:rsidRPr="00556413" w:rsidRDefault="00555018" w:rsidP="00555018">
            <w:pPr>
              <w:keepNext/>
              <w:keepLines/>
              <w:tabs>
                <w:tab w:val="left" w:pos="1440"/>
                <w:tab w:val="decimal" w:pos="4320"/>
              </w:tabs>
              <w:jc w:val="center"/>
              <w:outlineLvl w:val="0"/>
              <w:rPr>
                <w:rFonts w:ascii="Calibri" w:hAnsi="Calibri"/>
                <w:sz w:val="22"/>
                <w:szCs w:val="22"/>
              </w:rPr>
            </w:pPr>
            <w:r>
              <w:rPr>
                <w:rFonts w:ascii="Calibri" w:hAnsi="Calibri"/>
                <w:sz w:val="22"/>
                <w:szCs w:val="22"/>
              </w:rPr>
              <w:t>56</w:t>
            </w:r>
          </w:p>
        </w:tc>
      </w:tr>
      <w:tr w:rsidR="00555018" w14:paraId="7E6B3E28" w14:textId="77777777" w:rsidTr="0078382D">
        <w:trPr>
          <w:trHeight w:val="272"/>
        </w:trPr>
        <w:tc>
          <w:tcPr>
            <w:tcW w:w="7090" w:type="dxa"/>
            <w:tcBorders>
              <w:top w:val="single" w:sz="4" w:space="0" w:color="auto"/>
              <w:left w:val="single" w:sz="4" w:space="0" w:color="auto"/>
              <w:bottom w:val="single" w:sz="4" w:space="0" w:color="auto"/>
              <w:right w:val="single" w:sz="4" w:space="0" w:color="auto"/>
            </w:tcBorders>
            <w:vAlign w:val="bottom"/>
          </w:tcPr>
          <w:p w14:paraId="6076E965" w14:textId="77777777" w:rsidR="00555018" w:rsidRPr="00556413" w:rsidRDefault="00555018" w:rsidP="00555018">
            <w:pPr>
              <w:keepNext/>
              <w:keepLines/>
              <w:tabs>
                <w:tab w:val="left" w:pos="1440"/>
                <w:tab w:val="decimal" w:pos="4320"/>
              </w:tabs>
              <w:jc w:val="left"/>
              <w:outlineLvl w:val="0"/>
              <w:rPr>
                <w:rFonts w:ascii="Calibri" w:hAnsi="Calibri" w:cs="Arial"/>
                <w:sz w:val="22"/>
                <w:szCs w:val="22"/>
                <w:lang w:bidi="ar-SA"/>
              </w:rPr>
            </w:pPr>
            <w:r w:rsidRPr="00556413">
              <w:rPr>
                <w:rFonts w:ascii="Calibri" w:hAnsi="Calibri"/>
                <w:color w:val="000000"/>
                <w:sz w:val="22"/>
                <w:szCs w:val="22"/>
              </w:rPr>
              <w:t>No further action</w:t>
            </w:r>
          </w:p>
        </w:tc>
        <w:tc>
          <w:tcPr>
            <w:tcW w:w="2088" w:type="dxa"/>
            <w:tcBorders>
              <w:top w:val="single" w:sz="4" w:space="0" w:color="auto"/>
              <w:left w:val="single" w:sz="4" w:space="0" w:color="auto"/>
              <w:bottom w:val="single" w:sz="4" w:space="0" w:color="auto"/>
              <w:right w:val="single" w:sz="4" w:space="0" w:color="auto"/>
            </w:tcBorders>
            <w:vAlign w:val="bottom"/>
          </w:tcPr>
          <w:p w14:paraId="4CE4BE74" w14:textId="77777777" w:rsidR="00555018" w:rsidRPr="00556413" w:rsidRDefault="00555018" w:rsidP="00555018">
            <w:pPr>
              <w:jc w:val="center"/>
              <w:rPr>
                <w:rFonts w:ascii="Calibri" w:hAnsi="Calibri" w:cs="Calibri"/>
                <w:color w:val="000000"/>
                <w:sz w:val="22"/>
                <w:szCs w:val="22"/>
              </w:rPr>
            </w:pPr>
            <w:r>
              <w:rPr>
                <w:rFonts w:ascii="Calibri" w:hAnsi="Calibri" w:cs="Calibri"/>
                <w:color w:val="000000"/>
                <w:sz w:val="22"/>
                <w:szCs w:val="22"/>
              </w:rPr>
              <w:t>207</w:t>
            </w:r>
          </w:p>
        </w:tc>
      </w:tr>
      <w:tr w:rsidR="00555018" w14:paraId="1781831C" w14:textId="77777777" w:rsidTr="0078382D">
        <w:trPr>
          <w:trHeight w:val="272"/>
        </w:trPr>
        <w:tc>
          <w:tcPr>
            <w:tcW w:w="7090" w:type="dxa"/>
            <w:tcBorders>
              <w:top w:val="single" w:sz="4" w:space="0" w:color="auto"/>
              <w:left w:val="single" w:sz="4" w:space="0" w:color="auto"/>
              <w:bottom w:val="single" w:sz="4" w:space="0" w:color="auto"/>
              <w:right w:val="single" w:sz="4" w:space="0" w:color="auto"/>
            </w:tcBorders>
            <w:vAlign w:val="bottom"/>
          </w:tcPr>
          <w:p w14:paraId="733C7273" w14:textId="77777777" w:rsidR="00555018" w:rsidRPr="00556413" w:rsidRDefault="00555018" w:rsidP="00555018">
            <w:pPr>
              <w:keepNext/>
              <w:keepLines/>
              <w:tabs>
                <w:tab w:val="left" w:pos="1440"/>
                <w:tab w:val="decimal" w:pos="4320"/>
              </w:tabs>
              <w:jc w:val="left"/>
              <w:outlineLvl w:val="0"/>
              <w:rPr>
                <w:rFonts w:ascii="Calibri" w:hAnsi="Calibri"/>
                <w:color w:val="000000"/>
                <w:sz w:val="22"/>
                <w:szCs w:val="22"/>
              </w:rPr>
            </w:pPr>
            <w:r w:rsidRPr="00556413">
              <w:rPr>
                <w:rFonts w:ascii="Calibri" w:hAnsi="Calibri"/>
                <w:color w:val="000000"/>
                <w:sz w:val="22"/>
                <w:szCs w:val="22"/>
              </w:rPr>
              <w:t>Withdrawn</w:t>
            </w:r>
          </w:p>
        </w:tc>
        <w:tc>
          <w:tcPr>
            <w:tcW w:w="2088" w:type="dxa"/>
            <w:tcBorders>
              <w:top w:val="single" w:sz="4" w:space="0" w:color="auto"/>
              <w:left w:val="single" w:sz="4" w:space="0" w:color="auto"/>
              <w:bottom w:val="single" w:sz="4" w:space="0" w:color="auto"/>
              <w:right w:val="single" w:sz="4" w:space="0" w:color="auto"/>
            </w:tcBorders>
            <w:vAlign w:val="bottom"/>
          </w:tcPr>
          <w:p w14:paraId="70FF9199" w14:textId="77777777" w:rsidR="00555018" w:rsidRPr="00556413" w:rsidRDefault="00555018" w:rsidP="00555018">
            <w:pPr>
              <w:jc w:val="center"/>
              <w:rPr>
                <w:rFonts w:ascii="Calibri" w:hAnsi="Calibri"/>
                <w:color w:val="000000"/>
                <w:sz w:val="22"/>
                <w:szCs w:val="22"/>
              </w:rPr>
            </w:pPr>
            <w:r>
              <w:rPr>
                <w:rFonts w:ascii="Calibri" w:hAnsi="Calibri"/>
                <w:color w:val="000000"/>
                <w:sz w:val="22"/>
                <w:szCs w:val="22"/>
              </w:rPr>
              <w:t>8</w:t>
            </w:r>
          </w:p>
        </w:tc>
      </w:tr>
      <w:tr w:rsidR="00555018" w14:paraId="6860B357" w14:textId="77777777" w:rsidTr="0078382D">
        <w:trPr>
          <w:trHeight w:val="272"/>
        </w:trPr>
        <w:tc>
          <w:tcPr>
            <w:tcW w:w="7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8F8BA2" w14:textId="77777777" w:rsidR="00555018" w:rsidRPr="00556413" w:rsidRDefault="00555018" w:rsidP="00555018">
            <w:pPr>
              <w:keepNext/>
              <w:keepLines/>
              <w:tabs>
                <w:tab w:val="left" w:pos="1440"/>
                <w:tab w:val="decimal" w:pos="4320"/>
              </w:tabs>
              <w:jc w:val="left"/>
              <w:outlineLvl w:val="0"/>
              <w:rPr>
                <w:rFonts w:ascii="Calibri" w:hAnsi="Calibri"/>
                <w:b/>
                <w:i/>
                <w:sz w:val="22"/>
                <w:szCs w:val="22"/>
              </w:rPr>
            </w:pPr>
            <w:r w:rsidRPr="00556413">
              <w:rPr>
                <w:rFonts w:ascii="Calibri" w:hAnsi="Calibri"/>
                <w:b/>
                <w:i/>
                <w:sz w:val="22"/>
                <w:szCs w:val="22"/>
              </w:rPr>
              <w:t xml:space="preserve">Outside jurisdiction </w:t>
            </w:r>
          </w:p>
        </w:tc>
        <w:tc>
          <w:tcPr>
            <w:tcW w:w="2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ECA41D" w14:textId="77777777" w:rsidR="00555018" w:rsidRPr="00556413" w:rsidRDefault="00555018" w:rsidP="00555018">
            <w:pPr>
              <w:keepNext/>
              <w:keepLines/>
              <w:tabs>
                <w:tab w:val="left" w:pos="1440"/>
                <w:tab w:val="decimal" w:pos="4320"/>
              </w:tabs>
              <w:jc w:val="center"/>
              <w:outlineLvl w:val="0"/>
              <w:rPr>
                <w:rFonts w:ascii="Calibri" w:hAnsi="Calibri"/>
                <w:b/>
                <w:i/>
                <w:sz w:val="22"/>
                <w:szCs w:val="22"/>
              </w:rPr>
            </w:pPr>
            <w:r>
              <w:rPr>
                <w:rFonts w:ascii="Calibri" w:hAnsi="Calibri"/>
                <w:b/>
                <w:i/>
                <w:sz w:val="22"/>
                <w:szCs w:val="22"/>
              </w:rPr>
              <w:t>2</w:t>
            </w:r>
          </w:p>
        </w:tc>
      </w:tr>
      <w:tr w:rsidR="00555018" w14:paraId="367487F9" w14:textId="77777777" w:rsidTr="0078382D">
        <w:trPr>
          <w:trHeight w:val="272"/>
        </w:trPr>
        <w:tc>
          <w:tcPr>
            <w:tcW w:w="7090" w:type="dxa"/>
            <w:tcBorders>
              <w:top w:val="single" w:sz="4" w:space="0" w:color="auto"/>
              <w:left w:val="single" w:sz="4" w:space="0" w:color="auto"/>
              <w:bottom w:val="single" w:sz="4" w:space="0" w:color="auto"/>
              <w:right w:val="single" w:sz="4" w:space="0" w:color="auto"/>
            </w:tcBorders>
            <w:shd w:val="clear" w:color="auto" w:fill="C00000"/>
            <w:hideMark/>
          </w:tcPr>
          <w:p w14:paraId="60CD0365" w14:textId="77777777" w:rsidR="00555018" w:rsidRPr="00556413" w:rsidRDefault="00555018" w:rsidP="00555018">
            <w:pPr>
              <w:keepNext/>
              <w:keepLines/>
              <w:tabs>
                <w:tab w:val="left" w:pos="1440"/>
                <w:tab w:val="decimal" w:pos="4320"/>
              </w:tabs>
              <w:jc w:val="left"/>
              <w:outlineLvl w:val="0"/>
              <w:rPr>
                <w:rFonts w:ascii="Calibri" w:hAnsi="Calibri" w:cs="Arial"/>
                <w:b/>
                <w:sz w:val="22"/>
                <w:szCs w:val="22"/>
                <w:lang w:bidi="ar-SA"/>
              </w:rPr>
            </w:pPr>
            <w:r w:rsidRPr="00556413">
              <w:rPr>
                <w:rFonts w:ascii="Calibri" w:hAnsi="Calibri" w:cs="Arial"/>
                <w:b/>
                <w:sz w:val="22"/>
                <w:szCs w:val="22"/>
                <w:lang w:bidi="ar-SA"/>
              </w:rPr>
              <w:t>TOTAL</w:t>
            </w:r>
          </w:p>
        </w:tc>
        <w:tc>
          <w:tcPr>
            <w:tcW w:w="2088" w:type="dxa"/>
            <w:tcBorders>
              <w:top w:val="single" w:sz="4" w:space="0" w:color="auto"/>
              <w:left w:val="single" w:sz="4" w:space="0" w:color="auto"/>
              <w:bottom w:val="single" w:sz="4" w:space="0" w:color="auto"/>
              <w:right w:val="single" w:sz="4" w:space="0" w:color="auto"/>
            </w:tcBorders>
            <w:shd w:val="clear" w:color="auto" w:fill="C00000"/>
          </w:tcPr>
          <w:p w14:paraId="34081E05" w14:textId="77777777" w:rsidR="00555018" w:rsidRPr="00556413" w:rsidRDefault="00555018" w:rsidP="00555018">
            <w:pPr>
              <w:jc w:val="center"/>
              <w:rPr>
                <w:rFonts w:ascii="Calibri" w:hAnsi="Calibri" w:cs="Calibri"/>
                <w:b/>
                <w:color w:val="000000"/>
                <w:sz w:val="22"/>
                <w:szCs w:val="22"/>
              </w:rPr>
            </w:pPr>
            <w:r w:rsidRPr="00817C2F">
              <w:rPr>
                <w:rFonts w:ascii="Calibri" w:hAnsi="Calibri" w:cs="Calibri"/>
                <w:b/>
                <w:color w:val="FFFFFF" w:themeColor="background1"/>
                <w:sz w:val="22"/>
                <w:szCs w:val="22"/>
              </w:rPr>
              <w:t>428</w:t>
            </w:r>
          </w:p>
        </w:tc>
      </w:tr>
    </w:tbl>
    <w:p w14:paraId="4855E2E2" w14:textId="265DA96A" w:rsidR="00841E1C" w:rsidRPr="00555018" w:rsidRDefault="00841E1C" w:rsidP="00841E1C">
      <w:pPr>
        <w:rPr>
          <w:rFonts w:ascii="Calibri" w:hAnsi="Calibri"/>
        </w:rPr>
      </w:pPr>
      <w:bookmarkStart w:id="93" w:name="_Toc415221220"/>
      <w:bookmarkStart w:id="94" w:name="_Toc415153519"/>
      <w:bookmarkStart w:id="95" w:name="_Toc415147245"/>
      <w:bookmarkStart w:id="96" w:name="_Toc415135531"/>
      <w:bookmarkStart w:id="97" w:name="_Toc415046459"/>
      <w:bookmarkStart w:id="98" w:name="_Toc415039803"/>
      <w:bookmarkStart w:id="99" w:name="_Toc414952832"/>
      <w:bookmarkStart w:id="100" w:name="_Toc414886547"/>
      <w:bookmarkStart w:id="101" w:name="_Toc414875837"/>
      <w:bookmarkStart w:id="102" w:name="_Toc414461839"/>
      <w:bookmarkStart w:id="103" w:name="_Toc414442658"/>
      <w:r>
        <w:rPr>
          <w:lang w:eastAsia="en-NZ"/>
        </w:rPr>
        <w:br w:type="page"/>
      </w:r>
    </w:p>
    <w:p w14:paraId="331C2C76" w14:textId="5B8D0950" w:rsidR="00F666F0" w:rsidRPr="00666BAC" w:rsidRDefault="00F666F0" w:rsidP="00F666F0">
      <w:pPr>
        <w:pStyle w:val="Heading3"/>
        <w:rPr>
          <w:b/>
          <w:i w:val="0"/>
          <w:sz w:val="28"/>
          <w:szCs w:val="28"/>
          <w:lang w:val="en-AU" w:bidi="ar-SA"/>
        </w:rPr>
      </w:pPr>
      <w:bookmarkStart w:id="104" w:name="_Toc58316494"/>
      <w:bookmarkEnd w:id="93"/>
      <w:bookmarkEnd w:id="94"/>
      <w:bookmarkEnd w:id="95"/>
      <w:bookmarkEnd w:id="96"/>
      <w:bookmarkEnd w:id="97"/>
      <w:bookmarkEnd w:id="98"/>
      <w:bookmarkEnd w:id="99"/>
      <w:bookmarkEnd w:id="100"/>
      <w:bookmarkEnd w:id="101"/>
      <w:bookmarkEnd w:id="102"/>
      <w:bookmarkEnd w:id="103"/>
      <w:r>
        <w:rPr>
          <w:b/>
          <w:i w:val="0"/>
          <w:sz w:val="28"/>
          <w:szCs w:val="28"/>
          <w:lang w:val="en-AU" w:bidi="ar-SA"/>
        </w:rPr>
        <w:lastRenderedPageBreak/>
        <w:t>4.3</w:t>
      </w:r>
      <w:r w:rsidRPr="00666BAC">
        <w:rPr>
          <w:b/>
          <w:i w:val="0"/>
          <w:sz w:val="28"/>
          <w:szCs w:val="28"/>
          <w:lang w:val="en-AU" w:bidi="ar-SA"/>
        </w:rPr>
        <w:t xml:space="preserve"> </w:t>
      </w:r>
      <w:r w:rsidRPr="00666BAC">
        <w:rPr>
          <w:b/>
          <w:i w:val="0"/>
          <w:sz w:val="28"/>
          <w:szCs w:val="28"/>
          <w:lang w:val="en-AU" w:bidi="ar-SA"/>
        </w:rPr>
        <w:tab/>
      </w:r>
      <w:r>
        <w:rPr>
          <w:b/>
          <w:i w:val="0"/>
          <w:sz w:val="28"/>
          <w:szCs w:val="28"/>
          <w:lang w:val="en-AU" w:bidi="ar-SA"/>
        </w:rPr>
        <w:t>Recommendations made to DHBs by HDC</w:t>
      </w:r>
      <w:bookmarkEnd w:id="104"/>
    </w:p>
    <w:p w14:paraId="3B61DB8C" w14:textId="77777777" w:rsidR="00555018" w:rsidRPr="00555018" w:rsidRDefault="00555018" w:rsidP="00555018"/>
    <w:p w14:paraId="3D7BE6A0" w14:textId="5AE860B4" w:rsidR="00841E1C" w:rsidRDefault="00841E1C" w:rsidP="00841E1C">
      <w:pPr>
        <w:pStyle w:val="NoSpacing"/>
        <w:spacing w:after="360"/>
        <w:rPr>
          <w:lang w:val="en-NZ" w:eastAsia="en-NZ"/>
        </w:rPr>
      </w:pPr>
      <w:r>
        <w:rPr>
          <w:lang w:val="en-NZ" w:eastAsia="en-NZ"/>
        </w:rPr>
        <w:t>Regardless of whether or not a complaint has been investigated, the Commissioner may make recommendations to a DHB. HDC then follows up with the DHB to ensure that these recomm</w:t>
      </w:r>
      <w:r w:rsidR="00555018">
        <w:rPr>
          <w:lang w:val="en-NZ" w:eastAsia="en-NZ"/>
        </w:rPr>
        <w:t>endations have been acted upon.</w:t>
      </w:r>
    </w:p>
    <w:p w14:paraId="554B63D6" w14:textId="61D5241B" w:rsidR="00841E1C" w:rsidRDefault="001F7DC9" w:rsidP="0078382D">
      <w:pPr>
        <w:pStyle w:val="NoSpacing"/>
        <w:spacing w:after="480"/>
        <w:rPr>
          <w:lang w:val="en-NZ" w:eastAsia="en-NZ"/>
        </w:rPr>
      </w:pPr>
      <w:r>
        <w:rPr>
          <w:lang w:val="en-NZ" w:eastAsia="en-NZ"/>
        </w:rPr>
        <w:t>Table 13</w:t>
      </w:r>
      <w:r w:rsidR="00841E1C">
        <w:rPr>
          <w:lang w:val="en-NZ" w:eastAsia="en-NZ"/>
        </w:rPr>
        <w:t xml:space="preserve"> shows the recommendations made to </w:t>
      </w:r>
      <w:r w:rsidR="000E7FDB">
        <w:rPr>
          <w:lang w:val="en-NZ" w:eastAsia="en-NZ"/>
        </w:rPr>
        <w:t xml:space="preserve">DHBs </w:t>
      </w:r>
      <w:r w:rsidR="009D66A9">
        <w:rPr>
          <w:lang w:val="en-NZ" w:eastAsia="en-NZ"/>
        </w:rPr>
        <w:t>for</w:t>
      </w:r>
      <w:r w:rsidR="000E7FDB">
        <w:rPr>
          <w:lang w:val="en-NZ" w:eastAsia="en-NZ"/>
        </w:rPr>
        <w:t xml:space="preserve"> complaints closed in </w:t>
      </w:r>
      <w:r>
        <w:t>Jan–Jun 2020</w:t>
      </w:r>
      <w:r w:rsidR="00841E1C">
        <w:rPr>
          <w:lang w:val="en-NZ" w:eastAsia="en-NZ"/>
        </w:rPr>
        <w:t xml:space="preserve">. Please note that more than one recommendation may be made in relation to a single complaint. </w:t>
      </w:r>
    </w:p>
    <w:p w14:paraId="4841EF2B" w14:textId="754B4C5A" w:rsidR="00841E1C" w:rsidRDefault="001F7DC9" w:rsidP="00841E1C">
      <w:pPr>
        <w:pStyle w:val="NoSpacing"/>
        <w:keepNext/>
        <w:keepLines/>
        <w:spacing w:after="120"/>
        <w:rPr>
          <w:b/>
          <w:lang w:val="en-NZ" w:eastAsia="en-NZ"/>
        </w:rPr>
      </w:pPr>
      <w:r>
        <w:rPr>
          <w:b/>
          <w:lang w:val="en-NZ" w:eastAsia="en-NZ"/>
        </w:rPr>
        <w:t>Table 13</w:t>
      </w:r>
      <w:r w:rsidR="00841E1C">
        <w:rPr>
          <w:b/>
          <w:lang w:val="en-NZ" w:eastAsia="en-NZ"/>
        </w:rPr>
        <w:t xml:space="preserve">. </w:t>
      </w:r>
      <w:r w:rsidR="00841E1C">
        <w:rPr>
          <w:lang w:val="en-NZ" w:eastAsia="en-NZ"/>
        </w:rPr>
        <w:t>Recommendations made to DHBs following a complaint</w:t>
      </w:r>
    </w:p>
    <w:tbl>
      <w:tblPr>
        <w:tblStyle w:val="TableGrid"/>
        <w:tblW w:w="0" w:type="auto"/>
        <w:tblLayout w:type="fixed"/>
        <w:tblLook w:val="04A0" w:firstRow="1" w:lastRow="0" w:firstColumn="1" w:lastColumn="0" w:noHBand="0" w:noVBand="1"/>
      </w:tblPr>
      <w:tblGrid>
        <w:gridCol w:w="6069"/>
        <w:gridCol w:w="3267"/>
      </w:tblGrid>
      <w:tr w:rsidR="00841E1C" w:rsidRPr="007B09E9" w14:paraId="1F5EB294" w14:textId="77777777" w:rsidTr="0078382D">
        <w:trPr>
          <w:trHeight w:val="386"/>
        </w:trPr>
        <w:tc>
          <w:tcPr>
            <w:tcW w:w="6069"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24812A13" w14:textId="77777777" w:rsidR="00841E1C" w:rsidRPr="007B09E9" w:rsidRDefault="00841E1C" w:rsidP="00841E1C">
            <w:pPr>
              <w:pStyle w:val="NoSpacing"/>
              <w:keepNext/>
              <w:keepLines/>
              <w:jc w:val="center"/>
              <w:rPr>
                <w:rFonts w:asciiTheme="minorHAnsi" w:hAnsiTheme="minorHAnsi"/>
                <w:b/>
                <w:sz w:val="22"/>
                <w:szCs w:val="22"/>
                <w:lang w:val="en-NZ"/>
              </w:rPr>
            </w:pPr>
            <w:r w:rsidRPr="007B09E9">
              <w:rPr>
                <w:rFonts w:asciiTheme="minorHAnsi" w:hAnsiTheme="minorHAnsi"/>
                <w:b/>
                <w:sz w:val="22"/>
                <w:szCs w:val="22"/>
                <w:lang w:val="en-NZ"/>
              </w:rPr>
              <w:t>Recommendation</w:t>
            </w:r>
          </w:p>
        </w:tc>
        <w:tc>
          <w:tcPr>
            <w:tcW w:w="3267" w:type="dxa"/>
            <w:tcBorders>
              <w:top w:val="single" w:sz="4" w:space="0" w:color="auto"/>
              <w:left w:val="single" w:sz="4" w:space="0" w:color="auto"/>
              <w:bottom w:val="single" w:sz="4" w:space="0" w:color="auto"/>
              <w:right w:val="single" w:sz="4" w:space="0" w:color="auto"/>
            </w:tcBorders>
            <w:shd w:val="clear" w:color="auto" w:fill="C00000"/>
            <w:hideMark/>
          </w:tcPr>
          <w:p w14:paraId="0A37F27F" w14:textId="649FF172" w:rsidR="00841E1C" w:rsidRPr="007B09E9" w:rsidRDefault="00841E1C" w:rsidP="00841E1C">
            <w:pPr>
              <w:pStyle w:val="NoSpacing"/>
              <w:keepNext/>
              <w:keepLines/>
              <w:jc w:val="center"/>
              <w:rPr>
                <w:rFonts w:asciiTheme="minorHAnsi" w:hAnsiTheme="minorHAnsi"/>
                <w:b/>
                <w:sz w:val="22"/>
                <w:szCs w:val="22"/>
                <w:lang w:val="en-NZ"/>
              </w:rPr>
            </w:pPr>
            <w:r w:rsidRPr="007B09E9">
              <w:rPr>
                <w:rFonts w:asciiTheme="minorHAnsi" w:hAnsiTheme="minorHAnsi"/>
                <w:b/>
                <w:sz w:val="22"/>
                <w:szCs w:val="22"/>
                <w:lang w:val="en-NZ"/>
              </w:rPr>
              <w:t xml:space="preserve">Number of </w:t>
            </w:r>
            <w:r w:rsidR="008B3438">
              <w:rPr>
                <w:rFonts w:asciiTheme="minorHAnsi" w:hAnsiTheme="minorHAnsi"/>
                <w:b/>
                <w:sz w:val="22"/>
                <w:szCs w:val="22"/>
                <w:lang w:val="en-NZ"/>
              </w:rPr>
              <w:br/>
            </w:r>
            <w:r w:rsidRPr="007B09E9">
              <w:rPr>
                <w:rFonts w:asciiTheme="minorHAnsi" w:hAnsiTheme="minorHAnsi"/>
                <w:b/>
                <w:sz w:val="22"/>
                <w:szCs w:val="22"/>
                <w:lang w:val="en-NZ"/>
              </w:rPr>
              <w:t>recommendations made</w:t>
            </w:r>
          </w:p>
        </w:tc>
      </w:tr>
      <w:tr w:rsidR="00841E1C" w:rsidRPr="007B09E9" w14:paraId="060D39CA" w14:textId="77777777" w:rsidTr="0078382D">
        <w:trPr>
          <w:trHeight w:val="272"/>
        </w:trPr>
        <w:tc>
          <w:tcPr>
            <w:tcW w:w="6069" w:type="dxa"/>
            <w:tcBorders>
              <w:top w:val="single" w:sz="4" w:space="0" w:color="auto"/>
              <w:left w:val="single" w:sz="4" w:space="0" w:color="auto"/>
              <w:bottom w:val="single" w:sz="4" w:space="0" w:color="auto"/>
              <w:right w:val="single" w:sz="4" w:space="0" w:color="auto"/>
            </w:tcBorders>
            <w:hideMark/>
          </w:tcPr>
          <w:p w14:paraId="7E220D3A" w14:textId="15190DFE" w:rsidR="00841E1C" w:rsidRPr="007B09E9" w:rsidRDefault="00841E1C" w:rsidP="00841E1C">
            <w:pPr>
              <w:pStyle w:val="NoSpacing"/>
              <w:keepNext/>
              <w:keepLines/>
              <w:jc w:val="left"/>
              <w:rPr>
                <w:rFonts w:asciiTheme="minorHAnsi" w:hAnsiTheme="minorHAnsi"/>
                <w:sz w:val="22"/>
                <w:szCs w:val="22"/>
                <w:lang w:val="en-NZ"/>
              </w:rPr>
            </w:pPr>
            <w:r w:rsidRPr="007B09E9">
              <w:rPr>
                <w:rFonts w:asciiTheme="minorHAnsi" w:hAnsiTheme="minorHAnsi"/>
                <w:sz w:val="22"/>
                <w:szCs w:val="22"/>
                <w:lang w:val="en-NZ"/>
              </w:rPr>
              <w:t>Apology</w:t>
            </w:r>
          </w:p>
        </w:tc>
        <w:tc>
          <w:tcPr>
            <w:tcW w:w="3267" w:type="dxa"/>
            <w:tcBorders>
              <w:top w:val="single" w:sz="4" w:space="0" w:color="auto"/>
              <w:left w:val="single" w:sz="4" w:space="0" w:color="auto"/>
              <w:bottom w:val="single" w:sz="4" w:space="0" w:color="auto"/>
              <w:right w:val="single" w:sz="4" w:space="0" w:color="auto"/>
            </w:tcBorders>
          </w:tcPr>
          <w:p w14:paraId="7B6252BE" w14:textId="20DD8108" w:rsidR="00841E1C" w:rsidRPr="007B09E9" w:rsidRDefault="00650072" w:rsidP="00841E1C">
            <w:pPr>
              <w:pStyle w:val="NoSpacing"/>
              <w:keepNext/>
              <w:keepLines/>
              <w:jc w:val="center"/>
              <w:rPr>
                <w:rFonts w:asciiTheme="minorHAnsi" w:hAnsiTheme="minorHAnsi"/>
                <w:sz w:val="22"/>
                <w:szCs w:val="22"/>
                <w:lang w:val="en-NZ"/>
              </w:rPr>
            </w:pPr>
            <w:r>
              <w:rPr>
                <w:rFonts w:asciiTheme="minorHAnsi" w:hAnsiTheme="minorHAnsi"/>
                <w:sz w:val="22"/>
                <w:szCs w:val="22"/>
                <w:lang w:val="en-NZ"/>
              </w:rPr>
              <w:t>24</w:t>
            </w:r>
          </w:p>
        </w:tc>
      </w:tr>
      <w:tr w:rsidR="00841E1C" w:rsidRPr="007B09E9" w14:paraId="1B96D6C3" w14:textId="77777777" w:rsidTr="0078382D">
        <w:trPr>
          <w:trHeight w:val="272"/>
        </w:trPr>
        <w:tc>
          <w:tcPr>
            <w:tcW w:w="6069" w:type="dxa"/>
            <w:tcBorders>
              <w:top w:val="single" w:sz="4" w:space="0" w:color="auto"/>
              <w:left w:val="single" w:sz="4" w:space="0" w:color="auto"/>
              <w:bottom w:val="single" w:sz="4" w:space="0" w:color="auto"/>
              <w:right w:val="single" w:sz="4" w:space="0" w:color="auto"/>
            </w:tcBorders>
            <w:hideMark/>
          </w:tcPr>
          <w:p w14:paraId="6480E90F" w14:textId="7D3A95B2" w:rsidR="00841E1C" w:rsidRPr="007B09E9" w:rsidRDefault="00841E1C" w:rsidP="00841E1C">
            <w:pPr>
              <w:pStyle w:val="NoSpacing"/>
              <w:keepNext/>
              <w:keepLines/>
              <w:jc w:val="left"/>
              <w:rPr>
                <w:rFonts w:asciiTheme="minorHAnsi" w:hAnsiTheme="minorHAnsi"/>
                <w:sz w:val="22"/>
                <w:szCs w:val="22"/>
                <w:lang w:val="en-NZ"/>
              </w:rPr>
            </w:pPr>
            <w:r w:rsidRPr="007B09E9">
              <w:rPr>
                <w:rFonts w:asciiTheme="minorHAnsi" w:hAnsiTheme="minorHAnsi"/>
                <w:sz w:val="22"/>
                <w:szCs w:val="22"/>
                <w:lang w:val="en-NZ"/>
              </w:rPr>
              <w:t>Audit</w:t>
            </w:r>
          </w:p>
        </w:tc>
        <w:tc>
          <w:tcPr>
            <w:tcW w:w="3267" w:type="dxa"/>
            <w:tcBorders>
              <w:top w:val="single" w:sz="4" w:space="0" w:color="auto"/>
              <w:left w:val="single" w:sz="4" w:space="0" w:color="auto"/>
              <w:bottom w:val="single" w:sz="4" w:space="0" w:color="auto"/>
              <w:right w:val="single" w:sz="4" w:space="0" w:color="auto"/>
            </w:tcBorders>
          </w:tcPr>
          <w:p w14:paraId="4079CC13" w14:textId="26084DBA" w:rsidR="00841E1C" w:rsidRPr="007B09E9" w:rsidRDefault="00650072" w:rsidP="00841E1C">
            <w:pPr>
              <w:pStyle w:val="NoSpacing"/>
              <w:keepNext/>
              <w:keepLines/>
              <w:jc w:val="center"/>
              <w:rPr>
                <w:rFonts w:asciiTheme="minorHAnsi" w:hAnsiTheme="minorHAnsi"/>
                <w:sz w:val="22"/>
                <w:szCs w:val="22"/>
                <w:lang w:val="en-NZ"/>
              </w:rPr>
            </w:pPr>
            <w:r>
              <w:rPr>
                <w:rFonts w:asciiTheme="minorHAnsi" w:hAnsiTheme="minorHAnsi"/>
                <w:sz w:val="22"/>
                <w:szCs w:val="22"/>
                <w:lang w:val="en-NZ"/>
              </w:rPr>
              <w:t>17</w:t>
            </w:r>
          </w:p>
        </w:tc>
      </w:tr>
      <w:tr w:rsidR="00650072" w:rsidRPr="007B09E9" w14:paraId="2DCDC784" w14:textId="77777777" w:rsidTr="0078382D">
        <w:trPr>
          <w:trHeight w:val="272"/>
        </w:trPr>
        <w:tc>
          <w:tcPr>
            <w:tcW w:w="6069" w:type="dxa"/>
            <w:tcBorders>
              <w:top w:val="single" w:sz="4" w:space="0" w:color="auto"/>
              <w:left w:val="single" w:sz="4" w:space="0" w:color="auto"/>
              <w:bottom w:val="single" w:sz="4" w:space="0" w:color="auto"/>
              <w:right w:val="single" w:sz="4" w:space="0" w:color="auto"/>
            </w:tcBorders>
          </w:tcPr>
          <w:p w14:paraId="603CAA60" w14:textId="3723E44A" w:rsidR="00650072" w:rsidRPr="00650072" w:rsidRDefault="00650072" w:rsidP="00841E1C">
            <w:pPr>
              <w:pStyle w:val="NoSpacing"/>
              <w:keepNext/>
              <w:keepLines/>
              <w:jc w:val="left"/>
              <w:rPr>
                <w:rFonts w:asciiTheme="minorHAnsi" w:hAnsiTheme="minorHAnsi"/>
                <w:sz w:val="22"/>
                <w:szCs w:val="22"/>
                <w:lang w:val="en-NZ"/>
              </w:rPr>
            </w:pPr>
            <w:r w:rsidRPr="00650072">
              <w:rPr>
                <w:rFonts w:asciiTheme="minorHAnsi" w:hAnsiTheme="minorHAnsi"/>
                <w:sz w:val="22"/>
                <w:szCs w:val="22"/>
                <w:lang w:val="en-NZ"/>
              </w:rPr>
              <w:t>Evaluation of change</w:t>
            </w:r>
          </w:p>
        </w:tc>
        <w:tc>
          <w:tcPr>
            <w:tcW w:w="3267" w:type="dxa"/>
            <w:tcBorders>
              <w:top w:val="single" w:sz="4" w:space="0" w:color="auto"/>
              <w:left w:val="single" w:sz="4" w:space="0" w:color="auto"/>
              <w:bottom w:val="single" w:sz="4" w:space="0" w:color="auto"/>
              <w:right w:val="single" w:sz="4" w:space="0" w:color="auto"/>
            </w:tcBorders>
            <w:vAlign w:val="center"/>
          </w:tcPr>
          <w:p w14:paraId="1260FCC5" w14:textId="0159B33A" w:rsidR="00650072" w:rsidRPr="00650072" w:rsidRDefault="00650072" w:rsidP="00841E1C">
            <w:pPr>
              <w:pStyle w:val="NoSpacing"/>
              <w:keepNext/>
              <w:keepLines/>
              <w:jc w:val="center"/>
              <w:rPr>
                <w:rFonts w:asciiTheme="minorHAnsi" w:hAnsiTheme="minorHAnsi"/>
                <w:sz w:val="22"/>
                <w:szCs w:val="22"/>
                <w:lang w:val="en-NZ"/>
              </w:rPr>
            </w:pPr>
            <w:r>
              <w:rPr>
                <w:rFonts w:asciiTheme="minorHAnsi" w:hAnsiTheme="minorHAnsi"/>
                <w:sz w:val="22"/>
                <w:szCs w:val="22"/>
                <w:lang w:val="en-NZ"/>
              </w:rPr>
              <w:t>5</w:t>
            </w:r>
          </w:p>
        </w:tc>
      </w:tr>
      <w:tr w:rsidR="00841E1C" w:rsidRPr="007B09E9" w14:paraId="1F9B8E4D" w14:textId="77777777" w:rsidTr="0078382D">
        <w:trPr>
          <w:trHeight w:val="272"/>
        </w:trPr>
        <w:tc>
          <w:tcPr>
            <w:tcW w:w="6069" w:type="dxa"/>
            <w:tcBorders>
              <w:top w:val="single" w:sz="4" w:space="0" w:color="auto"/>
              <w:left w:val="single" w:sz="4" w:space="0" w:color="auto"/>
              <w:bottom w:val="single" w:sz="4" w:space="0" w:color="auto"/>
              <w:right w:val="single" w:sz="4" w:space="0" w:color="auto"/>
            </w:tcBorders>
          </w:tcPr>
          <w:p w14:paraId="630F685A" w14:textId="4B8DD85B" w:rsidR="00841E1C" w:rsidRPr="007B09E9" w:rsidRDefault="00841E1C" w:rsidP="00841E1C">
            <w:pPr>
              <w:pStyle w:val="NoSpacing"/>
              <w:keepNext/>
              <w:keepLines/>
              <w:jc w:val="left"/>
              <w:rPr>
                <w:rFonts w:asciiTheme="minorHAnsi" w:hAnsiTheme="minorHAnsi"/>
                <w:sz w:val="22"/>
                <w:szCs w:val="22"/>
                <w:lang w:val="en-NZ"/>
              </w:rPr>
            </w:pPr>
            <w:r w:rsidRPr="007B09E9">
              <w:rPr>
                <w:rFonts w:asciiTheme="minorHAnsi" w:hAnsiTheme="minorHAnsi"/>
                <w:sz w:val="22"/>
                <w:szCs w:val="22"/>
                <w:lang w:val="en-NZ"/>
              </w:rPr>
              <w:t>Meeting with consumer</w:t>
            </w:r>
          </w:p>
        </w:tc>
        <w:tc>
          <w:tcPr>
            <w:tcW w:w="3267" w:type="dxa"/>
            <w:tcBorders>
              <w:top w:val="single" w:sz="4" w:space="0" w:color="auto"/>
              <w:left w:val="single" w:sz="4" w:space="0" w:color="auto"/>
              <w:bottom w:val="single" w:sz="4" w:space="0" w:color="auto"/>
              <w:right w:val="single" w:sz="4" w:space="0" w:color="auto"/>
            </w:tcBorders>
            <w:vAlign w:val="center"/>
          </w:tcPr>
          <w:p w14:paraId="61233B01" w14:textId="013AAFA1" w:rsidR="00841E1C" w:rsidRPr="007B09E9" w:rsidRDefault="00650072" w:rsidP="00841E1C">
            <w:pPr>
              <w:pStyle w:val="NoSpacing"/>
              <w:keepNext/>
              <w:keepLines/>
              <w:jc w:val="center"/>
              <w:rPr>
                <w:rFonts w:asciiTheme="minorHAnsi" w:hAnsiTheme="minorHAnsi"/>
                <w:sz w:val="22"/>
                <w:szCs w:val="22"/>
                <w:lang w:val="en-NZ"/>
              </w:rPr>
            </w:pPr>
            <w:r>
              <w:rPr>
                <w:rFonts w:asciiTheme="minorHAnsi" w:hAnsiTheme="minorHAnsi"/>
                <w:sz w:val="22"/>
                <w:szCs w:val="22"/>
                <w:lang w:val="en-NZ"/>
              </w:rPr>
              <w:t>2</w:t>
            </w:r>
          </w:p>
        </w:tc>
      </w:tr>
      <w:tr w:rsidR="00650072" w:rsidRPr="007B09E9" w14:paraId="523D66D6" w14:textId="77777777" w:rsidTr="0078382D">
        <w:trPr>
          <w:trHeight w:val="272"/>
        </w:trPr>
        <w:tc>
          <w:tcPr>
            <w:tcW w:w="6069" w:type="dxa"/>
            <w:tcBorders>
              <w:top w:val="single" w:sz="4" w:space="0" w:color="auto"/>
              <w:left w:val="single" w:sz="4" w:space="0" w:color="auto"/>
              <w:bottom w:val="single" w:sz="4" w:space="0" w:color="auto"/>
              <w:right w:val="single" w:sz="4" w:space="0" w:color="auto"/>
            </w:tcBorders>
          </w:tcPr>
          <w:p w14:paraId="0D78A02C" w14:textId="2DC148E2" w:rsidR="00650072" w:rsidRPr="00650072" w:rsidRDefault="00650072" w:rsidP="00841E1C">
            <w:pPr>
              <w:pStyle w:val="NoSpacing"/>
              <w:keepNext/>
              <w:keepLines/>
              <w:jc w:val="left"/>
              <w:rPr>
                <w:rFonts w:asciiTheme="minorHAnsi" w:hAnsiTheme="minorHAnsi"/>
                <w:sz w:val="22"/>
                <w:szCs w:val="22"/>
                <w:lang w:val="en-NZ"/>
              </w:rPr>
            </w:pPr>
            <w:r>
              <w:rPr>
                <w:rFonts w:asciiTheme="minorHAnsi" w:hAnsiTheme="minorHAnsi"/>
                <w:sz w:val="22"/>
                <w:szCs w:val="22"/>
                <w:lang w:val="en-NZ"/>
              </w:rPr>
              <w:t>Personal reflection</w:t>
            </w:r>
          </w:p>
        </w:tc>
        <w:tc>
          <w:tcPr>
            <w:tcW w:w="3267" w:type="dxa"/>
            <w:tcBorders>
              <w:top w:val="single" w:sz="4" w:space="0" w:color="auto"/>
              <w:left w:val="single" w:sz="4" w:space="0" w:color="auto"/>
              <w:bottom w:val="single" w:sz="4" w:space="0" w:color="auto"/>
              <w:right w:val="single" w:sz="4" w:space="0" w:color="auto"/>
            </w:tcBorders>
            <w:vAlign w:val="center"/>
          </w:tcPr>
          <w:p w14:paraId="67A579C5" w14:textId="6B15D765" w:rsidR="00650072" w:rsidRPr="007B09E9" w:rsidRDefault="00650072" w:rsidP="00841E1C">
            <w:pPr>
              <w:pStyle w:val="NoSpacing"/>
              <w:keepNext/>
              <w:keepLines/>
              <w:jc w:val="center"/>
              <w:rPr>
                <w:lang w:val="en-NZ"/>
              </w:rPr>
            </w:pPr>
            <w:r>
              <w:rPr>
                <w:lang w:val="en-NZ"/>
              </w:rPr>
              <w:t>1</w:t>
            </w:r>
          </w:p>
        </w:tc>
      </w:tr>
      <w:tr w:rsidR="00841E1C" w:rsidRPr="007B09E9" w14:paraId="53A90BC3" w14:textId="77777777" w:rsidTr="0078382D">
        <w:trPr>
          <w:trHeight w:val="272"/>
        </w:trPr>
        <w:tc>
          <w:tcPr>
            <w:tcW w:w="6069" w:type="dxa"/>
            <w:tcBorders>
              <w:top w:val="single" w:sz="4" w:space="0" w:color="auto"/>
              <w:left w:val="single" w:sz="4" w:space="0" w:color="auto"/>
              <w:bottom w:val="single" w:sz="4" w:space="0" w:color="auto"/>
              <w:right w:val="single" w:sz="4" w:space="0" w:color="auto"/>
            </w:tcBorders>
            <w:hideMark/>
          </w:tcPr>
          <w:p w14:paraId="2DAED9E5" w14:textId="77777777" w:rsidR="00841E1C" w:rsidRPr="007B09E9" w:rsidRDefault="00841E1C" w:rsidP="00841E1C">
            <w:pPr>
              <w:pStyle w:val="NoSpacing"/>
              <w:keepNext/>
              <w:keepLines/>
              <w:jc w:val="left"/>
              <w:rPr>
                <w:rFonts w:asciiTheme="minorHAnsi" w:hAnsiTheme="minorHAnsi"/>
                <w:sz w:val="22"/>
                <w:szCs w:val="22"/>
                <w:lang w:val="en-NZ"/>
              </w:rPr>
            </w:pPr>
            <w:r w:rsidRPr="007B09E9">
              <w:rPr>
                <w:rFonts w:asciiTheme="minorHAnsi" w:hAnsiTheme="minorHAnsi"/>
                <w:sz w:val="22"/>
                <w:szCs w:val="22"/>
                <w:lang w:val="en-NZ"/>
              </w:rPr>
              <w:t>Presentation/discussion of complaint with others</w:t>
            </w:r>
          </w:p>
        </w:tc>
        <w:tc>
          <w:tcPr>
            <w:tcW w:w="3267" w:type="dxa"/>
            <w:tcBorders>
              <w:top w:val="single" w:sz="4" w:space="0" w:color="auto"/>
              <w:left w:val="single" w:sz="4" w:space="0" w:color="auto"/>
              <w:bottom w:val="single" w:sz="4" w:space="0" w:color="auto"/>
              <w:right w:val="single" w:sz="4" w:space="0" w:color="auto"/>
            </w:tcBorders>
            <w:vAlign w:val="center"/>
          </w:tcPr>
          <w:p w14:paraId="27E9E954" w14:textId="3E2FD718" w:rsidR="00841E1C" w:rsidRPr="007B09E9" w:rsidRDefault="00650072" w:rsidP="00841E1C">
            <w:pPr>
              <w:pStyle w:val="NoSpacing"/>
              <w:keepNext/>
              <w:keepLines/>
              <w:jc w:val="center"/>
              <w:rPr>
                <w:rFonts w:asciiTheme="minorHAnsi" w:hAnsiTheme="minorHAnsi"/>
                <w:sz w:val="22"/>
                <w:szCs w:val="22"/>
                <w:lang w:val="en-NZ"/>
              </w:rPr>
            </w:pPr>
            <w:r>
              <w:rPr>
                <w:rFonts w:asciiTheme="minorHAnsi" w:hAnsiTheme="minorHAnsi"/>
                <w:sz w:val="22"/>
                <w:szCs w:val="22"/>
                <w:lang w:val="en-NZ"/>
              </w:rPr>
              <w:t>9</w:t>
            </w:r>
          </w:p>
        </w:tc>
      </w:tr>
      <w:tr w:rsidR="00841E1C" w:rsidRPr="007B09E9" w14:paraId="4902A46C" w14:textId="77777777" w:rsidTr="0078382D">
        <w:trPr>
          <w:trHeight w:val="272"/>
        </w:trPr>
        <w:tc>
          <w:tcPr>
            <w:tcW w:w="6069" w:type="dxa"/>
            <w:tcBorders>
              <w:top w:val="single" w:sz="4" w:space="0" w:color="auto"/>
              <w:left w:val="single" w:sz="4" w:space="0" w:color="auto"/>
              <w:bottom w:val="single" w:sz="4" w:space="0" w:color="auto"/>
              <w:right w:val="single" w:sz="4" w:space="0" w:color="auto"/>
            </w:tcBorders>
            <w:hideMark/>
          </w:tcPr>
          <w:p w14:paraId="17352649" w14:textId="77777777" w:rsidR="00841E1C" w:rsidRPr="007B09E9" w:rsidRDefault="00841E1C" w:rsidP="00841E1C">
            <w:pPr>
              <w:pStyle w:val="NoSpacing"/>
              <w:keepNext/>
              <w:keepLines/>
              <w:jc w:val="left"/>
              <w:rPr>
                <w:rFonts w:asciiTheme="minorHAnsi" w:hAnsiTheme="minorHAnsi"/>
                <w:sz w:val="22"/>
                <w:szCs w:val="22"/>
                <w:lang w:val="en-NZ"/>
              </w:rPr>
            </w:pPr>
            <w:r w:rsidRPr="007B09E9">
              <w:rPr>
                <w:rFonts w:asciiTheme="minorHAnsi" w:hAnsiTheme="minorHAnsi"/>
                <w:sz w:val="22"/>
                <w:szCs w:val="22"/>
                <w:lang w:val="en-NZ"/>
              </w:rPr>
              <w:t>Provision of evidence of change to HDC</w:t>
            </w:r>
          </w:p>
        </w:tc>
        <w:tc>
          <w:tcPr>
            <w:tcW w:w="3267" w:type="dxa"/>
            <w:tcBorders>
              <w:top w:val="single" w:sz="4" w:space="0" w:color="auto"/>
              <w:left w:val="single" w:sz="4" w:space="0" w:color="auto"/>
              <w:bottom w:val="single" w:sz="4" w:space="0" w:color="auto"/>
              <w:right w:val="single" w:sz="4" w:space="0" w:color="auto"/>
            </w:tcBorders>
            <w:vAlign w:val="center"/>
          </w:tcPr>
          <w:p w14:paraId="6D0A8E51" w14:textId="607C5B67" w:rsidR="00841E1C" w:rsidRPr="007B09E9" w:rsidRDefault="00650072" w:rsidP="00841E1C">
            <w:pPr>
              <w:pStyle w:val="NoSpacing"/>
              <w:keepNext/>
              <w:keepLines/>
              <w:jc w:val="center"/>
              <w:rPr>
                <w:rFonts w:asciiTheme="minorHAnsi" w:hAnsiTheme="minorHAnsi"/>
                <w:sz w:val="22"/>
                <w:szCs w:val="22"/>
                <w:lang w:val="en-NZ"/>
              </w:rPr>
            </w:pPr>
            <w:r>
              <w:rPr>
                <w:rFonts w:asciiTheme="minorHAnsi" w:hAnsiTheme="minorHAnsi"/>
                <w:sz w:val="22"/>
                <w:szCs w:val="22"/>
                <w:lang w:val="en-NZ"/>
              </w:rPr>
              <w:t>14</w:t>
            </w:r>
          </w:p>
        </w:tc>
      </w:tr>
      <w:tr w:rsidR="00650072" w:rsidRPr="007B09E9" w14:paraId="7BE4051D" w14:textId="77777777" w:rsidTr="0078382D">
        <w:trPr>
          <w:trHeight w:val="272"/>
        </w:trPr>
        <w:tc>
          <w:tcPr>
            <w:tcW w:w="6069" w:type="dxa"/>
            <w:tcBorders>
              <w:top w:val="single" w:sz="4" w:space="0" w:color="auto"/>
              <w:left w:val="single" w:sz="4" w:space="0" w:color="auto"/>
              <w:bottom w:val="single" w:sz="4" w:space="0" w:color="auto"/>
              <w:right w:val="single" w:sz="4" w:space="0" w:color="auto"/>
            </w:tcBorders>
          </w:tcPr>
          <w:p w14:paraId="754A3162" w14:textId="15D41AED" w:rsidR="00650072" w:rsidRPr="00650072" w:rsidRDefault="00650072" w:rsidP="00841E1C">
            <w:pPr>
              <w:pStyle w:val="NoSpacing"/>
              <w:keepNext/>
              <w:keepLines/>
              <w:jc w:val="left"/>
              <w:rPr>
                <w:rFonts w:asciiTheme="minorHAnsi" w:hAnsiTheme="minorHAnsi"/>
                <w:sz w:val="22"/>
                <w:szCs w:val="22"/>
                <w:lang w:val="en-NZ"/>
              </w:rPr>
            </w:pPr>
            <w:r>
              <w:rPr>
                <w:rFonts w:asciiTheme="minorHAnsi" w:hAnsiTheme="minorHAnsi"/>
                <w:sz w:val="22"/>
                <w:szCs w:val="22"/>
                <w:lang w:val="en-NZ"/>
              </w:rPr>
              <w:t>Provision of information to consumer/complainant</w:t>
            </w:r>
          </w:p>
        </w:tc>
        <w:tc>
          <w:tcPr>
            <w:tcW w:w="3267" w:type="dxa"/>
            <w:tcBorders>
              <w:top w:val="single" w:sz="4" w:space="0" w:color="auto"/>
              <w:left w:val="single" w:sz="4" w:space="0" w:color="auto"/>
              <w:bottom w:val="single" w:sz="4" w:space="0" w:color="auto"/>
              <w:right w:val="single" w:sz="4" w:space="0" w:color="auto"/>
            </w:tcBorders>
            <w:vAlign w:val="center"/>
          </w:tcPr>
          <w:p w14:paraId="3A5577DC" w14:textId="0519AF6C" w:rsidR="00650072" w:rsidRPr="00650072" w:rsidRDefault="00650072" w:rsidP="00841E1C">
            <w:pPr>
              <w:pStyle w:val="NoSpacing"/>
              <w:keepNext/>
              <w:keepLines/>
              <w:jc w:val="center"/>
              <w:rPr>
                <w:rFonts w:asciiTheme="minorHAnsi" w:hAnsiTheme="minorHAnsi"/>
                <w:sz w:val="22"/>
                <w:szCs w:val="22"/>
                <w:lang w:val="en-NZ"/>
              </w:rPr>
            </w:pPr>
            <w:r>
              <w:rPr>
                <w:rFonts w:asciiTheme="minorHAnsi" w:hAnsiTheme="minorHAnsi"/>
                <w:sz w:val="22"/>
                <w:szCs w:val="22"/>
                <w:lang w:val="en-NZ"/>
              </w:rPr>
              <w:t>1</w:t>
            </w:r>
          </w:p>
        </w:tc>
      </w:tr>
      <w:tr w:rsidR="00841E1C" w:rsidRPr="007B09E9" w14:paraId="4A96FA5D" w14:textId="77777777" w:rsidTr="0078382D">
        <w:trPr>
          <w:trHeight w:val="272"/>
        </w:trPr>
        <w:tc>
          <w:tcPr>
            <w:tcW w:w="6069" w:type="dxa"/>
            <w:tcBorders>
              <w:top w:val="single" w:sz="4" w:space="0" w:color="auto"/>
              <w:left w:val="single" w:sz="4" w:space="0" w:color="auto"/>
              <w:bottom w:val="single" w:sz="4" w:space="0" w:color="auto"/>
              <w:right w:val="single" w:sz="4" w:space="0" w:color="auto"/>
            </w:tcBorders>
            <w:hideMark/>
          </w:tcPr>
          <w:p w14:paraId="056AABC3" w14:textId="77777777" w:rsidR="00841E1C" w:rsidRPr="007B09E9" w:rsidRDefault="00841E1C" w:rsidP="00841E1C">
            <w:pPr>
              <w:pStyle w:val="NoSpacing"/>
              <w:jc w:val="left"/>
              <w:rPr>
                <w:rFonts w:asciiTheme="minorHAnsi" w:hAnsiTheme="minorHAnsi"/>
                <w:sz w:val="22"/>
                <w:szCs w:val="22"/>
                <w:lang w:val="en-NZ"/>
              </w:rPr>
            </w:pPr>
            <w:r w:rsidRPr="007B09E9">
              <w:rPr>
                <w:rFonts w:asciiTheme="minorHAnsi" w:hAnsiTheme="minorHAnsi"/>
                <w:sz w:val="22"/>
                <w:szCs w:val="22"/>
                <w:lang w:val="en-NZ"/>
              </w:rPr>
              <w:t>Review/implementation of policies/procedures</w:t>
            </w:r>
          </w:p>
        </w:tc>
        <w:tc>
          <w:tcPr>
            <w:tcW w:w="3267" w:type="dxa"/>
            <w:tcBorders>
              <w:top w:val="single" w:sz="4" w:space="0" w:color="auto"/>
              <w:left w:val="single" w:sz="4" w:space="0" w:color="auto"/>
              <w:bottom w:val="single" w:sz="4" w:space="0" w:color="auto"/>
              <w:right w:val="single" w:sz="4" w:space="0" w:color="auto"/>
            </w:tcBorders>
            <w:vAlign w:val="center"/>
          </w:tcPr>
          <w:p w14:paraId="684C1A39" w14:textId="3B9828D0" w:rsidR="00841E1C" w:rsidRPr="007B09E9" w:rsidRDefault="00650072" w:rsidP="00841E1C">
            <w:pPr>
              <w:pStyle w:val="NoSpacing"/>
              <w:jc w:val="center"/>
              <w:rPr>
                <w:rFonts w:asciiTheme="minorHAnsi" w:hAnsiTheme="minorHAnsi"/>
                <w:sz w:val="22"/>
                <w:szCs w:val="22"/>
                <w:lang w:val="en-NZ"/>
              </w:rPr>
            </w:pPr>
            <w:r>
              <w:rPr>
                <w:rFonts w:asciiTheme="minorHAnsi" w:hAnsiTheme="minorHAnsi"/>
                <w:sz w:val="22"/>
                <w:szCs w:val="22"/>
                <w:lang w:val="en-NZ"/>
              </w:rPr>
              <w:t>25</w:t>
            </w:r>
          </w:p>
        </w:tc>
      </w:tr>
      <w:tr w:rsidR="00841E1C" w:rsidRPr="007B09E9" w14:paraId="4D9DED86" w14:textId="77777777" w:rsidTr="0078382D">
        <w:trPr>
          <w:trHeight w:val="272"/>
        </w:trPr>
        <w:tc>
          <w:tcPr>
            <w:tcW w:w="6069" w:type="dxa"/>
            <w:tcBorders>
              <w:top w:val="single" w:sz="4" w:space="0" w:color="auto"/>
              <w:left w:val="single" w:sz="4" w:space="0" w:color="auto"/>
              <w:bottom w:val="single" w:sz="4" w:space="0" w:color="auto"/>
              <w:right w:val="single" w:sz="4" w:space="0" w:color="auto"/>
            </w:tcBorders>
            <w:hideMark/>
          </w:tcPr>
          <w:p w14:paraId="78961488" w14:textId="1BB1FD4B" w:rsidR="00841E1C" w:rsidRPr="007B09E9" w:rsidRDefault="00841E1C" w:rsidP="00841E1C">
            <w:pPr>
              <w:pStyle w:val="NoSpacing"/>
              <w:jc w:val="left"/>
              <w:rPr>
                <w:rFonts w:asciiTheme="minorHAnsi" w:hAnsiTheme="minorHAnsi"/>
                <w:sz w:val="22"/>
                <w:szCs w:val="22"/>
                <w:lang w:val="en-NZ"/>
              </w:rPr>
            </w:pPr>
            <w:r w:rsidRPr="007B09E9">
              <w:rPr>
                <w:rFonts w:asciiTheme="minorHAnsi" w:hAnsiTheme="minorHAnsi"/>
                <w:sz w:val="22"/>
                <w:szCs w:val="22"/>
                <w:lang w:val="en-NZ"/>
              </w:rPr>
              <w:t>Training/professional development</w:t>
            </w:r>
          </w:p>
        </w:tc>
        <w:tc>
          <w:tcPr>
            <w:tcW w:w="3267" w:type="dxa"/>
            <w:tcBorders>
              <w:top w:val="single" w:sz="4" w:space="0" w:color="auto"/>
              <w:left w:val="single" w:sz="4" w:space="0" w:color="auto"/>
              <w:bottom w:val="single" w:sz="4" w:space="0" w:color="auto"/>
              <w:right w:val="single" w:sz="4" w:space="0" w:color="auto"/>
            </w:tcBorders>
          </w:tcPr>
          <w:p w14:paraId="309E8D42" w14:textId="0671D9FB" w:rsidR="00841E1C" w:rsidRPr="007B09E9" w:rsidRDefault="00650072" w:rsidP="00841E1C">
            <w:pPr>
              <w:pStyle w:val="NoSpacing"/>
              <w:jc w:val="center"/>
              <w:rPr>
                <w:rFonts w:asciiTheme="minorHAnsi" w:hAnsiTheme="minorHAnsi"/>
                <w:sz w:val="22"/>
                <w:szCs w:val="22"/>
                <w:lang w:val="en-NZ"/>
              </w:rPr>
            </w:pPr>
            <w:r>
              <w:rPr>
                <w:rFonts w:asciiTheme="minorHAnsi" w:hAnsiTheme="minorHAnsi"/>
                <w:sz w:val="22"/>
                <w:szCs w:val="22"/>
                <w:lang w:val="en-NZ"/>
              </w:rPr>
              <w:t>20</w:t>
            </w:r>
          </w:p>
        </w:tc>
      </w:tr>
      <w:tr w:rsidR="00841E1C" w:rsidRPr="007B09E9" w14:paraId="64627C8A" w14:textId="77777777" w:rsidTr="0078382D">
        <w:trPr>
          <w:trHeight w:val="272"/>
        </w:trPr>
        <w:tc>
          <w:tcPr>
            <w:tcW w:w="6069" w:type="dxa"/>
            <w:tcBorders>
              <w:top w:val="single" w:sz="4" w:space="0" w:color="auto"/>
              <w:left w:val="single" w:sz="4" w:space="0" w:color="auto"/>
              <w:bottom w:val="single" w:sz="4" w:space="0" w:color="auto"/>
              <w:right w:val="single" w:sz="4" w:space="0" w:color="auto"/>
            </w:tcBorders>
            <w:shd w:val="clear" w:color="auto" w:fill="C00000"/>
            <w:hideMark/>
          </w:tcPr>
          <w:p w14:paraId="3EAE11A2" w14:textId="164EDEBF" w:rsidR="00841E1C" w:rsidRPr="007B09E9" w:rsidRDefault="00841E1C" w:rsidP="00841E1C">
            <w:pPr>
              <w:pStyle w:val="NoSpacing"/>
              <w:rPr>
                <w:rFonts w:asciiTheme="minorHAnsi" w:hAnsiTheme="minorHAnsi"/>
                <w:b/>
                <w:sz w:val="22"/>
                <w:szCs w:val="22"/>
                <w:lang w:val="en-NZ"/>
              </w:rPr>
            </w:pPr>
            <w:r w:rsidRPr="007B09E9">
              <w:rPr>
                <w:rFonts w:asciiTheme="minorHAnsi" w:hAnsiTheme="minorHAnsi"/>
                <w:b/>
                <w:sz w:val="22"/>
                <w:szCs w:val="22"/>
                <w:lang w:val="en-NZ"/>
              </w:rPr>
              <w:t>T</w:t>
            </w:r>
            <w:r w:rsidR="00091893">
              <w:rPr>
                <w:rFonts w:asciiTheme="minorHAnsi" w:hAnsiTheme="minorHAnsi"/>
                <w:b/>
                <w:sz w:val="22"/>
                <w:szCs w:val="22"/>
                <w:lang w:val="en-NZ"/>
              </w:rPr>
              <w:t>OTAL</w:t>
            </w:r>
          </w:p>
        </w:tc>
        <w:tc>
          <w:tcPr>
            <w:tcW w:w="3267" w:type="dxa"/>
            <w:tcBorders>
              <w:top w:val="single" w:sz="4" w:space="0" w:color="auto"/>
              <w:left w:val="single" w:sz="4" w:space="0" w:color="auto"/>
              <w:bottom w:val="single" w:sz="4" w:space="0" w:color="auto"/>
              <w:right w:val="single" w:sz="4" w:space="0" w:color="auto"/>
            </w:tcBorders>
            <w:shd w:val="clear" w:color="auto" w:fill="C00000"/>
          </w:tcPr>
          <w:p w14:paraId="36E75988" w14:textId="7E84EFFD" w:rsidR="00841E1C" w:rsidRPr="007B09E9" w:rsidRDefault="00650072" w:rsidP="00841E1C">
            <w:pPr>
              <w:pStyle w:val="NoSpacing"/>
              <w:jc w:val="center"/>
              <w:rPr>
                <w:rFonts w:asciiTheme="minorHAnsi" w:hAnsiTheme="minorHAnsi"/>
                <w:b/>
                <w:sz w:val="22"/>
                <w:szCs w:val="22"/>
                <w:lang w:val="en-NZ"/>
              </w:rPr>
            </w:pPr>
            <w:r>
              <w:rPr>
                <w:b/>
                <w:lang w:val="en-NZ"/>
              </w:rPr>
              <w:fldChar w:fldCharType="begin"/>
            </w:r>
            <w:r>
              <w:rPr>
                <w:rFonts w:asciiTheme="minorHAnsi" w:hAnsiTheme="minorHAnsi"/>
                <w:b/>
                <w:sz w:val="22"/>
                <w:szCs w:val="22"/>
                <w:lang w:val="en-NZ"/>
              </w:rPr>
              <w:instrText xml:space="preserve"> =SUM(ABOVE) </w:instrText>
            </w:r>
            <w:r>
              <w:rPr>
                <w:b/>
                <w:lang w:val="en-NZ"/>
              </w:rPr>
              <w:fldChar w:fldCharType="separate"/>
            </w:r>
            <w:r>
              <w:rPr>
                <w:rFonts w:asciiTheme="minorHAnsi" w:hAnsiTheme="minorHAnsi"/>
                <w:b/>
                <w:noProof/>
                <w:sz w:val="22"/>
                <w:szCs w:val="22"/>
                <w:lang w:val="en-NZ"/>
              </w:rPr>
              <w:t>118</w:t>
            </w:r>
            <w:r>
              <w:rPr>
                <w:b/>
                <w:lang w:val="en-NZ"/>
              </w:rPr>
              <w:fldChar w:fldCharType="end"/>
            </w:r>
          </w:p>
        </w:tc>
      </w:tr>
    </w:tbl>
    <w:p w14:paraId="31509493" w14:textId="5FA0B916" w:rsidR="00841E1C" w:rsidRPr="0078382D" w:rsidRDefault="00841E1C" w:rsidP="0078382D">
      <w:pPr>
        <w:spacing w:before="480"/>
        <w:rPr>
          <w:b/>
          <w:spacing w:val="-2"/>
        </w:rPr>
      </w:pPr>
      <w:r w:rsidRPr="0078382D">
        <w:rPr>
          <w:spacing w:val="-2"/>
        </w:rPr>
        <w:t>T</w:t>
      </w:r>
      <w:r w:rsidRPr="0078382D">
        <w:rPr>
          <w:spacing w:val="-2"/>
          <w:lang w:eastAsia="en-NZ"/>
        </w:rPr>
        <w:t>he most common recommendations made to DHBs w</w:t>
      </w:r>
      <w:r w:rsidR="009D66A9" w:rsidRPr="0078382D">
        <w:rPr>
          <w:spacing w:val="-2"/>
          <w:lang w:eastAsia="en-NZ"/>
        </w:rPr>
        <w:t>ere</w:t>
      </w:r>
      <w:r w:rsidRPr="0078382D">
        <w:rPr>
          <w:spacing w:val="-2"/>
          <w:lang w:eastAsia="en-NZ"/>
        </w:rPr>
        <w:t xml:space="preserve"> that they review or implement n</w:t>
      </w:r>
      <w:r w:rsidR="00650072" w:rsidRPr="0078382D">
        <w:rPr>
          <w:spacing w:val="-2"/>
          <w:lang w:eastAsia="en-NZ"/>
        </w:rPr>
        <w:t>ew policies and procedures (25</w:t>
      </w:r>
      <w:r w:rsidRPr="0078382D">
        <w:rPr>
          <w:spacing w:val="-2"/>
          <w:lang w:eastAsia="en-NZ"/>
        </w:rPr>
        <w:t xml:space="preserve"> recommendations)</w:t>
      </w:r>
      <w:r w:rsidR="00650072" w:rsidRPr="0078382D">
        <w:rPr>
          <w:spacing w:val="-2"/>
          <w:lang w:eastAsia="en-NZ"/>
        </w:rPr>
        <w:t>,</w:t>
      </w:r>
      <w:r w:rsidR="000E7FDB" w:rsidRPr="0078382D">
        <w:rPr>
          <w:spacing w:val="-2"/>
          <w:lang w:eastAsia="en-NZ"/>
        </w:rPr>
        <w:t xml:space="preserve"> apologise to the consumer/complainant (24 recommendations)</w:t>
      </w:r>
      <w:r w:rsidR="008B3438" w:rsidRPr="0078382D">
        <w:rPr>
          <w:spacing w:val="-2"/>
          <w:lang w:eastAsia="en-NZ"/>
        </w:rPr>
        <w:t>,</w:t>
      </w:r>
      <w:r w:rsidR="000E7FDB" w:rsidRPr="0078382D">
        <w:rPr>
          <w:spacing w:val="-2"/>
          <w:lang w:eastAsia="en-NZ"/>
        </w:rPr>
        <w:t xml:space="preserve"> and conduct staff training (20</w:t>
      </w:r>
      <w:r w:rsidR="00650072" w:rsidRPr="0078382D">
        <w:rPr>
          <w:spacing w:val="-2"/>
          <w:lang w:eastAsia="en-NZ"/>
        </w:rPr>
        <w:t xml:space="preserve"> recommendations)</w:t>
      </w:r>
      <w:r w:rsidRPr="0078382D">
        <w:rPr>
          <w:spacing w:val="-2"/>
          <w:lang w:eastAsia="en-NZ"/>
        </w:rPr>
        <w:t xml:space="preserve">. </w:t>
      </w:r>
      <w:r w:rsidR="000E7FDB" w:rsidRPr="0078382D">
        <w:rPr>
          <w:spacing w:val="-2"/>
          <w:lang w:eastAsia="en-NZ"/>
        </w:rPr>
        <w:t xml:space="preserve">Recommendations for staff training </w:t>
      </w:r>
      <w:r w:rsidRPr="0078382D">
        <w:rPr>
          <w:spacing w:val="-2"/>
          <w:lang w:eastAsia="en-NZ"/>
        </w:rPr>
        <w:t>w</w:t>
      </w:r>
      <w:r w:rsidR="009D66A9" w:rsidRPr="0078382D">
        <w:rPr>
          <w:spacing w:val="-2"/>
          <w:lang w:eastAsia="en-NZ"/>
        </w:rPr>
        <w:t>ere</w:t>
      </w:r>
      <w:r w:rsidRPr="0078382D">
        <w:rPr>
          <w:spacing w:val="-2"/>
          <w:lang w:eastAsia="en-NZ"/>
        </w:rPr>
        <w:t xml:space="preserve"> most often in regard to clinical issues identified in the complaint</w:t>
      </w:r>
      <w:r w:rsidR="009D66A9" w:rsidRPr="0078382D">
        <w:rPr>
          <w:spacing w:val="-2"/>
          <w:lang w:eastAsia="en-NZ"/>
        </w:rPr>
        <w:t>,</w:t>
      </w:r>
      <w:r w:rsidRPr="0078382D">
        <w:rPr>
          <w:spacing w:val="-2"/>
          <w:lang w:eastAsia="en-NZ"/>
        </w:rPr>
        <w:t xml:space="preserve"> followed by training on communication and documentation requirements.</w:t>
      </w:r>
    </w:p>
    <w:p w14:paraId="7B608817" w14:textId="77777777" w:rsidR="00841E1C" w:rsidRDefault="00841E1C" w:rsidP="00841E1C"/>
    <w:p w14:paraId="4151DF81" w14:textId="77777777" w:rsidR="00841E1C" w:rsidRDefault="00841E1C" w:rsidP="00841E1C"/>
    <w:p w14:paraId="7CF82928" w14:textId="77777777" w:rsidR="00841E1C" w:rsidRDefault="00841E1C" w:rsidP="00841E1C">
      <w:pPr>
        <w:rPr>
          <w:lang w:bidi="ar-SA"/>
        </w:rPr>
      </w:pPr>
    </w:p>
    <w:p w14:paraId="574FE6CE" w14:textId="77777777" w:rsidR="00841E1C" w:rsidRDefault="00841E1C" w:rsidP="00841E1C">
      <w:pPr>
        <w:rPr>
          <w:lang w:bidi="ar-SA"/>
        </w:rPr>
      </w:pPr>
    </w:p>
    <w:p w14:paraId="2F564FAB" w14:textId="77777777" w:rsidR="00841E1C" w:rsidRDefault="00841E1C" w:rsidP="00841E1C">
      <w:pPr>
        <w:rPr>
          <w:lang w:bidi="ar-SA"/>
        </w:rPr>
      </w:pPr>
    </w:p>
    <w:p w14:paraId="1D3B1D01" w14:textId="77777777" w:rsidR="00841E1C" w:rsidRDefault="00841E1C" w:rsidP="00841E1C">
      <w:pPr>
        <w:rPr>
          <w:lang w:bidi="ar-SA"/>
        </w:rPr>
      </w:pPr>
    </w:p>
    <w:p w14:paraId="7FD46695" w14:textId="77777777" w:rsidR="00841E1C" w:rsidRDefault="00841E1C" w:rsidP="00841E1C">
      <w:pPr>
        <w:rPr>
          <w:lang w:bidi="ar-SA"/>
        </w:rPr>
      </w:pPr>
    </w:p>
    <w:p w14:paraId="12705D50" w14:textId="77777777" w:rsidR="00841E1C" w:rsidRDefault="00841E1C" w:rsidP="00841E1C">
      <w:pPr>
        <w:rPr>
          <w:lang w:bidi="ar-SA"/>
        </w:rPr>
      </w:pPr>
      <w:r>
        <w:rPr>
          <w:lang w:bidi="ar-SA"/>
        </w:rPr>
        <w:br w:type="page"/>
      </w:r>
    </w:p>
    <w:p w14:paraId="0BEDE16F" w14:textId="46D968ED" w:rsidR="00F666F0" w:rsidRDefault="00F666F0" w:rsidP="00F666F0">
      <w:pPr>
        <w:pStyle w:val="Heading2"/>
        <w:spacing w:after="240"/>
        <w:rPr>
          <w:sz w:val="36"/>
          <w:szCs w:val="36"/>
        </w:rPr>
      </w:pPr>
      <w:bookmarkStart w:id="105" w:name="_Toc58316495"/>
      <w:r>
        <w:rPr>
          <w:sz w:val="36"/>
          <w:szCs w:val="36"/>
        </w:rPr>
        <w:lastRenderedPageBreak/>
        <w:t>5</w:t>
      </w:r>
      <w:r w:rsidRPr="00666BAC">
        <w:rPr>
          <w:sz w:val="36"/>
          <w:szCs w:val="36"/>
        </w:rPr>
        <w:t xml:space="preserve">. </w:t>
      </w:r>
      <w:r>
        <w:rPr>
          <w:sz w:val="36"/>
          <w:szCs w:val="36"/>
        </w:rPr>
        <w:t>Learning from complaints</w:t>
      </w:r>
      <w:bookmarkEnd w:id="105"/>
    </w:p>
    <w:p w14:paraId="4072A153" w14:textId="552E5C2F" w:rsidR="00F666F0" w:rsidRPr="00666BAC" w:rsidRDefault="00F666F0" w:rsidP="00F666F0">
      <w:pPr>
        <w:pStyle w:val="Heading3"/>
        <w:rPr>
          <w:b/>
          <w:i w:val="0"/>
          <w:sz w:val="28"/>
          <w:szCs w:val="28"/>
          <w:lang w:val="en-AU" w:bidi="ar-SA"/>
        </w:rPr>
      </w:pPr>
      <w:bookmarkStart w:id="106" w:name="_Toc58316496"/>
      <w:r>
        <w:rPr>
          <w:b/>
          <w:i w:val="0"/>
          <w:sz w:val="28"/>
          <w:szCs w:val="28"/>
          <w:lang w:val="en-AU" w:bidi="ar-SA"/>
        </w:rPr>
        <w:t>5</w:t>
      </w:r>
      <w:r w:rsidRPr="00666BAC">
        <w:rPr>
          <w:b/>
          <w:i w:val="0"/>
          <w:sz w:val="28"/>
          <w:szCs w:val="28"/>
          <w:lang w:val="en-AU" w:bidi="ar-SA"/>
        </w:rPr>
        <w:t xml:space="preserve">.1 </w:t>
      </w:r>
      <w:r w:rsidRPr="00666BAC">
        <w:rPr>
          <w:b/>
          <w:i w:val="0"/>
          <w:sz w:val="28"/>
          <w:szCs w:val="28"/>
          <w:lang w:val="en-AU" w:bidi="ar-SA"/>
        </w:rPr>
        <w:tab/>
      </w:r>
      <w:r>
        <w:rPr>
          <w:b/>
          <w:i w:val="0"/>
          <w:sz w:val="28"/>
          <w:szCs w:val="28"/>
          <w:lang w:val="en-AU" w:bidi="ar-SA"/>
        </w:rPr>
        <w:t>Informed consent for dementia patient</w:t>
      </w:r>
      <w:r>
        <w:rPr>
          <w:rStyle w:val="FootnoteReference"/>
          <w:b/>
          <w:i w:val="0"/>
          <w:sz w:val="28"/>
          <w:szCs w:val="28"/>
          <w:lang w:val="en-AU" w:bidi="ar-SA"/>
        </w:rPr>
        <w:footnoteReference w:id="6"/>
      </w:r>
      <w:bookmarkEnd w:id="106"/>
    </w:p>
    <w:p w14:paraId="0ED13628" w14:textId="251EEB54" w:rsidR="00DB65DD" w:rsidRPr="00DB65DD" w:rsidRDefault="00DB65DD" w:rsidP="00841E1C">
      <w:pPr>
        <w:spacing w:after="120"/>
        <w:rPr>
          <w:b/>
          <w:szCs w:val="22"/>
        </w:rPr>
      </w:pPr>
      <w:r>
        <w:rPr>
          <w:b/>
          <w:szCs w:val="22"/>
        </w:rPr>
        <w:t>This case highlights the importance of providers being aware of consumers’ legal status, and obtaining informed consent</w:t>
      </w:r>
      <w:r w:rsidR="00CF2589">
        <w:rPr>
          <w:b/>
          <w:szCs w:val="22"/>
        </w:rPr>
        <w:t>.</w:t>
      </w:r>
      <w:r>
        <w:rPr>
          <w:b/>
          <w:szCs w:val="22"/>
        </w:rPr>
        <w:t xml:space="preserve"> </w:t>
      </w:r>
    </w:p>
    <w:p w14:paraId="62D3E036" w14:textId="77777777" w:rsidR="005640BD" w:rsidRPr="00CF015B" w:rsidRDefault="005640BD" w:rsidP="001F7DC9">
      <w:pPr>
        <w:spacing w:after="120"/>
        <w:rPr>
          <w:rFonts w:cs="Arial"/>
          <w:i/>
        </w:rPr>
      </w:pPr>
      <w:r w:rsidRPr="00CF015B">
        <w:rPr>
          <w:rFonts w:cs="Arial"/>
          <w:i/>
        </w:rPr>
        <w:t>Background</w:t>
      </w:r>
    </w:p>
    <w:p w14:paraId="32DE9FCE" w14:textId="5B79170D" w:rsidR="005640BD" w:rsidRDefault="005640BD" w:rsidP="005640BD">
      <w:pPr>
        <w:rPr>
          <w:rFonts w:cs="Arial"/>
        </w:rPr>
      </w:pPr>
      <w:r w:rsidRPr="00CF015B">
        <w:rPr>
          <w:rFonts w:cs="Arial"/>
        </w:rPr>
        <w:t>An elderly woman with dementia was admitted to a mental health unit for assessment and treatment</w:t>
      </w:r>
      <w:r w:rsidR="00381D9F">
        <w:rPr>
          <w:rFonts w:cs="Arial"/>
        </w:rPr>
        <w:t>,</w:t>
      </w:r>
      <w:r w:rsidRPr="00CF015B">
        <w:rPr>
          <w:rFonts w:cs="Arial"/>
        </w:rPr>
        <w:t xml:space="preserve"> as staff at her rest home were finding it increasingly difficult to manage her behaviour. The woman’s daughter, who was her welfare guardian and the appropriate person to give consent on </w:t>
      </w:r>
      <w:r w:rsidR="00381D9F">
        <w:rPr>
          <w:rFonts w:cs="Arial"/>
        </w:rPr>
        <w:t xml:space="preserve">her </w:t>
      </w:r>
      <w:r w:rsidRPr="00CF015B">
        <w:rPr>
          <w:rFonts w:cs="Arial"/>
        </w:rPr>
        <w:t>behalf, opposed the admission. The DHB, however, considered that admission was the only practicable option.</w:t>
      </w:r>
      <w:r>
        <w:rPr>
          <w:rFonts w:cs="Arial"/>
        </w:rPr>
        <w:t xml:space="preserve"> </w:t>
      </w:r>
      <w:r w:rsidRPr="00CF015B">
        <w:rPr>
          <w:rFonts w:cs="Arial"/>
        </w:rPr>
        <w:t>The Mental Health Commissioner commented that in this context, it would have been appropriate for DHB staff to consider the legal basis o</w:t>
      </w:r>
      <w:r w:rsidR="00381D9F">
        <w:rPr>
          <w:rFonts w:cs="Arial"/>
        </w:rPr>
        <w:t>n</w:t>
      </w:r>
      <w:r w:rsidRPr="00CF015B">
        <w:rPr>
          <w:rFonts w:cs="Arial"/>
        </w:rPr>
        <w:t xml:space="preserve"> which it was admitting the woman to the ward. The DHB acknowledged that the woman should have been treated under the Mental Health Act.</w:t>
      </w:r>
    </w:p>
    <w:p w14:paraId="7B754FF0" w14:textId="77777777" w:rsidR="005640BD" w:rsidRPr="00CF015B" w:rsidRDefault="005640BD" w:rsidP="005640BD">
      <w:pPr>
        <w:rPr>
          <w:rFonts w:cs="Arial"/>
        </w:rPr>
      </w:pPr>
    </w:p>
    <w:p w14:paraId="21A57695" w14:textId="33E96D57" w:rsidR="005640BD" w:rsidRDefault="005640BD" w:rsidP="005640BD">
      <w:pPr>
        <w:rPr>
          <w:rFonts w:cs="Arial"/>
        </w:rPr>
      </w:pPr>
      <w:r w:rsidRPr="00CF015B">
        <w:rPr>
          <w:rFonts w:cs="Arial"/>
        </w:rPr>
        <w:t>During her time in the unit</w:t>
      </w:r>
      <w:r w:rsidR="00381D9F">
        <w:rPr>
          <w:rFonts w:cs="Arial"/>
        </w:rPr>
        <w:t>,</w:t>
      </w:r>
      <w:r w:rsidRPr="00CF015B">
        <w:rPr>
          <w:rFonts w:cs="Arial"/>
        </w:rPr>
        <w:t xml:space="preserve"> the woman was administered intramuscular (IM) lorazepam to restrain her</w:t>
      </w:r>
      <w:r w:rsidR="00381D9F">
        <w:rPr>
          <w:rFonts w:cs="Arial"/>
        </w:rPr>
        <w:t>,</w:t>
      </w:r>
      <w:r w:rsidRPr="00CF015B">
        <w:rPr>
          <w:rFonts w:cs="Arial"/>
        </w:rPr>
        <w:t xml:space="preserve"> without informed consent from her daughter. Additionally, there was a lack of consistent engagement and regular timely meetings with the woman’s family, and the woman’s daughter was not given sufficient opportunity to provide input into </w:t>
      </w:r>
      <w:r w:rsidR="008B3438">
        <w:rPr>
          <w:rFonts w:cs="Arial"/>
        </w:rPr>
        <w:t>her mother’s</w:t>
      </w:r>
      <w:r w:rsidRPr="00CF015B">
        <w:rPr>
          <w:rFonts w:cs="Arial"/>
        </w:rPr>
        <w:t xml:space="preserve"> treatment plan.</w:t>
      </w:r>
    </w:p>
    <w:p w14:paraId="38D0149A" w14:textId="77777777" w:rsidR="005640BD" w:rsidRPr="00CF015B" w:rsidRDefault="005640BD" w:rsidP="005640BD">
      <w:pPr>
        <w:rPr>
          <w:rFonts w:cs="Arial"/>
        </w:rPr>
      </w:pPr>
    </w:p>
    <w:p w14:paraId="63C2F650" w14:textId="77777777" w:rsidR="005640BD" w:rsidRPr="00CF015B" w:rsidRDefault="005640BD" w:rsidP="001F7DC9">
      <w:pPr>
        <w:spacing w:after="120"/>
        <w:rPr>
          <w:rFonts w:cs="Arial"/>
          <w:i/>
        </w:rPr>
      </w:pPr>
      <w:r w:rsidRPr="00CF015B">
        <w:rPr>
          <w:rFonts w:cs="Arial"/>
          <w:i/>
        </w:rPr>
        <w:t>Findings</w:t>
      </w:r>
    </w:p>
    <w:p w14:paraId="49704024" w14:textId="4F762A69" w:rsidR="005640BD" w:rsidRDefault="005640BD" w:rsidP="005640BD">
      <w:pPr>
        <w:rPr>
          <w:rFonts w:cs="Arial"/>
        </w:rPr>
      </w:pPr>
      <w:r w:rsidRPr="00CF015B">
        <w:rPr>
          <w:rFonts w:cs="Arial"/>
        </w:rPr>
        <w:t xml:space="preserve">The Mental Health Commissioner noted that the woman’s records frequently referred to the woman’s daughter </w:t>
      </w:r>
      <w:r w:rsidR="00381D9F" w:rsidRPr="00CF015B">
        <w:rPr>
          <w:rFonts w:cs="Arial"/>
        </w:rPr>
        <w:t xml:space="preserve">incorrectly </w:t>
      </w:r>
      <w:r w:rsidRPr="00CF015B">
        <w:rPr>
          <w:rFonts w:cs="Arial"/>
        </w:rPr>
        <w:t>as her enduring power of attorney. He commented that this mistake</w:t>
      </w:r>
      <w:r w:rsidR="00381D9F">
        <w:rPr>
          <w:rFonts w:cs="Arial"/>
        </w:rPr>
        <w:t>,</w:t>
      </w:r>
      <w:r w:rsidRPr="00CF015B">
        <w:rPr>
          <w:rFonts w:cs="Arial"/>
        </w:rPr>
        <w:t xml:space="preserve"> together with poor communication with the woman’s daughter</w:t>
      </w:r>
      <w:r w:rsidR="00381D9F">
        <w:rPr>
          <w:rFonts w:cs="Arial"/>
        </w:rPr>
        <w:t>,</w:t>
      </w:r>
      <w:r w:rsidRPr="00CF015B">
        <w:rPr>
          <w:rFonts w:cs="Arial"/>
        </w:rPr>
        <w:t xml:space="preserve"> indicates that care was not taken to ascertain and understan</w:t>
      </w:r>
      <w:r>
        <w:rPr>
          <w:rFonts w:cs="Arial"/>
        </w:rPr>
        <w:t>d the daughter’s legal role. The Mental Health Commissioner</w:t>
      </w:r>
      <w:r w:rsidRPr="00CF015B">
        <w:rPr>
          <w:rFonts w:cs="Arial"/>
        </w:rPr>
        <w:t xml:space="preserve"> emphasised that it is important that providers are aware of consumers’ legal status, and sight and retain copies of the relevant documentation.</w:t>
      </w:r>
    </w:p>
    <w:p w14:paraId="2C72632E" w14:textId="77777777" w:rsidR="005640BD" w:rsidRPr="00CF015B" w:rsidRDefault="005640BD" w:rsidP="005640BD">
      <w:pPr>
        <w:rPr>
          <w:rFonts w:cs="Arial"/>
        </w:rPr>
      </w:pPr>
    </w:p>
    <w:p w14:paraId="72598030" w14:textId="33F74A1B" w:rsidR="005640BD" w:rsidRDefault="005640BD" w:rsidP="005640BD">
      <w:pPr>
        <w:rPr>
          <w:rFonts w:cs="Arial"/>
        </w:rPr>
      </w:pPr>
      <w:r w:rsidRPr="00CF015B">
        <w:rPr>
          <w:rFonts w:cs="Arial"/>
        </w:rPr>
        <w:t>The Mental Health Commissioner found the DHB in breach of Right 7(1) of the Code for administering the woman IM lor</w:t>
      </w:r>
      <w:r w:rsidR="00381D9F">
        <w:rPr>
          <w:rFonts w:cs="Arial"/>
        </w:rPr>
        <w:t>aze</w:t>
      </w:r>
      <w:r w:rsidRPr="00CF015B">
        <w:rPr>
          <w:rFonts w:cs="Arial"/>
        </w:rPr>
        <w:t>pam to restrain her without informed consent from her welfare guardian. He also found the DHB in breach of Right 6(2) of the Code for failing to consult the woman’s welfare guardian prior to the use of IM lorazepam</w:t>
      </w:r>
      <w:r w:rsidR="00381D9F">
        <w:rPr>
          <w:rFonts w:cs="Arial"/>
        </w:rPr>
        <w:t>,</w:t>
      </w:r>
      <w:r w:rsidRPr="00CF015B">
        <w:rPr>
          <w:rFonts w:cs="Arial"/>
        </w:rPr>
        <w:t xml:space="preserve"> and for failing to communicate with her </w:t>
      </w:r>
      <w:r w:rsidR="001619B8" w:rsidRPr="00CF015B">
        <w:rPr>
          <w:rFonts w:cs="Arial"/>
        </w:rPr>
        <w:t xml:space="preserve">adequately </w:t>
      </w:r>
      <w:r w:rsidR="00381D9F">
        <w:rPr>
          <w:rFonts w:cs="Arial"/>
        </w:rPr>
        <w:t>regarding</w:t>
      </w:r>
      <w:r w:rsidRPr="00CF015B">
        <w:rPr>
          <w:rFonts w:cs="Arial"/>
        </w:rPr>
        <w:t xml:space="preserve"> </w:t>
      </w:r>
      <w:r w:rsidR="001619B8">
        <w:rPr>
          <w:rFonts w:cs="Arial"/>
        </w:rPr>
        <w:t>her mother’s</w:t>
      </w:r>
      <w:r w:rsidRPr="00CF015B">
        <w:rPr>
          <w:rFonts w:cs="Arial"/>
        </w:rPr>
        <w:t xml:space="preserve"> care plan.</w:t>
      </w:r>
    </w:p>
    <w:p w14:paraId="12A2B3D7" w14:textId="77777777" w:rsidR="005640BD" w:rsidRPr="00CF015B" w:rsidRDefault="005640BD" w:rsidP="005640BD">
      <w:pPr>
        <w:rPr>
          <w:rFonts w:cs="Arial"/>
        </w:rPr>
      </w:pPr>
    </w:p>
    <w:p w14:paraId="6E97ACD8" w14:textId="77777777" w:rsidR="005640BD" w:rsidRPr="00612AB2" w:rsidRDefault="005640BD" w:rsidP="001F7DC9">
      <w:pPr>
        <w:spacing w:after="120"/>
        <w:rPr>
          <w:rFonts w:cs="Arial"/>
          <w:i/>
        </w:rPr>
      </w:pPr>
      <w:r w:rsidRPr="00612AB2">
        <w:rPr>
          <w:rFonts w:cs="Arial"/>
          <w:i/>
        </w:rPr>
        <w:t>Recommendations</w:t>
      </w:r>
    </w:p>
    <w:p w14:paraId="4BCEBA9A" w14:textId="77777777" w:rsidR="005640BD" w:rsidRPr="00CF015B" w:rsidRDefault="005640BD" w:rsidP="0078382D">
      <w:pPr>
        <w:spacing w:after="240"/>
        <w:rPr>
          <w:rFonts w:cs="Arial"/>
        </w:rPr>
      </w:pPr>
      <w:r w:rsidRPr="00CF015B">
        <w:rPr>
          <w:rFonts w:cs="Arial"/>
        </w:rPr>
        <w:t>The Mental Health Commissioner made a number of recommendations to the DHB, including that it:</w:t>
      </w:r>
    </w:p>
    <w:p w14:paraId="374D1097" w14:textId="591F5472" w:rsidR="005640BD" w:rsidRDefault="005640BD" w:rsidP="0078382D">
      <w:pPr>
        <w:pStyle w:val="ListParagraph"/>
        <w:numPr>
          <w:ilvl w:val="0"/>
          <w:numId w:val="30"/>
        </w:numPr>
        <w:ind w:left="284" w:hanging="284"/>
        <w:contextualSpacing/>
        <w:rPr>
          <w:rFonts w:cs="Arial"/>
        </w:rPr>
      </w:pPr>
      <w:r w:rsidRPr="00CF015B">
        <w:rPr>
          <w:rFonts w:cs="Arial"/>
        </w:rPr>
        <w:t>Provide training to all staff in the mental health unit on the Code of Rights</w:t>
      </w:r>
      <w:r w:rsidR="00ED61D6">
        <w:rPr>
          <w:rFonts w:cs="Arial"/>
        </w:rPr>
        <w:t>,</w:t>
      </w:r>
      <w:r w:rsidRPr="00CF015B">
        <w:rPr>
          <w:rFonts w:cs="Arial"/>
        </w:rPr>
        <w:t xml:space="preserve"> informed consent</w:t>
      </w:r>
      <w:r w:rsidR="00ED61D6">
        <w:rPr>
          <w:rFonts w:cs="Arial"/>
        </w:rPr>
        <w:t>,</w:t>
      </w:r>
      <w:r w:rsidR="00381D9F">
        <w:rPr>
          <w:rFonts w:cs="Arial"/>
        </w:rPr>
        <w:t xml:space="preserve"> </w:t>
      </w:r>
      <w:r w:rsidRPr="00CF015B">
        <w:rPr>
          <w:rFonts w:cs="Arial"/>
        </w:rPr>
        <w:t xml:space="preserve"> enduring powers of attorney</w:t>
      </w:r>
      <w:r w:rsidR="00ED61D6">
        <w:rPr>
          <w:rFonts w:cs="Arial"/>
        </w:rPr>
        <w:t>,</w:t>
      </w:r>
      <w:r w:rsidRPr="00CF015B">
        <w:rPr>
          <w:rFonts w:cs="Arial"/>
        </w:rPr>
        <w:t xml:space="preserve"> welfare guardians</w:t>
      </w:r>
      <w:r w:rsidR="00ED61D6">
        <w:rPr>
          <w:rFonts w:cs="Arial"/>
        </w:rPr>
        <w:t>,</w:t>
      </w:r>
      <w:r w:rsidRPr="00CF015B">
        <w:rPr>
          <w:rFonts w:cs="Arial"/>
        </w:rPr>
        <w:t xml:space="preserve"> the Mental Health Act</w:t>
      </w:r>
      <w:r w:rsidR="00ED61D6">
        <w:rPr>
          <w:rFonts w:cs="Arial"/>
        </w:rPr>
        <w:t>,</w:t>
      </w:r>
      <w:r w:rsidRPr="00CF015B">
        <w:rPr>
          <w:rFonts w:cs="Arial"/>
        </w:rPr>
        <w:t xml:space="preserve"> restraint</w:t>
      </w:r>
      <w:r w:rsidR="00ED61D6">
        <w:rPr>
          <w:rFonts w:cs="Arial"/>
        </w:rPr>
        <w:t>,</w:t>
      </w:r>
      <w:r w:rsidRPr="00CF015B">
        <w:rPr>
          <w:rFonts w:cs="Arial"/>
        </w:rPr>
        <w:t xml:space="preserve"> and the interaction of respective decision-making rights</w:t>
      </w:r>
      <w:r w:rsidR="00ED61D6">
        <w:rPr>
          <w:rFonts w:cs="Arial"/>
        </w:rPr>
        <w:t>;</w:t>
      </w:r>
    </w:p>
    <w:p w14:paraId="415F1922" w14:textId="77777777" w:rsidR="001619B8" w:rsidRPr="0078382D" w:rsidRDefault="001619B8" w:rsidP="0078382D">
      <w:pPr>
        <w:pStyle w:val="ListParagraph"/>
        <w:spacing w:after="120"/>
        <w:ind w:left="284"/>
        <w:contextualSpacing/>
        <w:rPr>
          <w:rFonts w:cs="Arial"/>
          <w:sz w:val="12"/>
          <w:szCs w:val="12"/>
        </w:rPr>
      </w:pPr>
    </w:p>
    <w:p w14:paraId="31EFF582" w14:textId="146A3AF5" w:rsidR="001619B8" w:rsidRDefault="005640BD" w:rsidP="0078382D">
      <w:pPr>
        <w:pStyle w:val="ListParagraph"/>
        <w:numPr>
          <w:ilvl w:val="0"/>
          <w:numId w:val="30"/>
        </w:numPr>
        <w:ind w:left="284" w:hanging="284"/>
        <w:contextualSpacing/>
        <w:rPr>
          <w:rFonts w:cs="Arial"/>
        </w:rPr>
      </w:pPr>
      <w:r w:rsidRPr="00CF015B">
        <w:rPr>
          <w:rFonts w:cs="Arial"/>
        </w:rPr>
        <w:t xml:space="preserve">Conduct an audit </w:t>
      </w:r>
      <w:r>
        <w:rPr>
          <w:rFonts w:cs="Arial"/>
        </w:rPr>
        <w:t xml:space="preserve">of </w:t>
      </w:r>
      <w:r w:rsidRPr="00CF015B">
        <w:rPr>
          <w:rFonts w:cs="Arial"/>
        </w:rPr>
        <w:t>IM medication administration to ensure that informed consent had been obtained appropriately</w:t>
      </w:r>
      <w:r w:rsidR="00ED61D6">
        <w:rPr>
          <w:rFonts w:cs="Arial"/>
        </w:rPr>
        <w:t>; and</w:t>
      </w:r>
    </w:p>
    <w:p w14:paraId="40DB100A" w14:textId="77777777" w:rsidR="001619B8" w:rsidRPr="0078382D" w:rsidRDefault="001619B8" w:rsidP="0078382D">
      <w:pPr>
        <w:pStyle w:val="ListParagraph"/>
        <w:spacing w:after="120"/>
        <w:ind w:left="284"/>
        <w:contextualSpacing/>
        <w:rPr>
          <w:rFonts w:cs="Arial"/>
          <w:sz w:val="12"/>
          <w:szCs w:val="12"/>
        </w:rPr>
      </w:pPr>
    </w:p>
    <w:p w14:paraId="78144764" w14:textId="707F1C31" w:rsidR="005640BD" w:rsidRDefault="005640BD" w:rsidP="0078382D">
      <w:pPr>
        <w:pStyle w:val="ListParagraph"/>
        <w:numPr>
          <w:ilvl w:val="0"/>
          <w:numId w:val="30"/>
        </w:numPr>
        <w:spacing w:after="240"/>
        <w:ind w:left="284" w:hanging="284"/>
        <w:contextualSpacing/>
        <w:rPr>
          <w:rFonts w:cs="Arial"/>
        </w:rPr>
      </w:pPr>
      <w:r w:rsidRPr="00CF015B">
        <w:rPr>
          <w:rFonts w:cs="Arial"/>
        </w:rPr>
        <w:t>Provide an update on the efficacy of the changes it had made to</w:t>
      </w:r>
      <w:r>
        <w:rPr>
          <w:rFonts w:cs="Arial"/>
        </w:rPr>
        <w:t xml:space="preserve"> its Older Adult Mental Health S</w:t>
      </w:r>
      <w:r w:rsidRPr="00CF015B">
        <w:rPr>
          <w:rFonts w:cs="Arial"/>
        </w:rPr>
        <w:t>ervice following this complaint</w:t>
      </w:r>
      <w:r w:rsidR="00CF2589">
        <w:rPr>
          <w:rFonts w:cs="Arial"/>
        </w:rPr>
        <w:t>.</w:t>
      </w:r>
    </w:p>
    <w:p w14:paraId="1B5A06A7" w14:textId="5DF7825D" w:rsidR="00D9753A" w:rsidRDefault="00D9753A" w:rsidP="00D9753A">
      <w:pPr>
        <w:spacing w:after="200" w:line="276" w:lineRule="auto"/>
        <w:contextualSpacing/>
        <w:rPr>
          <w:rFonts w:cs="Arial"/>
        </w:rPr>
      </w:pPr>
    </w:p>
    <w:p w14:paraId="0558F2DA" w14:textId="782AEB3F" w:rsidR="00D9753A" w:rsidRDefault="00D9753A" w:rsidP="00D9753A">
      <w:pPr>
        <w:spacing w:after="200" w:line="276" w:lineRule="auto"/>
        <w:contextualSpacing/>
        <w:rPr>
          <w:rFonts w:cs="Arial"/>
        </w:rPr>
      </w:pPr>
    </w:p>
    <w:p w14:paraId="0630590F" w14:textId="2C5EB668" w:rsidR="00F666F0" w:rsidRPr="00F666F0" w:rsidRDefault="00F666F0" w:rsidP="00F666F0">
      <w:pPr>
        <w:pStyle w:val="Heading3"/>
        <w:rPr>
          <w:rStyle w:val="Heading2Char"/>
          <w:rFonts w:cs="Arial"/>
          <w:i w:val="0"/>
          <w:iCs w:val="0"/>
          <w:sz w:val="28"/>
          <w:szCs w:val="28"/>
          <w:lang w:bidi="ar-SA"/>
        </w:rPr>
      </w:pPr>
      <w:bookmarkStart w:id="107" w:name="_Toc58316497"/>
      <w:r>
        <w:rPr>
          <w:b/>
          <w:i w:val="0"/>
          <w:sz w:val="28"/>
          <w:szCs w:val="28"/>
          <w:lang w:val="en-AU" w:bidi="ar-SA"/>
        </w:rPr>
        <w:lastRenderedPageBreak/>
        <w:t>5.2</w:t>
      </w:r>
      <w:r w:rsidRPr="00666BAC">
        <w:rPr>
          <w:b/>
          <w:i w:val="0"/>
          <w:sz w:val="28"/>
          <w:szCs w:val="28"/>
          <w:lang w:val="en-AU" w:bidi="ar-SA"/>
        </w:rPr>
        <w:t xml:space="preserve"> </w:t>
      </w:r>
      <w:r w:rsidRPr="00666BAC">
        <w:rPr>
          <w:b/>
          <w:i w:val="0"/>
          <w:sz w:val="28"/>
          <w:szCs w:val="28"/>
          <w:lang w:val="en-AU" w:bidi="ar-SA"/>
        </w:rPr>
        <w:tab/>
      </w:r>
      <w:r>
        <w:rPr>
          <w:b/>
          <w:i w:val="0"/>
          <w:sz w:val="28"/>
          <w:szCs w:val="28"/>
          <w:lang w:val="en-AU" w:bidi="ar-SA"/>
        </w:rPr>
        <w:t>Follow-up on incidental finding</w:t>
      </w:r>
      <w:r>
        <w:rPr>
          <w:rStyle w:val="FootnoteReference"/>
          <w:b/>
          <w:i w:val="0"/>
          <w:sz w:val="28"/>
          <w:szCs w:val="28"/>
          <w:lang w:val="en-AU" w:bidi="ar-SA"/>
        </w:rPr>
        <w:footnoteReference w:id="7"/>
      </w:r>
      <w:bookmarkEnd w:id="107"/>
    </w:p>
    <w:p w14:paraId="6F600E1A" w14:textId="608C5A84" w:rsidR="00DB65DD" w:rsidRPr="00DB65DD" w:rsidRDefault="00DB65DD" w:rsidP="00841E1C">
      <w:pPr>
        <w:spacing w:after="240"/>
        <w:rPr>
          <w:b/>
        </w:rPr>
      </w:pPr>
      <w:r w:rsidRPr="00DB65DD">
        <w:rPr>
          <w:b/>
        </w:rPr>
        <w:t>This case highlights the importance of communication between providers, and the need for adequate processes to ensure follow-up of incidental findings</w:t>
      </w:r>
      <w:r w:rsidR="00CF2589">
        <w:rPr>
          <w:b/>
        </w:rPr>
        <w:t>.</w:t>
      </w:r>
    </w:p>
    <w:p w14:paraId="79549862" w14:textId="0147B074" w:rsidR="00841E1C" w:rsidRDefault="00841E1C" w:rsidP="001F7DC9">
      <w:pPr>
        <w:spacing w:before="120"/>
        <w:rPr>
          <w:i/>
          <w:szCs w:val="22"/>
        </w:rPr>
      </w:pPr>
      <w:r w:rsidRPr="005A62C7">
        <w:rPr>
          <w:i/>
          <w:szCs w:val="22"/>
        </w:rPr>
        <w:t>Background</w:t>
      </w:r>
    </w:p>
    <w:p w14:paraId="3649077E" w14:textId="2C949BB8" w:rsidR="00CE4940" w:rsidRDefault="00D9753A" w:rsidP="001F7DC9">
      <w:pPr>
        <w:spacing w:before="120"/>
        <w:rPr>
          <w:szCs w:val="22"/>
        </w:rPr>
      </w:pPr>
      <w:r>
        <w:rPr>
          <w:szCs w:val="22"/>
        </w:rPr>
        <w:t xml:space="preserve">A man in his fifties was taken by ambulance to the Emergency Department (ED) of a public hospital following an accident. </w:t>
      </w:r>
      <w:r w:rsidR="00997CEC">
        <w:rPr>
          <w:szCs w:val="22"/>
        </w:rPr>
        <w:t>A CT scan was performed, and an incidental finding of a lesion in the right upper lobe of the lung was reported</w:t>
      </w:r>
      <w:r w:rsidR="00381D9F">
        <w:rPr>
          <w:szCs w:val="22"/>
        </w:rPr>
        <w:t>,</w:t>
      </w:r>
      <w:r w:rsidR="00997CEC">
        <w:rPr>
          <w:szCs w:val="22"/>
        </w:rPr>
        <w:t xml:space="preserve"> along with multiple spinal compression fractures. </w:t>
      </w:r>
      <w:r w:rsidR="00E64352">
        <w:rPr>
          <w:szCs w:val="22"/>
        </w:rPr>
        <w:t xml:space="preserve">It was recommended that the man be seen by the respiratory team for an opinion on the lung lesion. </w:t>
      </w:r>
      <w:r w:rsidR="00997CEC">
        <w:rPr>
          <w:szCs w:val="22"/>
        </w:rPr>
        <w:t>The radiology registrar discussed the findings of the CT scan with the ED registrar.</w:t>
      </w:r>
    </w:p>
    <w:p w14:paraId="2BAEAC22" w14:textId="77777777" w:rsidR="00E64352" w:rsidRDefault="00997CEC" w:rsidP="00841E1C">
      <w:pPr>
        <w:spacing w:before="240"/>
        <w:rPr>
          <w:szCs w:val="22"/>
        </w:rPr>
      </w:pPr>
      <w:r>
        <w:rPr>
          <w:szCs w:val="22"/>
        </w:rPr>
        <w:t xml:space="preserve">The man was then admitted to the orthopaedic ward. During his admission, his care </w:t>
      </w:r>
      <w:r w:rsidR="00E64352">
        <w:rPr>
          <w:szCs w:val="22"/>
        </w:rPr>
        <w:t xml:space="preserve">focused on the acute spinal injuries, and communication of the lung lesion finding did not occur when he was transferred between ED and orthopaedics. </w:t>
      </w:r>
    </w:p>
    <w:p w14:paraId="5FF202C7" w14:textId="085A55C9" w:rsidR="00997CEC" w:rsidRDefault="00E64352" w:rsidP="00841E1C">
      <w:pPr>
        <w:spacing w:before="240"/>
        <w:rPr>
          <w:szCs w:val="22"/>
        </w:rPr>
      </w:pPr>
      <w:r>
        <w:rPr>
          <w:szCs w:val="22"/>
        </w:rPr>
        <w:t>At some point during his hospital stay the man’s family were informed of the lesion verbally, and told that it needed to be followed up. However, it was not documented in his ED medical record or discharge summary, and no documentation of the issue was provided to the man or his family. The DHB acknowledged that communication of follow-up advice verbally was insufficient</w:t>
      </w:r>
      <w:r w:rsidR="00381D9F">
        <w:rPr>
          <w:szCs w:val="22"/>
        </w:rPr>
        <w:t>,</w:t>
      </w:r>
      <w:r>
        <w:rPr>
          <w:szCs w:val="22"/>
        </w:rPr>
        <w:t xml:space="preserve"> given the stress of the multi-trauma situation. The man’s GP was provided with a copy of the ED medical record and discharge summary, but was not notified of the lung lesion.</w:t>
      </w:r>
    </w:p>
    <w:p w14:paraId="43F65C3D" w14:textId="5C26A880" w:rsidR="00F666F0" w:rsidRPr="00D9753A" w:rsidRDefault="00E64352" w:rsidP="00A10773">
      <w:pPr>
        <w:spacing w:before="240" w:after="120"/>
        <w:rPr>
          <w:szCs w:val="22"/>
        </w:rPr>
      </w:pPr>
      <w:r>
        <w:rPr>
          <w:szCs w:val="22"/>
        </w:rPr>
        <w:t>Nearly five months later, the man re-presented to the DHB with right</w:t>
      </w:r>
      <w:r w:rsidR="00B65A35">
        <w:rPr>
          <w:szCs w:val="22"/>
        </w:rPr>
        <w:t>-</w:t>
      </w:r>
      <w:r>
        <w:rPr>
          <w:szCs w:val="22"/>
        </w:rPr>
        <w:t>sided facial droop, right arm weakness</w:t>
      </w:r>
      <w:r w:rsidR="00B65A35">
        <w:rPr>
          <w:szCs w:val="22"/>
        </w:rPr>
        <w:t>,</w:t>
      </w:r>
      <w:r>
        <w:rPr>
          <w:szCs w:val="22"/>
        </w:rPr>
        <w:t xml:space="preserve"> and slurred speech. CT scans revealed that a primary lesion in his right lung had metastasised to his brain. The man was diagnosed with metastasised lun</w:t>
      </w:r>
      <w:r w:rsidR="00A10773">
        <w:rPr>
          <w:szCs w:val="22"/>
        </w:rPr>
        <w:t>g cancer and</w:t>
      </w:r>
      <w:r w:rsidR="00B65A35">
        <w:rPr>
          <w:szCs w:val="22"/>
        </w:rPr>
        <w:t>,</w:t>
      </w:r>
      <w:r w:rsidR="00A10773">
        <w:rPr>
          <w:szCs w:val="22"/>
        </w:rPr>
        <w:t xml:space="preserve"> sadly</w:t>
      </w:r>
      <w:r w:rsidR="00B65A35">
        <w:rPr>
          <w:szCs w:val="22"/>
        </w:rPr>
        <w:t>,</w:t>
      </w:r>
      <w:r w:rsidR="00A10773">
        <w:rPr>
          <w:szCs w:val="22"/>
        </w:rPr>
        <w:t xml:space="preserve"> </w:t>
      </w:r>
      <w:r w:rsidR="00B65A35">
        <w:rPr>
          <w:szCs w:val="22"/>
        </w:rPr>
        <w:t xml:space="preserve">he </w:t>
      </w:r>
      <w:r w:rsidR="00A10773">
        <w:rPr>
          <w:szCs w:val="22"/>
        </w:rPr>
        <w:t>passed away.</w:t>
      </w:r>
      <w:r w:rsidR="00F666F0">
        <w:rPr>
          <w:szCs w:val="22"/>
        </w:rPr>
        <w:br/>
      </w:r>
    </w:p>
    <w:p w14:paraId="33B42547" w14:textId="3B2AD438" w:rsidR="00417404" w:rsidRDefault="00417404" w:rsidP="001F7DC9">
      <w:pPr>
        <w:spacing w:after="120"/>
        <w:rPr>
          <w:rFonts w:cs="Calibri,Bold"/>
          <w:bCs/>
          <w:i/>
          <w:szCs w:val="22"/>
          <w:lang w:eastAsia="en-NZ" w:bidi="ar-SA"/>
        </w:rPr>
      </w:pPr>
      <w:r w:rsidRPr="005A62C7">
        <w:rPr>
          <w:rFonts w:cs="Calibri,Bold"/>
          <w:bCs/>
          <w:i/>
          <w:szCs w:val="22"/>
          <w:lang w:eastAsia="en-NZ" w:bidi="ar-SA"/>
        </w:rPr>
        <w:t>Findings</w:t>
      </w:r>
    </w:p>
    <w:p w14:paraId="751C31B2" w14:textId="521B1B5A" w:rsidR="00A10773" w:rsidRDefault="00A10773" w:rsidP="00417404">
      <w:pPr>
        <w:spacing w:after="240"/>
        <w:rPr>
          <w:rFonts w:cs="Calibri,Bold"/>
          <w:bCs/>
          <w:szCs w:val="22"/>
          <w:lang w:eastAsia="en-NZ" w:bidi="ar-SA"/>
        </w:rPr>
      </w:pPr>
      <w:r>
        <w:rPr>
          <w:rFonts w:cs="Calibri,Bold"/>
          <w:bCs/>
          <w:szCs w:val="22"/>
          <w:lang w:eastAsia="en-NZ" w:bidi="ar-SA"/>
        </w:rPr>
        <w:t xml:space="preserve">The former Commissioner commented that while he was mindful that the follow-up of incidental findings is a challenging issue worldwide, he considered that </w:t>
      </w:r>
      <w:r w:rsidR="004F7501">
        <w:rPr>
          <w:rFonts w:cs="Calibri,Bold"/>
          <w:bCs/>
          <w:szCs w:val="22"/>
          <w:lang w:eastAsia="en-NZ" w:bidi="ar-SA"/>
        </w:rPr>
        <w:t xml:space="preserve">in this case </w:t>
      </w:r>
      <w:r>
        <w:rPr>
          <w:rFonts w:cs="Calibri,Bold"/>
          <w:bCs/>
          <w:szCs w:val="22"/>
          <w:lang w:eastAsia="en-NZ" w:bidi="ar-SA"/>
        </w:rPr>
        <w:t>there were a number of missed opportunities to take action. He noted that DHBs should have in place appropriate systems to facilitate the continuity of care for their patients as they move throu</w:t>
      </w:r>
      <w:r w:rsidR="001F7DC9">
        <w:rPr>
          <w:rFonts w:cs="Calibri,Bold"/>
          <w:bCs/>
          <w:szCs w:val="22"/>
          <w:lang w:eastAsia="en-NZ" w:bidi="ar-SA"/>
        </w:rPr>
        <w:t>gh the health system</w:t>
      </w:r>
      <w:r>
        <w:rPr>
          <w:rFonts w:cs="Calibri,Bold"/>
          <w:bCs/>
          <w:szCs w:val="22"/>
          <w:lang w:eastAsia="en-NZ" w:bidi="ar-SA"/>
        </w:rPr>
        <w:t>.</w:t>
      </w:r>
    </w:p>
    <w:p w14:paraId="55F75047" w14:textId="77777777" w:rsidR="004F7501" w:rsidRDefault="00344BA1" w:rsidP="0078382D">
      <w:pPr>
        <w:pStyle w:val="ListParagraph"/>
        <w:spacing w:after="120"/>
        <w:ind w:left="0"/>
        <w:rPr>
          <w:rStyle w:val="ListParagraphChar"/>
        </w:rPr>
      </w:pPr>
      <w:r>
        <w:rPr>
          <w:rStyle w:val="ListParagraphChar"/>
        </w:rPr>
        <w:t xml:space="preserve">During his admission to hospital, the man was seen by many different doctors and was under the care of multiple hospital teams. Consequently, no single doctor took responsibility for the incidental finding, and communication of the finding did not make its way to the discharge summary or to the man’s GP. This denied the man the opportunity for earlier diagnosis and </w:t>
      </w:r>
      <w:r w:rsidR="00381D9F">
        <w:rPr>
          <w:rStyle w:val="ListParagraphChar"/>
        </w:rPr>
        <w:t xml:space="preserve">treatment </w:t>
      </w:r>
      <w:r>
        <w:rPr>
          <w:rStyle w:val="ListParagraphChar"/>
        </w:rPr>
        <w:t>of his lung cancer. The former Commissioner found that the DHB failed to provide the man with coordination and continuity of care, in breach of Right 4(5) of the Code.</w:t>
      </w:r>
    </w:p>
    <w:p w14:paraId="1CF6AE63" w14:textId="74F53843" w:rsidR="00841E1C" w:rsidRDefault="00F666F0" w:rsidP="0078382D">
      <w:pPr>
        <w:pStyle w:val="ListParagraph"/>
        <w:spacing w:after="120"/>
        <w:ind w:left="0"/>
        <w:rPr>
          <w:i/>
          <w:szCs w:val="22"/>
        </w:rPr>
      </w:pPr>
      <w:r>
        <w:rPr>
          <w:rStyle w:val="ListParagraphChar"/>
        </w:rPr>
        <w:br/>
      </w:r>
      <w:r w:rsidR="00841E1C" w:rsidRPr="005A62C7">
        <w:rPr>
          <w:i/>
          <w:szCs w:val="22"/>
        </w:rPr>
        <w:t>Recommendations</w:t>
      </w:r>
    </w:p>
    <w:p w14:paraId="34204D3A" w14:textId="5AD8B4CE" w:rsidR="00F666F0" w:rsidRDefault="00F666F0" w:rsidP="00F666F0">
      <w:pPr>
        <w:pStyle w:val="ListParagraph"/>
        <w:spacing w:after="120"/>
        <w:ind w:left="0"/>
        <w:rPr>
          <w:szCs w:val="22"/>
        </w:rPr>
      </w:pPr>
      <w:r>
        <w:rPr>
          <w:szCs w:val="22"/>
        </w:rPr>
        <w:t>The former Commissioner made a number of recommendations to the DHB, including that it:</w:t>
      </w:r>
    </w:p>
    <w:p w14:paraId="469D279D" w14:textId="039E60E6" w:rsidR="00F666F0" w:rsidRDefault="00F666F0" w:rsidP="00E7059B">
      <w:pPr>
        <w:pStyle w:val="ListParagraph"/>
        <w:numPr>
          <w:ilvl w:val="0"/>
          <w:numId w:val="43"/>
        </w:numPr>
        <w:spacing w:after="120"/>
        <w:ind w:left="284" w:hanging="284"/>
        <w:rPr>
          <w:szCs w:val="22"/>
        </w:rPr>
      </w:pPr>
      <w:r>
        <w:rPr>
          <w:szCs w:val="22"/>
        </w:rPr>
        <w:t>Provide HDC with a copy of its new mandatory policy on incidental findings</w:t>
      </w:r>
    </w:p>
    <w:p w14:paraId="1F02C10B" w14:textId="13D69191" w:rsidR="00F666F0" w:rsidRPr="00F666F0" w:rsidRDefault="00F666F0" w:rsidP="00E7059B">
      <w:pPr>
        <w:pStyle w:val="ListParagraph"/>
        <w:numPr>
          <w:ilvl w:val="0"/>
          <w:numId w:val="43"/>
        </w:numPr>
        <w:spacing w:after="120"/>
        <w:ind w:left="284" w:hanging="284"/>
        <w:rPr>
          <w:szCs w:val="22"/>
        </w:rPr>
      </w:pPr>
      <w:r>
        <w:rPr>
          <w:szCs w:val="22"/>
        </w:rPr>
        <w:t>Create a package of educational material, including an anonymised version of this case, to be used throughout departmental teaching sessions and staff inductions to address the general standards of practice expected in relation to incidental findings, as well as specific systems that will help reduce the risk of such findings not being followed up.</w:t>
      </w:r>
    </w:p>
    <w:p w14:paraId="701796F7" w14:textId="02C627E3" w:rsidR="007F3D48" w:rsidRDefault="007F3D48" w:rsidP="00E7059B">
      <w:pPr>
        <w:pStyle w:val="ListParagraph"/>
        <w:numPr>
          <w:ilvl w:val="0"/>
          <w:numId w:val="33"/>
        </w:numPr>
        <w:spacing w:after="120"/>
        <w:ind w:left="284" w:hanging="284"/>
      </w:pPr>
      <w:r>
        <w:rPr>
          <w:rStyle w:val="ListParagraphChar"/>
        </w:rPr>
        <w:lastRenderedPageBreak/>
        <w:t>Undertake intermittent audits of the adequacy and observance of DHB policies relating to incidental findings that require action</w:t>
      </w:r>
    </w:p>
    <w:p w14:paraId="2D7A4699" w14:textId="77777777" w:rsidR="007F3D48" w:rsidRDefault="007F3D48" w:rsidP="0078382D">
      <w:pPr>
        <w:pStyle w:val="ListParagraph"/>
        <w:keepNext/>
        <w:keepLines/>
        <w:numPr>
          <w:ilvl w:val="0"/>
          <w:numId w:val="33"/>
        </w:numPr>
        <w:spacing w:after="120"/>
        <w:ind w:left="284" w:hanging="284"/>
      </w:pPr>
      <w:r>
        <w:t xml:space="preserve">Provide HDC with an update on the changes made since this event and an analysis of the effectiveness of these changes, including: </w:t>
      </w:r>
    </w:p>
    <w:p w14:paraId="1E7F73F2" w14:textId="22BF2F76" w:rsidR="007F3D48" w:rsidRPr="00E7059B" w:rsidRDefault="00E7059B" w:rsidP="0078382D">
      <w:pPr>
        <w:spacing w:after="120"/>
        <w:ind w:left="568" w:hanging="284"/>
      </w:pPr>
      <w:r w:rsidRPr="00E7059B">
        <w:t>—</w:t>
      </w:r>
      <w:r w:rsidRPr="00E7059B">
        <w:tab/>
      </w:r>
      <w:r w:rsidR="006F0637">
        <w:t xml:space="preserve">the </w:t>
      </w:r>
      <w:r w:rsidR="007F3D48" w:rsidRPr="00E7059B">
        <w:t xml:space="preserve">steps taken to ensure that findings that are not immediately related to orthopaedic injuries, but require follow-up, have a plan </w:t>
      </w:r>
      <w:r w:rsidR="00CA0F71" w:rsidRPr="00E7059B">
        <w:t xml:space="preserve">in place </w:t>
      </w:r>
      <w:r w:rsidR="007F3D48" w:rsidRPr="00E7059B">
        <w:t>to ensure that they are acted on appropriately;</w:t>
      </w:r>
    </w:p>
    <w:p w14:paraId="1F3FC730" w14:textId="0F8AAE97" w:rsidR="007F3D48" w:rsidRPr="00E7059B" w:rsidRDefault="00E7059B" w:rsidP="0078382D">
      <w:pPr>
        <w:spacing w:after="120"/>
        <w:ind w:left="568" w:hanging="284"/>
      </w:pPr>
      <w:r w:rsidRPr="00E7059B">
        <w:t>—</w:t>
      </w:r>
      <w:r w:rsidRPr="00E7059B">
        <w:tab/>
      </w:r>
      <w:r w:rsidR="007F3D48" w:rsidRPr="00E7059B">
        <w:t xml:space="preserve">the rollout of </w:t>
      </w:r>
      <w:r w:rsidR="006F0637">
        <w:t xml:space="preserve">its </w:t>
      </w:r>
      <w:r w:rsidR="007F3D48" w:rsidRPr="00E7059B">
        <w:t xml:space="preserve">new electronic system that supports the delivery of co-ordinated care through </w:t>
      </w:r>
      <w:r w:rsidR="00CA0F71" w:rsidRPr="00E7059B">
        <w:t>creation</w:t>
      </w:r>
      <w:r w:rsidR="007F3D48" w:rsidRPr="00E7059B">
        <w:t xml:space="preserve"> and viewing of clinical notes, teams, and individual task management; and</w:t>
      </w:r>
    </w:p>
    <w:p w14:paraId="7420FFAE" w14:textId="751EF2FA" w:rsidR="00D76C05" w:rsidRPr="00E7059B" w:rsidRDefault="00E7059B" w:rsidP="0078382D">
      <w:pPr>
        <w:ind w:left="567" w:hanging="283"/>
      </w:pPr>
      <w:r w:rsidRPr="00E7059B">
        <w:t>—</w:t>
      </w:r>
      <w:r w:rsidRPr="00E7059B">
        <w:tab/>
      </w:r>
      <w:r w:rsidR="006F0637">
        <w:t xml:space="preserve">the </w:t>
      </w:r>
      <w:r w:rsidR="007F3D48" w:rsidRPr="00E7059B">
        <w:t>steps taken to enable Radiology electronic results to follow the patient from the ED to the inpatient team automatically</w:t>
      </w:r>
      <w:r>
        <w:t>.</w:t>
      </w:r>
    </w:p>
    <w:p w14:paraId="420CD798" w14:textId="2B6635BB" w:rsidR="006C4735" w:rsidRDefault="006C4735" w:rsidP="00F666F0">
      <w:pPr>
        <w:keepNext/>
        <w:keepLines/>
        <w:spacing w:after="240"/>
      </w:pPr>
    </w:p>
    <w:p w14:paraId="1507AF52" w14:textId="0320F15F" w:rsidR="006C4735" w:rsidRPr="00F666F0" w:rsidRDefault="006C4735" w:rsidP="006C4735">
      <w:pPr>
        <w:pStyle w:val="Heading3"/>
        <w:rPr>
          <w:rStyle w:val="Heading2Char"/>
          <w:rFonts w:cs="Arial"/>
          <w:i w:val="0"/>
          <w:iCs w:val="0"/>
          <w:sz w:val="28"/>
          <w:szCs w:val="28"/>
          <w:lang w:bidi="ar-SA"/>
        </w:rPr>
      </w:pPr>
      <w:bookmarkStart w:id="108" w:name="_Toc58316498"/>
      <w:r>
        <w:rPr>
          <w:b/>
          <w:i w:val="0"/>
          <w:sz w:val="28"/>
          <w:szCs w:val="28"/>
          <w:lang w:val="en-AU" w:bidi="ar-SA"/>
        </w:rPr>
        <w:t>5.3</w:t>
      </w:r>
      <w:r w:rsidRPr="00666BAC">
        <w:rPr>
          <w:b/>
          <w:i w:val="0"/>
          <w:sz w:val="28"/>
          <w:szCs w:val="28"/>
          <w:lang w:val="en-AU" w:bidi="ar-SA"/>
        </w:rPr>
        <w:t xml:space="preserve"> </w:t>
      </w:r>
      <w:r w:rsidRPr="00666BAC">
        <w:rPr>
          <w:b/>
          <w:i w:val="0"/>
          <w:sz w:val="28"/>
          <w:szCs w:val="28"/>
          <w:lang w:val="en-AU" w:bidi="ar-SA"/>
        </w:rPr>
        <w:tab/>
      </w:r>
      <w:r>
        <w:rPr>
          <w:b/>
          <w:i w:val="0"/>
          <w:sz w:val="28"/>
          <w:szCs w:val="28"/>
          <w:lang w:val="en-AU" w:bidi="ar-SA"/>
        </w:rPr>
        <w:t>Failure to respect refusal of consent for treatment</w:t>
      </w:r>
      <w:r>
        <w:rPr>
          <w:rStyle w:val="FootnoteReference"/>
          <w:b/>
          <w:i w:val="0"/>
          <w:sz w:val="28"/>
          <w:szCs w:val="28"/>
          <w:lang w:val="en-AU" w:bidi="ar-SA"/>
        </w:rPr>
        <w:footnoteReference w:id="8"/>
      </w:r>
      <w:bookmarkEnd w:id="108"/>
    </w:p>
    <w:p w14:paraId="66389ED5" w14:textId="7E7C6A1B" w:rsidR="00841E1C" w:rsidRPr="00DB65DD" w:rsidRDefault="00DB65DD" w:rsidP="00DB65DD">
      <w:pPr>
        <w:rPr>
          <w:b/>
          <w:lang w:val="en-AU" w:bidi="ar-SA"/>
        </w:rPr>
      </w:pPr>
      <w:r w:rsidRPr="00DB65DD">
        <w:rPr>
          <w:b/>
          <w:lang w:val="en-AU" w:bidi="ar-SA"/>
        </w:rPr>
        <w:t xml:space="preserve">This case highlights the need </w:t>
      </w:r>
      <w:r w:rsidR="00CA0F71">
        <w:rPr>
          <w:b/>
          <w:lang w:val="en-AU" w:bidi="ar-SA"/>
        </w:rPr>
        <w:t>to ensure</w:t>
      </w:r>
      <w:r w:rsidRPr="00DB65DD">
        <w:rPr>
          <w:b/>
          <w:lang w:val="en-AU" w:bidi="ar-SA"/>
        </w:rPr>
        <w:t xml:space="preserve"> that a consumer’s right to decide to refuse treatment </w:t>
      </w:r>
      <w:r w:rsidR="003D1DF9" w:rsidRPr="00DB65DD">
        <w:rPr>
          <w:b/>
          <w:lang w:val="en-AU" w:bidi="ar-SA"/>
        </w:rPr>
        <w:t>i</w:t>
      </w:r>
      <w:r w:rsidR="003D1DF9">
        <w:rPr>
          <w:b/>
          <w:lang w:val="en-AU" w:bidi="ar-SA"/>
        </w:rPr>
        <w:t>s</w:t>
      </w:r>
      <w:r w:rsidR="003D1DF9" w:rsidRPr="00DB65DD">
        <w:rPr>
          <w:b/>
          <w:lang w:val="en-AU" w:bidi="ar-SA"/>
        </w:rPr>
        <w:t xml:space="preserve"> </w:t>
      </w:r>
      <w:r w:rsidRPr="00DB65DD">
        <w:rPr>
          <w:b/>
          <w:lang w:val="en-AU" w:bidi="ar-SA"/>
        </w:rPr>
        <w:t>upheld, and that staff understand the relevance of consent issues and escalate pertinent consent information.</w:t>
      </w:r>
    </w:p>
    <w:p w14:paraId="231FA5C2" w14:textId="77777777" w:rsidR="00DB65DD" w:rsidRPr="00DB65DD" w:rsidRDefault="00DB65DD" w:rsidP="00DB65DD">
      <w:pPr>
        <w:rPr>
          <w:lang w:val="en-AU" w:bidi="ar-SA"/>
        </w:rPr>
      </w:pPr>
    </w:p>
    <w:p w14:paraId="61099013" w14:textId="5E94ADF9" w:rsidR="007F3D48" w:rsidRDefault="007F3D48" w:rsidP="001F7DC9">
      <w:pPr>
        <w:spacing w:after="120"/>
        <w:rPr>
          <w:i/>
          <w:szCs w:val="22"/>
        </w:rPr>
      </w:pPr>
      <w:r w:rsidRPr="007F3D48">
        <w:rPr>
          <w:i/>
          <w:szCs w:val="22"/>
        </w:rPr>
        <w:t>Background</w:t>
      </w:r>
    </w:p>
    <w:p w14:paraId="2880F625" w14:textId="22113ECB" w:rsidR="009E7169" w:rsidRDefault="009E7169" w:rsidP="00841E1C">
      <w:pPr>
        <w:spacing w:after="240"/>
        <w:rPr>
          <w:szCs w:val="22"/>
        </w:rPr>
      </w:pPr>
      <w:r w:rsidRPr="009E7169">
        <w:rPr>
          <w:szCs w:val="22"/>
        </w:rPr>
        <w:t>A woman required surgery for suspected endometriosis. Surgical treatment of endometriosis usually requires removal of tissue by either surgical excision (cutting with surgical instruments)</w:t>
      </w:r>
      <w:r w:rsidR="00CA0F71">
        <w:rPr>
          <w:szCs w:val="22"/>
        </w:rPr>
        <w:t>,</w:t>
      </w:r>
      <w:r w:rsidRPr="009E7169">
        <w:rPr>
          <w:szCs w:val="22"/>
        </w:rPr>
        <w:t xml:space="preserve"> ablation (cutting and burning using an electrical probe), or a combination of both techniques. The woman reported that she had researched the various treatment options and </w:t>
      </w:r>
      <w:r>
        <w:rPr>
          <w:szCs w:val="22"/>
        </w:rPr>
        <w:t>told her obstetrician and gynaecologist that</w:t>
      </w:r>
      <w:r w:rsidRPr="009E7169">
        <w:rPr>
          <w:szCs w:val="22"/>
        </w:rPr>
        <w:t xml:space="preserve"> she did not want </w:t>
      </w:r>
      <w:r>
        <w:rPr>
          <w:szCs w:val="22"/>
        </w:rPr>
        <w:t xml:space="preserve">him to use ablation. She also told a junior doctor at a preoperative assessment that she did not consent to ablation, and the doctor had written </w:t>
      </w:r>
      <w:r w:rsidR="001C682B">
        <w:rPr>
          <w:szCs w:val="22"/>
        </w:rPr>
        <w:t xml:space="preserve">the woman’s </w:t>
      </w:r>
      <w:r>
        <w:rPr>
          <w:szCs w:val="22"/>
        </w:rPr>
        <w:t xml:space="preserve">refusal </w:t>
      </w:r>
      <w:r w:rsidR="00CA0F71">
        <w:rPr>
          <w:szCs w:val="22"/>
        </w:rPr>
        <w:t>of</w:t>
      </w:r>
      <w:r>
        <w:rPr>
          <w:szCs w:val="22"/>
        </w:rPr>
        <w:t xml:space="preserve"> ablation in</w:t>
      </w:r>
      <w:r w:rsidR="00CA0F71">
        <w:rPr>
          <w:szCs w:val="22"/>
        </w:rPr>
        <w:t>to</w:t>
      </w:r>
      <w:r>
        <w:rPr>
          <w:szCs w:val="22"/>
        </w:rPr>
        <w:t xml:space="preserve"> </w:t>
      </w:r>
      <w:r w:rsidR="001C682B">
        <w:rPr>
          <w:szCs w:val="22"/>
        </w:rPr>
        <w:t xml:space="preserve">her </w:t>
      </w:r>
      <w:r>
        <w:rPr>
          <w:szCs w:val="22"/>
        </w:rPr>
        <w:t>clinical notes.</w:t>
      </w:r>
      <w:r w:rsidR="00D76C05">
        <w:rPr>
          <w:szCs w:val="22"/>
        </w:rPr>
        <w:t xml:space="preserve"> The operating surgeon advised that he does not recall the junior doctor informing </w:t>
      </w:r>
      <w:r w:rsidR="00533DD7">
        <w:rPr>
          <w:szCs w:val="22"/>
        </w:rPr>
        <w:t xml:space="preserve">him </w:t>
      </w:r>
      <w:r w:rsidR="00D76C05">
        <w:rPr>
          <w:szCs w:val="22"/>
        </w:rPr>
        <w:t xml:space="preserve">about the woman’s refusal </w:t>
      </w:r>
      <w:r w:rsidR="00CA0F71">
        <w:rPr>
          <w:szCs w:val="22"/>
        </w:rPr>
        <w:t xml:space="preserve">of </w:t>
      </w:r>
      <w:r w:rsidR="00D76C05">
        <w:rPr>
          <w:szCs w:val="22"/>
        </w:rPr>
        <w:t xml:space="preserve">ablation. </w:t>
      </w:r>
      <w:r w:rsidR="00D76C05">
        <w:rPr>
          <w:rFonts w:ascii="Arial" w:hAnsi="Arial" w:cs="Arial"/>
          <w:color w:val="000000"/>
          <w:shd w:val="clear" w:color="auto" w:fill="F7F7F6"/>
        </w:rPr>
        <w:t> </w:t>
      </w:r>
    </w:p>
    <w:p w14:paraId="4EE389FD" w14:textId="0AA2A3F4" w:rsidR="009E7169" w:rsidRPr="009E7169" w:rsidRDefault="009E7169" w:rsidP="00841E1C">
      <w:pPr>
        <w:spacing w:after="240"/>
        <w:rPr>
          <w:szCs w:val="22"/>
        </w:rPr>
      </w:pPr>
      <w:r>
        <w:rPr>
          <w:szCs w:val="22"/>
        </w:rPr>
        <w:t xml:space="preserve">The </w:t>
      </w:r>
      <w:r w:rsidR="00CB68EA">
        <w:rPr>
          <w:szCs w:val="22"/>
        </w:rPr>
        <w:t>obstetrician and gynaecologist</w:t>
      </w:r>
      <w:r w:rsidR="00CB68EA" w:rsidDel="00CB68EA">
        <w:rPr>
          <w:szCs w:val="22"/>
        </w:rPr>
        <w:t xml:space="preserve"> </w:t>
      </w:r>
      <w:r>
        <w:rPr>
          <w:szCs w:val="22"/>
        </w:rPr>
        <w:t xml:space="preserve">did not read the woman’s clinical notes before </w:t>
      </w:r>
      <w:r w:rsidR="00B14792">
        <w:rPr>
          <w:szCs w:val="22"/>
        </w:rPr>
        <w:t xml:space="preserve">the </w:t>
      </w:r>
      <w:r>
        <w:rPr>
          <w:szCs w:val="22"/>
        </w:rPr>
        <w:t>surgery</w:t>
      </w:r>
      <w:r w:rsidR="00B14792">
        <w:rPr>
          <w:szCs w:val="22"/>
        </w:rPr>
        <w:t>,</w:t>
      </w:r>
      <w:r>
        <w:rPr>
          <w:szCs w:val="22"/>
        </w:rPr>
        <w:t xml:space="preserve"> and treated the woman using ablation.</w:t>
      </w:r>
    </w:p>
    <w:p w14:paraId="08E30F10" w14:textId="1C786F94" w:rsidR="009E7169" w:rsidRDefault="009E7169" w:rsidP="001F7DC9">
      <w:pPr>
        <w:spacing w:after="120"/>
        <w:rPr>
          <w:i/>
          <w:szCs w:val="22"/>
        </w:rPr>
      </w:pPr>
      <w:r>
        <w:rPr>
          <w:i/>
          <w:szCs w:val="22"/>
        </w:rPr>
        <w:t>Findings</w:t>
      </w:r>
    </w:p>
    <w:p w14:paraId="7E279430" w14:textId="722FB82F" w:rsidR="008D4C0D" w:rsidRPr="00B62AD2" w:rsidRDefault="008D4C0D" w:rsidP="00DB65DD">
      <w:pPr>
        <w:pStyle w:val="ListParagraph"/>
        <w:spacing w:after="240"/>
        <w:ind w:left="0"/>
      </w:pPr>
      <w:r>
        <w:t xml:space="preserve">The principle of informed consent is at the heart of the Code. The </w:t>
      </w:r>
      <w:r w:rsidR="008263BB">
        <w:rPr>
          <w:szCs w:val="22"/>
        </w:rPr>
        <w:t>obstetrician and gynaecologist</w:t>
      </w:r>
      <w:r>
        <w:t>,</w:t>
      </w:r>
      <w:r w:rsidRPr="00C64AC8">
        <w:t xml:space="preserve"> </w:t>
      </w:r>
      <w:r>
        <w:t xml:space="preserve">as the treating practitioner, retained overall legal responsibility and accountability for the consent process. Ultimately, he performed a procedure on the woman </w:t>
      </w:r>
      <w:r w:rsidR="00533DD7">
        <w:t xml:space="preserve">to which </w:t>
      </w:r>
      <w:r>
        <w:t xml:space="preserve">she had not consented. The </w:t>
      </w:r>
      <w:r w:rsidR="00533DD7">
        <w:rPr>
          <w:szCs w:val="22"/>
        </w:rPr>
        <w:t xml:space="preserve">obstetrician and gynaecologist </w:t>
      </w:r>
      <w:r w:rsidRPr="00C64AC8">
        <w:t>said that it was ne</w:t>
      </w:r>
      <w:r>
        <w:t>ver his intention to disrespect the woman’s</w:t>
      </w:r>
      <w:r w:rsidRPr="00C64AC8">
        <w:t xml:space="preserve"> choices in any way</w:t>
      </w:r>
      <w:r>
        <w:t>,</w:t>
      </w:r>
      <w:r w:rsidRPr="00C64AC8">
        <w:t xml:space="preserve"> and that he acted in her best interests. </w:t>
      </w:r>
      <w:r>
        <w:t>That is not the point. It is the consumer’s right to decide</w:t>
      </w:r>
      <w:r w:rsidR="00533DD7">
        <w:t>,</w:t>
      </w:r>
      <w:r>
        <w:t xml:space="preserve"> and, in the absence of an emergency or certain other legal requirements, clinical judgement regarding best interests does not apply.</w:t>
      </w:r>
    </w:p>
    <w:p w14:paraId="7183EE59" w14:textId="61240965" w:rsidR="008D4C0D" w:rsidRDefault="008D4C0D" w:rsidP="00DB65DD">
      <w:pPr>
        <w:pStyle w:val="ListParagraph"/>
        <w:spacing w:after="240"/>
        <w:ind w:left="0"/>
      </w:pPr>
      <w:r>
        <w:t xml:space="preserve">The </w:t>
      </w:r>
      <w:r w:rsidR="00F90C47">
        <w:rPr>
          <w:szCs w:val="22"/>
        </w:rPr>
        <w:t xml:space="preserve">obstetrician and gynaecologist </w:t>
      </w:r>
      <w:r w:rsidRPr="0088104C">
        <w:t xml:space="preserve">failed to pay sufficient attention when </w:t>
      </w:r>
      <w:r>
        <w:t>the woman</w:t>
      </w:r>
      <w:r w:rsidRPr="0088104C">
        <w:t xml:space="preserve"> told him </w:t>
      </w:r>
      <w:r>
        <w:t xml:space="preserve">that </w:t>
      </w:r>
      <w:r w:rsidRPr="0088104C">
        <w:t>she did not want to have ablation performed.</w:t>
      </w:r>
      <w:r w:rsidRPr="00DA3A5D">
        <w:t xml:space="preserve"> </w:t>
      </w:r>
      <w:r>
        <w:t>The former Commissioner found that b</w:t>
      </w:r>
      <w:r w:rsidRPr="00E43275">
        <w:t xml:space="preserve">y treating the endometriosis with ablation when </w:t>
      </w:r>
      <w:r w:rsidR="00CA0F71">
        <w:t>the woman</w:t>
      </w:r>
      <w:r w:rsidRPr="00E43275">
        <w:t xml:space="preserve"> had refused consent to ablation, </w:t>
      </w:r>
      <w:r>
        <w:t xml:space="preserve">the </w:t>
      </w:r>
      <w:r w:rsidR="00F90C47">
        <w:rPr>
          <w:szCs w:val="22"/>
        </w:rPr>
        <w:t>obstetrician and gynaecologist</w:t>
      </w:r>
      <w:r w:rsidRPr="00E43275">
        <w:t xml:space="preserve"> breached Right 7(7) of the Code. </w:t>
      </w:r>
      <w:r>
        <w:t xml:space="preserve">Additionally, the Commissioner found the </w:t>
      </w:r>
      <w:r w:rsidR="00F90C47">
        <w:rPr>
          <w:szCs w:val="22"/>
        </w:rPr>
        <w:t>obstetrician and gynaecologist</w:t>
      </w:r>
      <w:r>
        <w:t xml:space="preserve"> in breach of Rights 4(1) and 4(2) of the Code for failing to read the woman’s notes sufficiently before commencing surgery</w:t>
      </w:r>
      <w:r w:rsidR="00F90C47">
        <w:t>,</w:t>
      </w:r>
      <w:r>
        <w:t xml:space="preserve"> and for the poor standard of his record-keeping in regard to discussions about consent.</w:t>
      </w:r>
    </w:p>
    <w:p w14:paraId="5A43D60E" w14:textId="5C5F4C9C" w:rsidR="00901A55" w:rsidRDefault="008D4C0D" w:rsidP="00901A55">
      <w:pPr>
        <w:pStyle w:val="ListParagraph"/>
        <w:spacing w:after="240"/>
        <w:ind w:left="0"/>
      </w:pPr>
      <w:r>
        <w:lastRenderedPageBreak/>
        <w:t xml:space="preserve">The former Commissioner </w:t>
      </w:r>
      <w:r w:rsidR="00901A55">
        <w:t xml:space="preserve">also found the DHB in breach of the Code </w:t>
      </w:r>
      <w:r w:rsidR="00F90C47">
        <w:t xml:space="preserve">because the DHB’s </w:t>
      </w:r>
      <w:r>
        <w:t>systems for informed consent did not provide adequate guidance to staff</w:t>
      </w:r>
      <w:r w:rsidR="00CA0F71">
        <w:t>. I</w:t>
      </w:r>
      <w:r>
        <w:t>n particular</w:t>
      </w:r>
      <w:r w:rsidR="00F90C47">
        <w:t>,</w:t>
      </w:r>
      <w:r>
        <w:t xml:space="preserve"> he was concerned that:</w:t>
      </w:r>
    </w:p>
    <w:p w14:paraId="47ADFF3B" w14:textId="233C77BB" w:rsidR="00901A55" w:rsidRDefault="008D4C0D" w:rsidP="0078382D">
      <w:pPr>
        <w:pStyle w:val="ListParagraph"/>
        <w:numPr>
          <w:ilvl w:val="0"/>
          <w:numId w:val="37"/>
        </w:numPr>
        <w:spacing w:after="120"/>
        <w:ind w:left="284" w:hanging="284"/>
      </w:pPr>
      <w:r>
        <w:t>Staff were not clear about the relevance of consent discussions at the preoperative clinic</w:t>
      </w:r>
    </w:p>
    <w:p w14:paraId="382A3179" w14:textId="3193E5A0" w:rsidR="00901A55" w:rsidRDefault="008D4C0D" w:rsidP="0078382D">
      <w:pPr>
        <w:pStyle w:val="ListParagraph"/>
        <w:numPr>
          <w:ilvl w:val="0"/>
          <w:numId w:val="37"/>
        </w:numPr>
        <w:spacing w:after="120"/>
        <w:ind w:left="284" w:hanging="284"/>
      </w:pPr>
      <w:r>
        <w:t>The</w:t>
      </w:r>
      <w:r w:rsidRPr="00E44D6B">
        <w:t xml:space="preserve"> informed consent policy did not specify any requirement to escalate concerns beyond documenting the refusal</w:t>
      </w:r>
      <w:r w:rsidRPr="003F2826">
        <w:t xml:space="preserve"> </w:t>
      </w:r>
    </w:p>
    <w:p w14:paraId="30FDAC09" w14:textId="11DCF070" w:rsidR="00901A55" w:rsidRDefault="008D4C0D" w:rsidP="0078382D">
      <w:pPr>
        <w:pStyle w:val="ListParagraph"/>
        <w:numPr>
          <w:ilvl w:val="0"/>
          <w:numId w:val="37"/>
        </w:numPr>
        <w:spacing w:after="120"/>
        <w:ind w:left="284" w:hanging="284"/>
      </w:pPr>
      <w:r w:rsidRPr="00E44D6B">
        <w:t xml:space="preserve">There </w:t>
      </w:r>
      <w:r>
        <w:t>wa</w:t>
      </w:r>
      <w:r w:rsidRPr="00E44D6B">
        <w:t>s no guidance for staff on the appropriate steps to escalate</w:t>
      </w:r>
      <w:r>
        <w:t xml:space="preserve"> information</w:t>
      </w:r>
      <w:r w:rsidRPr="00E44D6B">
        <w:t xml:space="preserve"> pertinent </w:t>
      </w:r>
      <w:r>
        <w:t xml:space="preserve">to consent </w:t>
      </w:r>
      <w:r w:rsidRPr="00E44D6B">
        <w:t xml:space="preserve">to the responsible clinician </w:t>
      </w:r>
    </w:p>
    <w:p w14:paraId="616CACCC" w14:textId="6400B856" w:rsidR="00901A55" w:rsidRDefault="008D4C0D" w:rsidP="00F90C47">
      <w:pPr>
        <w:pStyle w:val="ListParagraph"/>
        <w:numPr>
          <w:ilvl w:val="0"/>
          <w:numId w:val="37"/>
        </w:numPr>
        <w:spacing w:after="240"/>
        <w:ind w:left="284" w:hanging="284"/>
      </w:pPr>
      <w:r>
        <w:t>There was a lack of clarity and guidance for staff around reading the preoperative assessment</w:t>
      </w:r>
    </w:p>
    <w:p w14:paraId="704431A8" w14:textId="53849D38" w:rsidR="009E7169" w:rsidRDefault="00901A55" w:rsidP="00342166">
      <w:pPr>
        <w:spacing w:after="120"/>
        <w:rPr>
          <w:i/>
          <w:szCs w:val="22"/>
        </w:rPr>
      </w:pPr>
      <w:r>
        <w:rPr>
          <w:i/>
          <w:szCs w:val="22"/>
        </w:rPr>
        <w:t>Recommendations</w:t>
      </w:r>
    </w:p>
    <w:p w14:paraId="21903FD8" w14:textId="20CC81BD" w:rsidR="00901A55" w:rsidRDefault="00901A55" w:rsidP="00841E1C">
      <w:pPr>
        <w:spacing w:after="240"/>
        <w:rPr>
          <w:szCs w:val="22"/>
        </w:rPr>
      </w:pPr>
      <w:r>
        <w:rPr>
          <w:szCs w:val="22"/>
        </w:rPr>
        <w:t>The former Commissioner made a number of recommendations to the DHB, including that it:</w:t>
      </w:r>
    </w:p>
    <w:p w14:paraId="53BD3449" w14:textId="0AACB3EB" w:rsidR="00901A55" w:rsidRPr="00901A55" w:rsidRDefault="00901A55" w:rsidP="00361C8D">
      <w:pPr>
        <w:pStyle w:val="ListParagraph"/>
        <w:numPr>
          <w:ilvl w:val="0"/>
          <w:numId w:val="39"/>
        </w:numPr>
        <w:spacing w:after="120"/>
        <w:ind w:left="284" w:hanging="284"/>
        <w:rPr>
          <w:szCs w:val="22"/>
        </w:rPr>
      </w:pPr>
      <w:r>
        <w:rPr>
          <w:szCs w:val="22"/>
        </w:rPr>
        <w:t xml:space="preserve">Confirm to HDC the process for clinicians </w:t>
      </w:r>
      <w:r>
        <w:t>to follow at pre-assessment when important consent information obtained should be escalated to the clinician obtaining signed consent</w:t>
      </w:r>
    </w:p>
    <w:p w14:paraId="08B71623" w14:textId="12B63834" w:rsidR="00901A55" w:rsidRPr="00901A55" w:rsidRDefault="00901A55" w:rsidP="00361C8D">
      <w:pPr>
        <w:pStyle w:val="ListParagraph"/>
        <w:numPr>
          <w:ilvl w:val="0"/>
          <w:numId w:val="39"/>
        </w:numPr>
        <w:spacing w:after="120"/>
        <w:ind w:left="284" w:hanging="284"/>
        <w:rPr>
          <w:szCs w:val="22"/>
        </w:rPr>
      </w:pPr>
      <w:r>
        <w:t>Provide HDC with a review of training provided to staff in relation to informed consent, and evidence th</w:t>
      </w:r>
      <w:r w:rsidR="00342166">
        <w:t xml:space="preserve">at all medical staff in the </w:t>
      </w:r>
      <w:r w:rsidR="0017126E">
        <w:t xml:space="preserve">women’s health service </w:t>
      </w:r>
      <w:r>
        <w:t>have been trained in informed consent</w:t>
      </w:r>
    </w:p>
    <w:p w14:paraId="39574487" w14:textId="63ECD05F" w:rsidR="00901A55" w:rsidRPr="00901A55" w:rsidRDefault="00901A55" w:rsidP="00361C8D">
      <w:pPr>
        <w:pStyle w:val="ListParagraph"/>
        <w:numPr>
          <w:ilvl w:val="0"/>
          <w:numId w:val="39"/>
        </w:numPr>
        <w:spacing w:after="120"/>
        <w:ind w:left="284" w:hanging="284"/>
        <w:rPr>
          <w:szCs w:val="22"/>
        </w:rPr>
      </w:pPr>
      <w:r w:rsidRPr="00B02D65">
        <w:rPr>
          <w:rStyle w:val="ListParagraphChar"/>
        </w:rPr>
        <w:t xml:space="preserve">Clarify the expectation that an operating surgeon is responsible </w:t>
      </w:r>
      <w:r>
        <w:rPr>
          <w:rStyle w:val="ListParagraphChar"/>
        </w:rPr>
        <w:t>for</w:t>
      </w:r>
      <w:r w:rsidRPr="00B02D65">
        <w:rPr>
          <w:rStyle w:val="ListParagraphChar"/>
        </w:rPr>
        <w:t xml:space="preserve"> read</w:t>
      </w:r>
      <w:r>
        <w:rPr>
          <w:rStyle w:val="ListParagraphChar"/>
        </w:rPr>
        <w:t>ing the</w:t>
      </w:r>
      <w:r w:rsidRPr="00B02D65">
        <w:rPr>
          <w:rStyle w:val="ListParagraphChar"/>
        </w:rPr>
        <w:t xml:space="preserve"> preoperati</w:t>
      </w:r>
      <w:r>
        <w:rPr>
          <w:rStyle w:val="ListParagraphChar"/>
        </w:rPr>
        <w:t>ve</w:t>
      </w:r>
      <w:r w:rsidRPr="00B02D65">
        <w:rPr>
          <w:rStyle w:val="ListParagraphChar"/>
        </w:rPr>
        <w:t xml:space="preserve"> assessments</w:t>
      </w:r>
    </w:p>
    <w:p w14:paraId="3EEEA2DF" w14:textId="0EAEE0A6" w:rsidR="00D76C05" w:rsidRPr="006C4735" w:rsidRDefault="00901A55" w:rsidP="00361C8D">
      <w:pPr>
        <w:pStyle w:val="ListParagraph"/>
        <w:numPr>
          <w:ilvl w:val="0"/>
          <w:numId w:val="39"/>
        </w:numPr>
        <w:spacing w:after="240"/>
        <w:ind w:left="284" w:hanging="284"/>
        <w:rPr>
          <w:szCs w:val="22"/>
        </w:rPr>
      </w:pPr>
      <w:r>
        <w:t xml:space="preserve">Provide an update to HDC on the corrective actions it has undertaken as a result of this complaint </w:t>
      </w:r>
    </w:p>
    <w:p w14:paraId="2879798B" w14:textId="77777777" w:rsidR="006C4735" w:rsidRPr="00F666F0" w:rsidRDefault="006C4735" w:rsidP="006C4735">
      <w:pPr>
        <w:pStyle w:val="ListParagraph"/>
        <w:spacing w:after="240"/>
        <w:rPr>
          <w:szCs w:val="22"/>
        </w:rPr>
      </w:pPr>
    </w:p>
    <w:p w14:paraId="2A562885" w14:textId="7AE23650" w:rsidR="006C4735" w:rsidRPr="00F666F0" w:rsidRDefault="006C4735" w:rsidP="006C4735">
      <w:pPr>
        <w:pStyle w:val="Heading3"/>
        <w:rPr>
          <w:rStyle w:val="Heading2Char"/>
          <w:rFonts w:cs="Arial"/>
          <w:i w:val="0"/>
          <w:iCs w:val="0"/>
          <w:sz w:val="28"/>
          <w:szCs w:val="28"/>
          <w:lang w:bidi="ar-SA"/>
        </w:rPr>
      </w:pPr>
      <w:bookmarkStart w:id="109" w:name="_Toc58316499"/>
      <w:r>
        <w:rPr>
          <w:b/>
          <w:i w:val="0"/>
          <w:sz w:val="28"/>
          <w:szCs w:val="28"/>
          <w:lang w:val="en-AU" w:bidi="ar-SA"/>
        </w:rPr>
        <w:t>5.4</w:t>
      </w:r>
      <w:r w:rsidRPr="00666BAC">
        <w:rPr>
          <w:b/>
          <w:i w:val="0"/>
          <w:sz w:val="28"/>
          <w:szCs w:val="28"/>
          <w:lang w:val="en-AU" w:bidi="ar-SA"/>
        </w:rPr>
        <w:t xml:space="preserve"> </w:t>
      </w:r>
      <w:r w:rsidRPr="00666BAC">
        <w:rPr>
          <w:b/>
          <w:i w:val="0"/>
          <w:sz w:val="28"/>
          <w:szCs w:val="28"/>
          <w:lang w:val="en-AU" w:bidi="ar-SA"/>
        </w:rPr>
        <w:tab/>
      </w:r>
      <w:r>
        <w:rPr>
          <w:b/>
          <w:i w:val="0"/>
          <w:sz w:val="28"/>
          <w:szCs w:val="28"/>
          <w:lang w:val="en-AU" w:bidi="ar-SA"/>
        </w:rPr>
        <w:t>Delayed diagnosis of bladder cancer</w:t>
      </w:r>
      <w:r>
        <w:rPr>
          <w:rStyle w:val="FootnoteReference"/>
          <w:b/>
          <w:i w:val="0"/>
          <w:sz w:val="28"/>
          <w:szCs w:val="28"/>
          <w:lang w:val="en-AU" w:bidi="ar-SA"/>
        </w:rPr>
        <w:footnoteReference w:id="9"/>
      </w:r>
      <w:bookmarkEnd w:id="109"/>
    </w:p>
    <w:p w14:paraId="11D05586" w14:textId="5DDE18E7" w:rsidR="001965C1" w:rsidRPr="001965C1" w:rsidRDefault="001965C1" w:rsidP="001965C1">
      <w:pPr>
        <w:rPr>
          <w:b/>
          <w:lang w:val="en-AU" w:bidi="ar-SA"/>
        </w:rPr>
      </w:pPr>
      <w:r w:rsidRPr="001965C1">
        <w:rPr>
          <w:b/>
          <w:lang w:val="en-AU" w:bidi="ar-SA"/>
        </w:rPr>
        <w:t>This case highlights the importance of having robust processes for sharing patient information so that appropriate treatment can be provided</w:t>
      </w:r>
      <w:r w:rsidR="00CA0F71">
        <w:rPr>
          <w:b/>
          <w:lang w:val="en-AU" w:bidi="ar-SA"/>
        </w:rPr>
        <w:t>,</w:t>
      </w:r>
      <w:r w:rsidRPr="001965C1">
        <w:rPr>
          <w:b/>
          <w:lang w:val="en-AU" w:bidi="ar-SA"/>
        </w:rPr>
        <w:t xml:space="preserve"> and of ensuring </w:t>
      </w:r>
      <w:r w:rsidR="00320F70">
        <w:rPr>
          <w:b/>
          <w:lang w:val="en-AU" w:bidi="ar-SA"/>
        </w:rPr>
        <w:t xml:space="preserve">that </w:t>
      </w:r>
      <w:r w:rsidRPr="001965C1">
        <w:rPr>
          <w:b/>
          <w:lang w:val="en-AU" w:bidi="ar-SA"/>
        </w:rPr>
        <w:t>patients are treated with respect, even in circumstances in which workloads are high.</w:t>
      </w:r>
    </w:p>
    <w:p w14:paraId="0C9FD6F2" w14:textId="77777777" w:rsidR="001965C1" w:rsidRPr="001965C1" w:rsidRDefault="001965C1" w:rsidP="001965C1">
      <w:pPr>
        <w:rPr>
          <w:lang w:val="en-AU" w:bidi="ar-SA"/>
        </w:rPr>
      </w:pPr>
    </w:p>
    <w:p w14:paraId="398C1ABE" w14:textId="76E1B03D" w:rsidR="00CA224F" w:rsidRDefault="00CA224F" w:rsidP="00342166">
      <w:pPr>
        <w:spacing w:after="120"/>
        <w:rPr>
          <w:i/>
        </w:rPr>
      </w:pPr>
      <w:r>
        <w:rPr>
          <w:i/>
        </w:rPr>
        <w:t>Background</w:t>
      </w:r>
    </w:p>
    <w:p w14:paraId="242BD67C" w14:textId="7B37D680" w:rsidR="00CA224F" w:rsidRDefault="00CA224F" w:rsidP="00841E1C">
      <w:pPr>
        <w:spacing w:after="240"/>
      </w:pPr>
      <w:r>
        <w:t>A man’</w:t>
      </w:r>
      <w:r w:rsidR="00342166">
        <w:t>s</w:t>
      </w:r>
      <w:r>
        <w:t xml:space="preserve"> GP referred him to a </w:t>
      </w:r>
      <w:r w:rsidR="00E7573B">
        <w:t xml:space="preserve">urology clinic </w:t>
      </w:r>
      <w:r>
        <w:t>at a public hospital because he was experiencing pain while passing urine, difficulty with bladder control</w:t>
      </w:r>
      <w:r w:rsidR="00CA0F71">
        <w:t>,</w:t>
      </w:r>
      <w:r>
        <w:t xml:space="preserve"> and a frequent urge to urinate. </w:t>
      </w:r>
      <w:r>
        <w:rPr>
          <w:lang w:val="en-US"/>
        </w:rPr>
        <w:t xml:space="preserve">The DHB contracts a specialist clinic </w:t>
      </w:r>
      <w:r w:rsidR="00CA0F71">
        <w:rPr>
          <w:lang w:val="en-US"/>
        </w:rPr>
        <w:t>to provide</w:t>
      </w:r>
      <w:r>
        <w:rPr>
          <w:lang w:val="en-US"/>
        </w:rPr>
        <w:t xml:space="preserve"> its urology outpatient services. </w:t>
      </w:r>
    </w:p>
    <w:p w14:paraId="4E8B61FE" w14:textId="282CE6DC" w:rsidR="00D02372" w:rsidRDefault="00CA224F" w:rsidP="00841E1C">
      <w:pPr>
        <w:spacing w:after="240"/>
      </w:pPr>
      <w:r>
        <w:t>The referral letter from the man’s GP mentioned issues including inflammation of the prostate gland, and the presence of blood and abnormal cells in the urine. The referral contained the man’s medical history, and copies of four urine cytology reports, the results of which were all abnormal. These reports contained information regarding potential causes of the abnormal results, including the possibility of neoplasia.</w:t>
      </w:r>
      <w:r w:rsidR="00D02372">
        <w:t xml:space="preserve"> The referral was triaged as category 3 (to be seen within </w:t>
      </w:r>
      <w:r w:rsidR="00CA0F71">
        <w:t>four</w:t>
      </w:r>
      <w:r w:rsidR="00D02372">
        <w:t xml:space="preserve"> months). The DHB told HDC that given the abnormal test results, the man should have been triaged as a higher priority and seen within four weeks.</w:t>
      </w:r>
    </w:p>
    <w:p w14:paraId="22783E9F" w14:textId="10B5E69B" w:rsidR="00CA224F" w:rsidRDefault="00CA224F" w:rsidP="00841E1C">
      <w:pPr>
        <w:spacing w:after="240"/>
      </w:pPr>
      <w:r>
        <w:t>When the man first saw the urologist, highly relevant information from this referral, including the cytology reports, w</w:t>
      </w:r>
      <w:r w:rsidR="00CA0F71">
        <w:t>as</w:t>
      </w:r>
      <w:r>
        <w:t xml:space="preserve"> not made available to the urologist. The urologist did not conduct a thorough inves</w:t>
      </w:r>
      <w:r w:rsidR="00D02372">
        <w:t xml:space="preserve">tigation of the man’s symptoms </w:t>
      </w:r>
      <w:r w:rsidR="00307654">
        <w:t>or</w:t>
      </w:r>
      <w:r w:rsidR="00D02372">
        <w:t xml:space="preserve"> carry out imaging and urine analysis.</w:t>
      </w:r>
    </w:p>
    <w:p w14:paraId="151AFE56" w14:textId="35520791" w:rsidR="00CA224F" w:rsidRDefault="00CA224F" w:rsidP="00841E1C">
      <w:pPr>
        <w:spacing w:after="240"/>
      </w:pPr>
      <w:r>
        <w:lastRenderedPageBreak/>
        <w:t>Over a year after the original referral, the man’s symptoms had failed to resolve</w:t>
      </w:r>
      <w:r w:rsidR="001C3941">
        <w:t>,</w:t>
      </w:r>
      <w:r>
        <w:t xml:space="preserve"> and he returned to the urologist as a private patient. The specialist clinic did not identify the man’s status accurately when he changed from a public to a private patient, and this resulted in confusion and miscommunication. </w:t>
      </w:r>
    </w:p>
    <w:p w14:paraId="2C51B16C" w14:textId="4CF93453" w:rsidR="00CA224F" w:rsidRDefault="00CA224F" w:rsidP="00841E1C">
      <w:pPr>
        <w:spacing w:after="240"/>
      </w:pPr>
      <w:r>
        <w:t xml:space="preserve">The man’s pain worsened and </w:t>
      </w:r>
      <w:r w:rsidR="006B1AAE">
        <w:t>his wife drove him to</w:t>
      </w:r>
      <w:r>
        <w:t xml:space="preserve"> the public hospital’s </w:t>
      </w:r>
      <w:r w:rsidR="001C3941">
        <w:t xml:space="preserve">emergency department </w:t>
      </w:r>
      <w:r>
        <w:t xml:space="preserve">(ED). He was </w:t>
      </w:r>
      <w:r w:rsidR="006B1AAE">
        <w:t xml:space="preserve">unable to manage the walk from the car to the ED, and, despite </w:t>
      </w:r>
      <w:r w:rsidR="00D403E6">
        <w:t>several</w:t>
      </w:r>
      <w:r w:rsidR="006B1AAE">
        <w:t xml:space="preserve"> request</w:t>
      </w:r>
      <w:r w:rsidR="00D403E6">
        <w:t>s by his wife for</w:t>
      </w:r>
      <w:r w:rsidR="006B1AAE">
        <w:t xml:space="preserve"> assistance</w:t>
      </w:r>
      <w:r w:rsidR="00D403E6">
        <w:t xml:space="preserve"> from ED staff</w:t>
      </w:r>
      <w:r w:rsidR="006B1AAE">
        <w:t xml:space="preserve">, he was </w:t>
      </w:r>
      <w:r>
        <w:t xml:space="preserve">left waiting in </w:t>
      </w:r>
      <w:r w:rsidR="006B1AAE">
        <w:t xml:space="preserve">the </w:t>
      </w:r>
      <w:r>
        <w:t>car outside the ED in severe pain.</w:t>
      </w:r>
    </w:p>
    <w:p w14:paraId="3C2FFA4C" w14:textId="64D5EAA9" w:rsidR="006F6275" w:rsidRPr="006F6275" w:rsidRDefault="006B1AAE" w:rsidP="00841E1C">
      <w:pPr>
        <w:spacing w:after="240"/>
      </w:pPr>
      <w:r>
        <w:t xml:space="preserve">The man requested </w:t>
      </w:r>
      <w:r w:rsidR="00CA224F">
        <w:t xml:space="preserve">a referral to a different urologist, </w:t>
      </w:r>
      <w:r>
        <w:t>and</w:t>
      </w:r>
      <w:r w:rsidR="00CA224F">
        <w:t xml:space="preserve"> was diagnosed with high-grade bladde</w:t>
      </w:r>
      <w:r w:rsidR="006F6275">
        <w:t>r cancer and carcinoma in situ.</w:t>
      </w:r>
    </w:p>
    <w:p w14:paraId="51B43CB5" w14:textId="3D4ED66F" w:rsidR="006F6275" w:rsidRPr="006F6275" w:rsidRDefault="00841E1C" w:rsidP="00342166">
      <w:pPr>
        <w:spacing w:after="120"/>
        <w:rPr>
          <w:rStyle w:val="ListParagraphChar"/>
          <w:i/>
        </w:rPr>
      </w:pPr>
      <w:bookmarkStart w:id="110" w:name="_Toc37056001"/>
      <w:bookmarkStart w:id="111" w:name="_Toc37315226"/>
      <w:bookmarkStart w:id="112" w:name="_Toc39138061"/>
      <w:r w:rsidRPr="006F6275">
        <w:rPr>
          <w:i/>
        </w:rPr>
        <w:t>Findings</w:t>
      </w:r>
      <w:bookmarkEnd w:id="110"/>
      <w:bookmarkEnd w:id="111"/>
      <w:bookmarkEnd w:id="112"/>
    </w:p>
    <w:p w14:paraId="378A06D2" w14:textId="5585D049" w:rsidR="006F6275" w:rsidRDefault="006F6275" w:rsidP="006F6275">
      <w:pPr>
        <w:pStyle w:val="ListParagraph"/>
        <w:spacing w:after="240"/>
        <w:ind w:left="0"/>
      </w:pPr>
      <w:r>
        <w:rPr>
          <w:rStyle w:val="ListParagraphChar"/>
        </w:rPr>
        <w:t>The former Commissioner considered that the man’s</w:t>
      </w:r>
      <w:r>
        <w:rPr>
          <w:lang w:val="en-US"/>
        </w:rPr>
        <w:t xml:space="preserve"> treatment by the </w:t>
      </w:r>
      <w:r w:rsidRPr="002D5BB7">
        <w:rPr>
          <w:lang w:val="en-US"/>
        </w:rPr>
        <w:t xml:space="preserve">DHB was very poor. </w:t>
      </w:r>
      <w:r>
        <w:rPr>
          <w:lang w:val="en-US"/>
        </w:rPr>
        <w:t>H</w:t>
      </w:r>
      <w:r w:rsidRPr="002D5BB7">
        <w:rPr>
          <w:lang w:val="en-US"/>
        </w:rPr>
        <w:t xml:space="preserve">ighly relevant information about his condition that was included in the referral was not available to </w:t>
      </w:r>
      <w:r>
        <w:rPr>
          <w:lang w:val="en-US"/>
        </w:rPr>
        <w:t>the urologist</w:t>
      </w:r>
      <w:r w:rsidRPr="002D5BB7">
        <w:rPr>
          <w:lang w:val="en-US"/>
        </w:rPr>
        <w:t xml:space="preserve"> when he first saw </w:t>
      </w:r>
      <w:bookmarkStart w:id="113" w:name="_Toc42007417"/>
      <w:bookmarkStart w:id="114" w:name="_Toc42007518"/>
      <w:r w:rsidR="00342166">
        <w:rPr>
          <w:lang w:val="en-US"/>
        </w:rPr>
        <w:t xml:space="preserve">the man, owing to poor systems, and </w:t>
      </w:r>
      <w:r w:rsidR="00342166">
        <w:t>t</w:t>
      </w:r>
      <w:r>
        <w:t>he specialist clinic did not identify the man</w:t>
      </w:r>
      <w:r w:rsidRPr="008E300A">
        <w:t>’s status accurately when he changed from a public to a private patient</w:t>
      </w:r>
      <w:r w:rsidR="00342166">
        <w:t xml:space="preserve">. </w:t>
      </w:r>
      <w:r w:rsidRPr="008E300A">
        <w:t>He was at times treated discourteously and given inaccurate information. In particular,</w:t>
      </w:r>
      <w:bookmarkEnd w:id="113"/>
      <w:bookmarkEnd w:id="114"/>
      <w:r>
        <w:t xml:space="preserve"> the Commissioner noted that he f</w:t>
      </w:r>
      <w:r w:rsidR="008F01DD">
        <w:t>ou</w:t>
      </w:r>
      <w:r>
        <w:t>nd it incomprehensible that the man was left outside ED in his car without pain relief or reassurance whilst waiting for a bed to become available.</w:t>
      </w:r>
    </w:p>
    <w:p w14:paraId="7663F66A" w14:textId="1BC5B3C6" w:rsidR="006F6275" w:rsidRDefault="006F6275" w:rsidP="006F6275">
      <w:pPr>
        <w:pStyle w:val="ListParagraph"/>
        <w:spacing w:after="240"/>
        <w:ind w:left="0"/>
      </w:pPr>
      <w:r>
        <w:rPr>
          <w:rStyle w:val="ListParagraphChar"/>
        </w:rPr>
        <w:t xml:space="preserve">DHBs have a responsibility for the actions of their staff, and an organisational duty to facilitate continuity of care. This includes ensuring that appropriate resources are available, and that all staff communicate effectively. It also requires that appropriate systems are in place </w:t>
      </w:r>
      <w:r w:rsidR="008F01DD">
        <w:rPr>
          <w:rStyle w:val="ListParagraphChar"/>
        </w:rPr>
        <w:t>to ensure</w:t>
      </w:r>
      <w:r>
        <w:rPr>
          <w:rStyle w:val="ListParagraphChar"/>
        </w:rPr>
        <w:t xml:space="preserve"> that patients are triaged appropriately, necessary tests (and repeat tests) are undertaken, and patients are treated with respect, even in circumstances in which workloads are high.</w:t>
      </w:r>
    </w:p>
    <w:p w14:paraId="2CFB7CF2" w14:textId="15B2C91D" w:rsidR="006F6275" w:rsidRPr="006F6275" w:rsidRDefault="006F6275" w:rsidP="006F6275">
      <w:pPr>
        <w:pStyle w:val="ListParagraph"/>
        <w:spacing w:after="240"/>
        <w:ind w:left="0"/>
      </w:pPr>
      <w:r>
        <w:t xml:space="preserve">The former Commissioner found that the DHB failed to treat the man with respect and failed to provide services to him with reasonable care and skill, in breach of Right 1(1) and Right 4(1) of the Code. </w:t>
      </w:r>
    </w:p>
    <w:p w14:paraId="0EA26236" w14:textId="77777777" w:rsidR="00841E1C" w:rsidRPr="00D02372" w:rsidRDefault="00841E1C" w:rsidP="00342166">
      <w:pPr>
        <w:spacing w:after="120"/>
        <w:rPr>
          <w:i/>
        </w:rPr>
      </w:pPr>
      <w:bookmarkStart w:id="115" w:name="_Toc37056002"/>
      <w:bookmarkStart w:id="116" w:name="_Toc37315227"/>
      <w:bookmarkStart w:id="117" w:name="_Toc39138062"/>
      <w:r w:rsidRPr="00D02372">
        <w:rPr>
          <w:i/>
        </w:rPr>
        <w:t>Recommendations</w:t>
      </w:r>
      <w:bookmarkEnd w:id="115"/>
      <w:bookmarkEnd w:id="116"/>
      <w:bookmarkEnd w:id="117"/>
    </w:p>
    <w:p w14:paraId="70E7A62D" w14:textId="352B67DC" w:rsidR="00841E1C" w:rsidRDefault="00D02372" w:rsidP="0078382D">
      <w:pPr>
        <w:spacing w:after="240"/>
      </w:pPr>
      <w:r>
        <w:t>The former Commissioner made a number of recommendations to the DHB, including that it:</w:t>
      </w:r>
    </w:p>
    <w:p w14:paraId="179E9BCC" w14:textId="20F6C587" w:rsidR="00D02372" w:rsidRPr="00D02372" w:rsidRDefault="00D02372" w:rsidP="00D52A05">
      <w:pPr>
        <w:pStyle w:val="ListParagraph"/>
        <w:numPr>
          <w:ilvl w:val="0"/>
          <w:numId w:val="41"/>
        </w:numPr>
        <w:spacing w:after="120"/>
        <w:ind w:left="284" w:hanging="284"/>
        <w:rPr>
          <w:rStyle w:val="abclistChar"/>
          <w:sz w:val="22"/>
          <w:szCs w:val="22"/>
        </w:rPr>
      </w:pPr>
      <w:r w:rsidRPr="00D02372">
        <w:rPr>
          <w:szCs w:val="22"/>
        </w:rPr>
        <w:t>P</w:t>
      </w:r>
      <w:r w:rsidRPr="00D02372">
        <w:rPr>
          <w:rStyle w:val="abclistChar"/>
          <w:sz w:val="22"/>
          <w:szCs w:val="22"/>
        </w:rPr>
        <w:t>repare an anonymised version of this case for the purpose of staff training, and arrange for the training to take place</w:t>
      </w:r>
    </w:p>
    <w:p w14:paraId="59D80EA3" w14:textId="5EE9DE39" w:rsidR="00D02372" w:rsidRPr="00D02372" w:rsidRDefault="00D02372" w:rsidP="00D52A05">
      <w:pPr>
        <w:pStyle w:val="ListParagraph"/>
        <w:numPr>
          <w:ilvl w:val="0"/>
          <w:numId w:val="41"/>
        </w:numPr>
        <w:spacing w:after="120"/>
        <w:ind w:left="284" w:hanging="284"/>
        <w:rPr>
          <w:szCs w:val="22"/>
        </w:rPr>
      </w:pPr>
      <w:r w:rsidRPr="00D02372">
        <w:rPr>
          <w:rStyle w:val="abclistChar"/>
          <w:sz w:val="22"/>
          <w:szCs w:val="22"/>
        </w:rPr>
        <w:t>Conduct ongoing refresher training</w:t>
      </w:r>
      <w:r w:rsidRPr="00D02372">
        <w:rPr>
          <w:szCs w:val="22"/>
          <w:lang w:val="en-US"/>
        </w:rPr>
        <w:t xml:space="preserve"> for </w:t>
      </w:r>
      <w:r w:rsidR="0008115E">
        <w:rPr>
          <w:szCs w:val="22"/>
          <w:lang w:val="en-US"/>
        </w:rPr>
        <w:t>its</w:t>
      </w:r>
      <w:r w:rsidR="0008115E" w:rsidRPr="00D02372">
        <w:rPr>
          <w:szCs w:val="22"/>
          <w:lang w:val="en-US"/>
        </w:rPr>
        <w:t xml:space="preserve"> </w:t>
      </w:r>
      <w:r w:rsidR="0008115E">
        <w:rPr>
          <w:szCs w:val="22"/>
          <w:lang w:val="en-US"/>
        </w:rPr>
        <w:t>u</w:t>
      </w:r>
      <w:r w:rsidR="0008115E" w:rsidRPr="00D02372">
        <w:rPr>
          <w:szCs w:val="22"/>
          <w:lang w:val="en-US"/>
        </w:rPr>
        <w:t xml:space="preserve">rology </w:t>
      </w:r>
      <w:r w:rsidR="0008115E">
        <w:rPr>
          <w:szCs w:val="22"/>
          <w:lang w:val="en-US"/>
        </w:rPr>
        <w:t>s</w:t>
      </w:r>
      <w:r w:rsidR="0008115E" w:rsidRPr="00D02372">
        <w:rPr>
          <w:szCs w:val="22"/>
          <w:lang w:val="en-US"/>
        </w:rPr>
        <w:t xml:space="preserve">ervice staff </w:t>
      </w:r>
      <w:r w:rsidRPr="00D02372">
        <w:rPr>
          <w:szCs w:val="22"/>
          <w:lang w:val="en-US"/>
        </w:rPr>
        <w:t>with regard to communication and managing conflict between staff and patients and their relatives</w:t>
      </w:r>
    </w:p>
    <w:p w14:paraId="553855AB" w14:textId="2A28277C" w:rsidR="00D02372" w:rsidRPr="00D02372" w:rsidRDefault="00D02372" w:rsidP="00D52A05">
      <w:pPr>
        <w:pStyle w:val="ListParagraph"/>
        <w:numPr>
          <w:ilvl w:val="0"/>
          <w:numId w:val="41"/>
        </w:numPr>
        <w:spacing w:after="120"/>
        <w:ind w:left="284" w:hanging="284"/>
        <w:rPr>
          <w:szCs w:val="22"/>
        </w:rPr>
      </w:pPr>
      <w:r w:rsidRPr="00D02372">
        <w:rPr>
          <w:szCs w:val="22"/>
        </w:rPr>
        <w:t>Consider whether</w:t>
      </w:r>
      <w:r w:rsidRPr="00D02372">
        <w:rPr>
          <w:szCs w:val="22"/>
          <w:lang w:val="en-US"/>
        </w:rPr>
        <w:t xml:space="preserve"> a re-evaluation by a senior nurse of triaging of referrals is required as a precautionary measure</w:t>
      </w:r>
    </w:p>
    <w:p w14:paraId="310EA7F5" w14:textId="70136538" w:rsidR="00D02372" w:rsidRPr="00D02372" w:rsidRDefault="00D02372" w:rsidP="00D52A05">
      <w:pPr>
        <w:pStyle w:val="ListParagraph"/>
        <w:numPr>
          <w:ilvl w:val="0"/>
          <w:numId w:val="41"/>
        </w:numPr>
        <w:spacing w:after="120"/>
        <w:ind w:left="284" w:hanging="284"/>
        <w:rPr>
          <w:szCs w:val="22"/>
        </w:rPr>
      </w:pPr>
      <w:r w:rsidRPr="00D02372">
        <w:rPr>
          <w:szCs w:val="22"/>
          <w:lang w:val="en-US"/>
        </w:rPr>
        <w:t xml:space="preserve">Review the DHB’s </w:t>
      </w:r>
      <w:r w:rsidR="008B11BC">
        <w:rPr>
          <w:szCs w:val="22"/>
          <w:lang w:val="en-US"/>
        </w:rPr>
        <w:t>u</w:t>
      </w:r>
      <w:r w:rsidR="008B11BC" w:rsidRPr="00D02372">
        <w:rPr>
          <w:szCs w:val="22"/>
          <w:lang w:val="en-US"/>
        </w:rPr>
        <w:t xml:space="preserve">rology </w:t>
      </w:r>
      <w:r w:rsidRPr="00D02372">
        <w:rPr>
          <w:szCs w:val="22"/>
          <w:lang w:val="en-US"/>
        </w:rPr>
        <w:t>triaging codes/categories in light of the issues in this report</w:t>
      </w:r>
    </w:p>
    <w:p w14:paraId="7A0FF83F" w14:textId="46405F02" w:rsidR="00D02372" w:rsidRPr="00D02372" w:rsidRDefault="00D02372" w:rsidP="00D52A05">
      <w:pPr>
        <w:pStyle w:val="ListParagraph"/>
        <w:numPr>
          <w:ilvl w:val="0"/>
          <w:numId w:val="41"/>
        </w:numPr>
        <w:spacing w:after="120"/>
        <w:ind w:left="284" w:hanging="284"/>
        <w:rPr>
          <w:szCs w:val="22"/>
        </w:rPr>
      </w:pPr>
      <w:r w:rsidRPr="00D02372">
        <w:rPr>
          <w:szCs w:val="22"/>
        </w:rPr>
        <w:t xml:space="preserve">Conduct an audit of the </w:t>
      </w:r>
      <w:r w:rsidR="008B11BC">
        <w:rPr>
          <w:szCs w:val="22"/>
        </w:rPr>
        <w:t>u</w:t>
      </w:r>
      <w:r w:rsidR="008B11BC" w:rsidRPr="00D02372">
        <w:rPr>
          <w:szCs w:val="22"/>
        </w:rPr>
        <w:t xml:space="preserve">rology </w:t>
      </w:r>
      <w:r w:rsidR="008B11BC">
        <w:rPr>
          <w:szCs w:val="22"/>
        </w:rPr>
        <w:t>s</w:t>
      </w:r>
      <w:r w:rsidR="008B11BC" w:rsidRPr="00D02372">
        <w:rPr>
          <w:szCs w:val="22"/>
        </w:rPr>
        <w:t xml:space="preserve">ervice </w:t>
      </w:r>
      <w:r w:rsidRPr="00D02372">
        <w:rPr>
          <w:szCs w:val="22"/>
        </w:rPr>
        <w:t xml:space="preserve">to identify whether the priority level given to referrals correlates with the test results available at the time of referral </w:t>
      </w:r>
    </w:p>
    <w:p w14:paraId="18C30047" w14:textId="3DA8D0BD" w:rsidR="00D02372" w:rsidRPr="00D02372" w:rsidRDefault="00D02372" w:rsidP="00D52A05">
      <w:pPr>
        <w:pStyle w:val="ListParagraph"/>
        <w:numPr>
          <w:ilvl w:val="0"/>
          <w:numId w:val="41"/>
        </w:numPr>
        <w:spacing w:after="120"/>
        <w:ind w:left="284" w:hanging="284"/>
        <w:rPr>
          <w:szCs w:val="22"/>
        </w:rPr>
      </w:pPr>
      <w:r w:rsidRPr="00D02372">
        <w:rPr>
          <w:szCs w:val="22"/>
        </w:rPr>
        <w:t xml:space="preserve">Incorporate into the triage system the requirement for upper tract radiology to be obtained and reviewed for patients with microhaematuria </w:t>
      </w:r>
    </w:p>
    <w:p w14:paraId="7645FAB5" w14:textId="105CC831" w:rsidR="00D02372" w:rsidRPr="00D02372" w:rsidRDefault="00D02372" w:rsidP="00D52A05">
      <w:pPr>
        <w:pStyle w:val="ListParagraph"/>
        <w:numPr>
          <w:ilvl w:val="0"/>
          <w:numId w:val="41"/>
        </w:numPr>
        <w:spacing w:after="120"/>
        <w:ind w:left="284" w:hanging="284"/>
        <w:rPr>
          <w:szCs w:val="22"/>
        </w:rPr>
      </w:pPr>
      <w:r w:rsidRPr="00D02372">
        <w:rPr>
          <w:szCs w:val="22"/>
          <w:lang w:val="en-US"/>
        </w:rPr>
        <w:t>Develop a policy on the information to be provided to private patients regarding their treatment options</w:t>
      </w:r>
      <w:r w:rsidR="008F01DD">
        <w:rPr>
          <w:szCs w:val="22"/>
          <w:lang w:val="en-US"/>
        </w:rPr>
        <w:t>,</w:t>
      </w:r>
      <w:r w:rsidRPr="00D02372">
        <w:rPr>
          <w:szCs w:val="22"/>
          <w:lang w:val="en-US"/>
        </w:rPr>
        <w:t xml:space="preserve"> and whether their investigations are to be made publicly or privately </w:t>
      </w:r>
    </w:p>
    <w:p w14:paraId="4C403264" w14:textId="732B141B" w:rsidR="00E02E02" w:rsidRDefault="00E02E02"/>
    <w:p w14:paraId="27BD8D20" w14:textId="77777777" w:rsidR="00D02372" w:rsidRDefault="00D02372"/>
    <w:sectPr w:rsidR="00D02372" w:rsidSect="0078382D">
      <w:pgSz w:w="11906" w:h="16838"/>
      <w:pgMar w:top="1134"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83E46" w14:textId="77777777" w:rsidR="00406651" w:rsidRDefault="00406651" w:rsidP="00841E1C">
      <w:r>
        <w:separator/>
      </w:r>
    </w:p>
  </w:endnote>
  <w:endnote w:type="continuationSeparator" w:id="0">
    <w:p w14:paraId="1C2E75E1" w14:textId="77777777" w:rsidR="00406651" w:rsidRDefault="00406651" w:rsidP="0084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16F76" w14:textId="77777777" w:rsidR="00406651" w:rsidRDefault="00406651" w:rsidP="00841E1C">
    <w:pPr>
      <w:pStyle w:val="Footer"/>
      <w:tabs>
        <w:tab w:val="clear" w:pos="4153"/>
        <w:tab w:val="clear" w:pos="8306"/>
        <w:tab w:val="left" w:pos="567"/>
        <w:tab w:val="right" w:pos="9072"/>
      </w:tabs>
      <w:spacing w:before="240"/>
      <w:ind w:left="2160" w:hanging="2160"/>
      <w:jc w:val="center"/>
      <w:rPr>
        <w:szCs w:val="22"/>
      </w:rPr>
    </w:pPr>
    <w:r w:rsidRPr="0073317F">
      <w:rPr>
        <w:szCs w:val="22"/>
      </w:rPr>
      <w:fldChar w:fldCharType="begin"/>
    </w:r>
    <w:r w:rsidRPr="0073317F">
      <w:rPr>
        <w:szCs w:val="22"/>
      </w:rPr>
      <w:instrText xml:space="preserve"> PAGE   \* MERGEFORMAT </w:instrText>
    </w:r>
    <w:r w:rsidRPr="0073317F">
      <w:rPr>
        <w:szCs w:val="22"/>
      </w:rPr>
      <w:fldChar w:fldCharType="separate"/>
    </w:r>
    <w:r>
      <w:rPr>
        <w:noProof/>
        <w:szCs w:val="22"/>
      </w:rPr>
      <w:t>xxii</w:t>
    </w:r>
    <w:r w:rsidRPr="0073317F">
      <w:rPr>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595150"/>
      <w:docPartObj>
        <w:docPartGallery w:val="Page Numbers (Bottom of Page)"/>
        <w:docPartUnique/>
      </w:docPartObj>
    </w:sdtPr>
    <w:sdtEndPr>
      <w:rPr>
        <w:noProof/>
      </w:rPr>
    </w:sdtEndPr>
    <w:sdtContent>
      <w:p w14:paraId="566C4B03" w14:textId="72AD7E1C" w:rsidR="00406651" w:rsidRDefault="00406651">
        <w:pPr>
          <w:pStyle w:val="Footer"/>
          <w:jc w:val="center"/>
        </w:pPr>
        <w:r>
          <w:fldChar w:fldCharType="begin"/>
        </w:r>
        <w:r>
          <w:instrText xml:space="preserve"> PAGE   \* MERGEFORMAT </w:instrText>
        </w:r>
        <w:r>
          <w:fldChar w:fldCharType="separate"/>
        </w:r>
        <w:r w:rsidR="00D76CA3">
          <w:rPr>
            <w:noProof/>
          </w:rPr>
          <w:t>i</w:t>
        </w:r>
        <w:r>
          <w:rPr>
            <w:noProof/>
          </w:rPr>
          <w:fldChar w:fldCharType="end"/>
        </w:r>
      </w:p>
    </w:sdtContent>
  </w:sdt>
  <w:p w14:paraId="7FF26CDF" w14:textId="77777777" w:rsidR="00406651" w:rsidRDefault="004066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A1CE1" w14:textId="77777777" w:rsidR="00406651" w:rsidRDefault="00406651" w:rsidP="00841E1C">
    <w:pPr>
      <w:pStyle w:val="Footer"/>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97076"/>
      <w:docPartObj>
        <w:docPartGallery w:val="Page Numbers (Bottom of Page)"/>
        <w:docPartUnique/>
      </w:docPartObj>
    </w:sdtPr>
    <w:sdtEndPr>
      <w:rPr>
        <w:noProof/>
      </w:rPr>
    </w:sdtEndPr>
    <w:sdtContent>
      <w:p w14:paraId="606DB229" w14:textId="7FA01B9C" w:rsidR="00406651" w:rsidRDefault="00406651">
        <w:pPr>
          <w:pStyle w:val="Footer"/>
          <w:jc w:val="center"/>
        </w:pPr>
        <w:r>
          <w:fldChar w:fldCharType="begin"/>
        </w:r>
        <w:r>
          <w:instrText xml:space="preserve"> PAGE   \* MERGEFORMAT </w:instrText>
        </w:r>
        <w:r>
          <w:fldChar w:fldCharType="separate"/>
        </w:r>
        <w:r w:rsidR="00D76CA3">
          <w:rPr>
            <w:noProof/>
          </w:rPr>
          <w:t>21</w:t>
        </w:r>
        <w:r>
          <w:rPr>
            <w:noProof/>
          </w:rPr>
          <w:fldChar w:fldCharType="end"/>
        </w:r>
      </w:p>
    </w:sdtContent>
  </w:sdt>
  <w:p w14:paraId="6B58C0EF" w14:textId="77777777" w:rsidR="00406651" w:rsidRDefault="00406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4DBE6" w14:textId="77777777" w:rsidR="00406651" w:rsidRDefault="00406651" w:rsidP="00841E1C">
      <w:r>
        <w:separator/>
      </w:r>
    </w:p>
  </w:footnote>
  <w:footnote w:type="continuationSeparator" w:id="0">
    <w:p w14:paraId="2BF9D905" w14:textId="77777777" w:rsidR="00406651" w:rsidRDefault="00406651" w:rsidP="00841E1C">
      <w:r>
        <w:continuationSeparator/>
      </w:r>
    </w:p>
  </w:footnote>
  <w:footnote w:id="1">
    <w:p w14:paraId="07A16B4B" w14:textId="498C58A0" w:rsidR="00406651" w:rsidRDefault="00406651" w:rsidP="00841E1C">
      <w:pPr>
        <w:pStyle w:val="FootnoteText"/>
        <w:rPr>
          <w:lang w:val="en-US"/>
        </w:rPr>
      </w:pPr>
      <w:r w:rsidRPr="003E5338">
        <w:rPr>
          <w:rStyle w:val="FootnoteReference"/>
        </w:rPr>
        <w:footnoteRef/>
      </w:r>
      <w:r>
        <w:t xml:space="preserve"> </w:t>
      </w:r>
      <w:r>
        <w:rPr>
          <w:lang w:val="en-US"/>
        </w:rPr>
        <w:t>Provisional as of date of extraction (3 August 2020).</w:t>
      </w:r>
    </w:p>
  </w:footnote>
  <w:footnote w:id="2">
    <w:p w14:paraId="7A71220D" w14:textId="6409FCF4" w:rsidR="00406651" w:rsidRDefault="00406651" w:rsidP="008B1AF7">
      <w:pPr>
        <w:pStyle w:val="FootnoteText"/>
      </w:pPr>
      <w:r>
        <w:rPr>
          <w:rStyle w:val="FootnoteReference"/>
        </w:rPr>
        <w:footnoteRef/>
      </w:r>
      <w:r>
        <w:t xml:space="preserve"> </w:t>
      </w:r>
      <w:r>
        <w:rPr>
          <w:lang w:eastAsia="en-NZ" w:bidi="ar-SA"/>
        </w:rPr>
        <w:t>The rate for Jul</w:t>
      </w:r>
      <w:r>
        <w:rPr>
          <w:rFonts w:ascii="Calibri" w:hAnsi="Calibri"/>
          <w:lang w:eastAsia="en-NZ" w:bidi="ar-SA"/>
        </w:rPr>
        <w:t>–</w:t>
      </w:r>
      <w:r>
        <w:rPr>
          <w:lang w:eastAsia="en-NZ" w:bidi="ar-SA"/>
        </w:rPr>
        <w:t>Dec 2019 has been recalculated based on the most recent discharge data.</w:t>
      </w:r>
    </w:p>
  </w:footnote>
  <w:footnote w:id="3">
    <w:p w14:paraId="569DC827" w14:textId="77777777" w:rsidR="00406651" w:rsidRDefault="00406651" w:rsidP="00841E1C">
      <w:pPr>
        <w:pStyle w:val="FootnoteText"/>
        <w:rPr>
          <w:lang w:val="en-US"/>
        </w:rPr>
      </w:pPr>
      <w:r w:rsidRPr="003E5338">
        <w:rPr>
          <w:rStyle w:val="FootnoteReference"/>
        </w:rPr>
        <w:footnoteRef/>
      </w:r>
      <w:r>
        <w:t xml:space="preserve"> </w:t>
      </w:r>
      <w:r>
        <w:rPr>
          <w:lang w:val="en-US"/>
        </w:rPr>
        <w:t>Please note that some complaints will involve more than one DHB, and therefore the total number of complaints received for each DHB will be larger than the number of complaints received about care provided by DHBs.</w:t>
      </w:r>
    </w:p>
  </w:footnote>
  <w:footnote w:id="4">
    <w:p w14:paraId="7E146AF0" w14:textId="77777777" w:rsidR="00406651" w:rsidRDefault="00406651" w:rsidP="0078382D">
      <w:pPr>
        <w:pStyle w:val="FootnoteText"/>
      </w:pPr>
      <w:r w:rsidRPr="003E5338">
        <w:rPr>
          <w:rStyle w:val="FootnoteReference"/>
        </w:rPr>
        <w:footnoteRef/>
      </w:r>
      <w:r>
        <w:t xml:space="preserve"> Note that complaints may be received in one six-month period and closed in another six-month period </w:t>
      </w:r>
      <w:r>
        <w:rPr>
          <w:rFonts w:ascii="Calibri" w:hAnsi="Calibri"/>
        </w:rPr>
        <w:t>—</w:t>
      </w:r>
      <w:r>
        <w:t xml:space="preserve"> therefore, the number of complaints received will not correlate with the number of complaints closed. </w:t>
      </w:r>
    </w:p>
  </w:footnote>
  <w:footnote w:id="5">
    <w:p w14:paraId="706BB9A4" w14:textId="77777777" w:rsidR="00406651" w:rsidRDefault="00406651" w:rsidP="00555018">
      <w:pPr>
        <w:pStyle w:val="FootnoteText"/>
      </w:pPr>
      <w:r w:rsidRPr="003E5338">
        <w:rPr>
          <w:rStyle w:val="FootnoteReference"/>
        </w:rPr>
        <w:footnoteRef/>
      </w:r>
      <w:r>
        <w:t xml:space="preserve"> Note that outcomes are displayed in descending order. If there is more than one outcome for a DHB upon resolution of a complaint, then only the outcome that is listed highest in the table is included.</w:t>
      </w:r>
    </w:p>
    <w:p w14:paraId="6FBDC063" w14:textId="77777777" w:rsidR="00406651" w:rsidRDefault="00406651" w:rsidP="00555018">
      <w:pPr>
        <w:pStyle w:val="FootnoteText"/>
      </w:pPr>
    </w:p>
  </w:footnote>
  <w:footnote w:id="6">
    <w:p w14:paraId="1E10CD2F" w14:textId="3836F109" w:rsidR="00406651" w:rsidRPr="00F666F0" w:rsidRDefault="00406651">
      <w:pPr>
        <w:pStyle w:val="FootnoteText"/>
        <w:rPr>
          <w:lang w:val="en-US"/>
        </w:rPr>
      </w:pPr>
      <w:r>
        <w:rPr>
          <w:rStyle w:val="FootnoteReference"/>
        </w:rPr>
        <w:footnoteRef/>
      </w:r>
      <w:r>
        <w:t xml:space="preserve"> Case </w:t>
      </w:r>
      <w:r w:rsidRPr="00DB65DD">
        <w:t>17HDC00296</w:t>
      </w:r>
      <w:r>
        <w:t>.</w:t>
      </w:r>
    </w:p>
  </w:footnote>
  <w:footnote w:id="7">
    <w:p w14:paraId="09B31EB0" w14:textId="05781286" w:rsidR="00406651" w:rsidRPr="00F666F0" w:rsidRDefault="00406651" w:rsidP="00F666F0">
      <w:pPr>
        <w:pStyle w:val="FootnoteText"/>
        <w:rPr>
          <w:lang w:val="en-US"/>
        </w:rPr>
      </w:pPr>
      <w:r w:rsidRPr="00F666F0">
        <w:rPr>
          <w:rStyle w:val="FootnoteReference"/>
        </w:rPr>
        <w:footnoteRef/>
      </w:r>
      <w:r w:rsidRPr="00F666F0">
        <w:t xml:space="preserve"> </w:t>
      </w:r>
      <w:r>
        <w:t xml:space="preserve">Case </w:t>
      </w:r>
      <w:r w:rsidRPr="00F666F0">
        <w:t>19HDC00851</w:t>
      </w:r>
      <w:r>
        <w:t>.</w:t>
      </w:r>
    </w:p>
  </w:footnote>
  <w:footnote w:id="8">
    <w:p w14:paraId="62DDA159" w14:textId="39D8C826" w:rsidR="00406651" w:rsidRPr="006C4735" w:rsidRDefault="00406651" w:rsidP="006C4735">
      <w:pPr>
        <w:pStyle w:val="FootnoteText"/>
        <w:rPr>
          <w:lang w:val="en-US"/>
        </w:rPr>
      </w:pPr>
      <w:r w:rsidRPr="006C4735">
        <w:rPr>
          <w:rStyle w:val="FootnoteReference"/>
        </w:rPr>
        <w:footnoteRef/>
      </w:r>
      <w:r w:rsidRPr="006C4735">
        <w:t xml:space="preserve"> </w:t>
      </w:r>
      <w:r>
        <w:t xml:space="preserve">Case </w:t>
      </w:r>
      <w:r w:rsidRPr="006C4735">
        <w:t>18HDC00131</w:t>
      </w:r>
      <w:r>
        <w:t>.</w:t>
      </w:r>
    </w:p>
  </w:footnote>
  <w:footnote w:id="9">
    <w:p w14:paraId="465D48BD" w14:textId="37C03AC9" w:rsidR="00406651" w:rsidRPr="006C4735" w:rsidRDefault="00406651" w:rsidP="006C4735">
      <w:pPr>
        <w:pStyle w:val="FootnoteText"/>
        <w:rPr>
          <w:lang w:val="en-US"/>
        </w:rPr>
      </w:pPr>
      <w:r w:rsidRPr="006C4735">
        <w:rPr>
          <w:rStyle w:val="FootnoteReference"/>
        </w:rPr>
        <w:footnoteRef/>
      </w:r>
      <w:r w:rsidRPr="006C4735">
        <w:t xml:space="preserve"> </w:t>
      </w:r>
      <w:r>
        <w:t xml:space="preserve">Case </w:t>
      </w:r>
      <w:r w:rsidRPr="006C4735">
        <w:t>17HDC02166</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19541" w14:textId="77777777" w:rsidR="00406651" w:rsidRDefault="004066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7115D"/>
    <w:multiLevelType w:val="hybridMultilevel"/>
    <w:tmpl w:val="AB206D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9F8104F"/>
    <w:multiLevelType w:val="hybridMultilevel"/>
    <w:tmpl w:val="C1A8F0D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0BCD733C"/>
    <w:multiLevelType w:val="hybridMultilevel"/>
    <w:tmpl w:val="332C87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D873577"/>
    <w:multiLevelType w:val="hybridMultilevel"/>
    <w:tmpl w:val="8DF43D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1">
    <w:nsid w:val="0F1B2BBB"/>
    <w:multiLevelType w:val="hybridMultilevel"/>
    <w:tmpl w:val="67AA3F36"/>
    <w:lvl w:ilvl="0" w:tplc="BDE4577E">
      <w:start w:val="1"/>
      <w:numFmt w:val="decimal"/>
      <w:lvlText w:val="%1."/>
      <w:lvlJc w:val="left"/>
      <w:pPr>
        <w:ind w:left="2629" w:hanging="360"/>
      </w:pPr>
      <w:rPr>
        <w:sz w:val="16"/>
        <w:szCs w:val="16"/>
      </w:rPr>
    </w:lvl>
    <w:lvl w:ilvl="1" w:tplc="5888E892">
      <w:start w:val="1"/>
      <w:numFmt w:val="lowerLetter"/>
      <w:lvlText w:val="%2)"/>
      <w:lvlJc w:val="left"/>
      <w:pPr>
        <w:ind w:left="1140" w:hanging="420"/>
      </w:pPr>
      <w:rPr>
        <w:rFonts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0FC80E2E"/>
    <w:multiLevelType w:val="hybridMultilevel"/>
    <w:tmpl w:val="3AA8BD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1772E84"/>
    <w:multiLevelType w:val="hybridMultilevel"/>
    <w:tmpl w:val="8B3870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28D5408"/>
    <w:multiLevelType w:val="hybridMultilevel"/>
    <w:tmpl w:val="0E7A9ECA"/>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4873AF9"/>
    <w:multiLevelType w:val="hybridMultilevel"/>
    <w:tmpl w:val="1452DC7E"/>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14B8152E"/>
    <w:multiLevelType w:val="hybridMultilevel"/>
    <w:tmpl w:val="40847702"/>
    <w:lvl w:ilvl="0" w:tplc="174C0F20">
      <w:start w:val="1"/>
      <w:numFmt w:val="bullet"/>
      <w:pStyle w:val="Bulletlist"/>
      <w:lvlText w:val=""/>
      <w:lvlJc w:val="left"/>
      <w:pPr>
        <w:ind w:left="720" w:hanging="360"/>
      </w:pPr>
      <w:rPr>
        <w:rFonts w:ascii="Symbol" w:hAnsi="Symbol" w:hint="default"/>
        <w:sz w:val="24"/>
        <w:szCs w:val="24"/>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14E12B8A"/>
    <w:multiLevelType w:val="hybridMultilevel"/>
    <w:tmpl w:val="2640DA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6AF7110"/>
    <w:multiLevelType w:val="hybridMultilevel"/>
    <w:tmpl w:val="345AACD8"/>
    <w:lvl w:ilvl="0" w:tplc="86A4E0E4">
      <w:numFmt w:val="bullet"/>
      <w:lvlText w:val="-"/>
      <w:lvlJc w:val="left"/>
      <w:pPr>
        <w:ind w:left="1080" w:hanging="360"/>
      </w:pPr>
      <w:rPr>
        <w:rFonts w:ascii="Calibri" w:eastAsia="Times New Roman"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17931DEB"/>
    <w:multiLevelType w:val="hybridMultilevel"/>
    <w:tmpl w:val="EB5EF2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166038E"/>
    <w:multiLevelType w:val="hybridMultilevel"/>
    <w:tmpl w:val="2714AE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19D2B07"/>
    <w:multiLevelType w:val="hybridMultilevel"/>
    <w:tmpl w:val="A7981D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420157C"/>
    <w:multiLevelType w:val="hybridMultilevel"/>
    <w:tmpl w:val="CBE0F35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15:restartNumberingAfterBreak="0">
    <w:nsid w:val="25527F2C"/>
    <w:multiLevelType w:val="hybridMultilevel"/>
    <w:tmpl w:val="01CC29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87D05C1"/>
    <w:multiLevelType w:val="hybridMultilevel"/>
    <w:tmpl w:val="C344A93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15:restartNumberingAfterBreak="0">
    <w:nsid w:val="2B8F39F4"/>
    <w:multiLevelType w:val="hybridMultilevel"/>
    <w:tmpl w:val="F92491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F8B2376"/>
    <w:multiLevelType w:val="hybridMultilevel"/>
    <w:tmpl w:val="63A88D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FE81E14"/>
    <w:multiLevelType w:val="hybridMultilevel"/>
    <w:tmpl w:val="F8742488"/>
    <w:lvl w:ilvl="0" w:tplc="14090001">
      <w:start w:val="1"/>
      <w:numFmt w:val="bullet"/>
      <w:pStyle w:val="abclis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21" w15:restartNumberingAfterBreak="0">
    <w:nsid w:val="310F4724"/>
    <w:multiLevelType w:val="hybridMultilevel"/>
    <w:tmpl w:val="01486556"/>
    <w:lvl w:ilvl="0" w:tplc="33FE280E">
      <w:start w:val="1"/>
      <w:numFmt w:val="lowerLetter"/>
      <w:pStyle w:val="Recommendationfinalpoint"/>
      <w:lvlText w:val="%1)"/>
      <w:lvlJc w:val="left"/>
      <w:pPr>
        <w:tabs>
          <w:tab w:val="num" w:pos="360"/>
        </w:tabs>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6A17209"/>
    <w:multiLevelType w:val="hybridMultilevel"/>
    <w:tmpl w:val="2696A5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8AC6FFF"/>
    <w:multiLevelType w:val="hybridMultilevel"/>
    <w:tmpl w:val="AE6AA5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F2C306B"/>
    <w:multiLevelType w:val="hybridMultilevel"/>
    <w:tmpl w:val="12F0E210"/>
    <w:lvl w:ilvl="0" w:tplc="2B7208C8">
      <w:start w:val="1"/>
      <w:numFmt w:val="bullet"/>
      <w:pStyle w:val="Bulletitalfinal"/>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21B5975"/>
    <w:multiLevelType w:val="hybridMultilevel"/>
    <w:tmpl w:val="6BFE6A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2AA4248"/>
    <w:multiLevelType w:val="hybridMultilevel"/>
    <w:tmpl w:val="EAFA25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4464542"/>
    <w:multiLevelType w:val="hybridMultilevel"/>
    <w:tmpl w:val="8084B9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4615289"/>
    <w:multiLevelType w:val="hybridMultilevel"/>
    <w:tmpl w:val="190E7A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9" w15:restartNumberingAfterBreak="0">
    <w:nsid w:val="589D58AD"/>
    <w:multiLevelType w:val="hybridMultilevel"/>
    <w:tmpl w:val="792E36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A0003E4"/>
    <w:multiLevelType w:val="hybridMultilevel"/>
    <w:tmpl w:val="C980C0B4"/>
    <w:lvl w:ilvl="0" w:tplc="14090001">
      <w:start w:val="1"/>
      <w:numFmt w:val="bullet"/>
      <w:lvlText w:val=""/>
      <w:lvlJc w:val="left"/>
      <w:pPr>
        <w:ind w:left="360" w:hanging="360"/>
      </w:pPr>
      <w:rPr>
        <w:rFonts w:ascii="Symbol" w:hAnsi="Symbol"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1" w15:restartNumberingAfterBreak="0">
    <w:nsid w:val="5C01536D"/>
    <w:multiLevelType w:val="hybridMultilevel"/>
    <w:tmpl w:val="BEBCC2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0683645"/>
    <w:multiLevelType w:val="hybridMultilevel"/>
    <w:tmpl w:val="4806633E"/>
    <w:lvl w:ilvl="0" w:tplc="14090017">
      <w:start w:val="1"/>
      <w:numFmt w:val="lowerLetter"/>
      <w:lvlText w:val="%1)"/>
      <w:lvlJc w:val="left"/>
      <w:pPr>
        <w:ind w:left="720" w:hanging="360"/>
      </w:pPr>
      <w:rPr>
        <w:b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62C901F3"/>
    <w:multiLevelType w:val="hybridMultilevel"/>
    <w:tmpl w:val="0D1681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6163697"/>
    <w:multiLevelType w:val="hybridMultilevel"/>
    <w:tmpl w:val="6652D10A"/>
    <w:lvl w:ilvl="0" w:tplc="3C6E9CCA">
      <w:start w:val="1"/>
      <w:numFmt w:val="lowerLetter"/>
      <w:lvlText w:val="%1)"/>
      <w:lvlJc w:val="left"/>
      <w:pPr>
        <w:ind w:left="1500" w:hanging="78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5" w15:restartNumberingAfterBreak="0">
    <w:nsid w:val="6E8252DF"/>
    <w:multiLevelType w:val="hybridMultilevel"/>
    <w:tmpl w:val="E99457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3EE45F9"/>
    <w:multiLevelType w:val="hybridMultilevel"/>
    <w:tmpl w:val="E79E1568"/>
    <w:lvl w:ilvl="0" w:tplc="A656DF28">
      <w:start w:val="1"/>
      <w:numFmt w:val="decimal"/>
      <w:lvlText w:val="%1."/>
      <w:lvlJc w:val="left"/>
      <w:pPr>
        <w:ind w:left="360" w:hanging="360"/>
      </w:pPr>
      <w:rPr>
        <w:i w:val="0"/>
        <w:sz w:val="16"/>
        <w:szCs w:val="16"/>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37" w15:restartNumberingAfterBreak="0">
    <w:nsid w:val="77764A81"/>
    <w:multiLevelType w:val="hybridMultilevel"/>
    <w:tmpl w:val="1B8C0C9A"/>
    <w:lvl w:ilvl="0" w:tplc="86A4E0E4">
      <w:numFmt w:val="bullet"/>
      <w:lvlText w:val="-"/>
      <w:lvlJc w:val="left"/>
      <w:pPr>
        <w:ind w:left="108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AB70464"/>
    <w:multiLevelType w:val="hybridMultilevel"/>
    <w:tmpl w:val="2BD4F1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BE316F6"/>
    <w:multiLevelType w:val="hybridMultilevel"/>
    <w:tmpl w:val="FD38D0CA"/>
    <w:lvl w:ilvl="0" w:tplc="E2322348">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F66433D"/>
    <w:multiLevelType w:val="hybridMultilevel"/>
    <w:tmpl w:val="5FA472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10"/>
  </w:num>
  <w:num w:numId="4">
    <w:abstractNumId w:val="31"/>
  </w:num>
  <w:num w:numId="5">
    <w:abstractNumId w:val="33"/>
  </w:num>
  <w:num w:numId="6">
    <w:abstractNumId w:val="27"/>
  </w:num>
  <w:num w:numId="7">
    <w:abstractNumId w:val="12"/>
  </w:num>
  <w:num w:numId="8">
    <w:abstractNumId w:val="18"/>
  </w:num>
  <w:num w:numId="9">
    <w:abstractNumId w:val="24"/>
  </w:num>
  <w:num w:numId="10">
    <w:abstractNumId w:val="5"/>
  </w:num>
  <w:num w:numId="11">
    <w:abstractNumId w:val="13"/>
  </w:num>
  <w:num w:numId="12">
    <w:abstractNumId w:val="26"/>
  </w:num>
  <w:num w:numId="13">
    <w:abstractNumId w:val="3"/>
  </w:num>
  <w:num w:numId="14">
    <w:abstractNumId w:val="0"/>
  </w:num>
  <w:num w:numId="15">
    <w:abstractNumId w:val="40"/>
  </w:num>
  <w:num w:numId="16">
    <w:abstractNumId w:val="25"/>
  </w:num>
  <w:num w:numId="17">
    <w:abstractNumId w:val="36"/>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7"/>
  </w:num>
  <w:num w:numId="23">
    <w:abstractNumId w:val="1"/>
  </w:num>
  <w:num w:numId="24">
    <w:abstractNumId w:val="15"/>
  </w:num>
  <w:num w:numId="25">
    <w:abstractNumId w:val="28"/>
  </w:num>
  <w:num w:numId="26">
    <w:abstractNumId w:val="8"/>
  </w:num>
  <w:num w:numId="27">
    <w:abstractNumId w:val="30"/>
  </w:num>
  <w:num w:numId="28">
    <w:abstractNumId w:val="35"/>
  </w:num>
  <w:num w:numId="29">
    <w:abstractNumId w:val="23"/>
  </w:num>
  <w:num w:numId="30">
    <w:abstractNumId w:val="22"/>
  </w:num>
  <w:num w:numId="31">
    <w:abstractNumId w:val="4"/>
  </w:num>
  <w:num w:numId="32">
    <w:abstractNumId w:val="7"/>
  </w:num>
  <w:num w:numId="33">
    <w:abstractNumId w:val="19"/>
  </w:num>
  <w:num w:numId="34">
    <w:abstractNumId w:val="11"/>
  </w:num>
  <w:num w:numId="35">
    <w:abstractNumId w:val="29"/>
  </w:num>
  <w:num w:numId="36">
    <w:abstractNumId w:val="37"/>
  </w:num>
  <w:num w:numId="37">
    <w:abstractNumId w:val="16"/>
  </w:num>
  <w:num w:numId="38">
    <w:abstractNumId w:val="32"/>
  </w:num>
  <w:num w:numId="39">
    <w:abstractNumId w:val="2"/>
  </w:num>
  <w:num w:numId="40">
    <w:abstractNumId w:val="34"/>
  </w:num>
  <w:num w:numId="41">
    <w:abstractNumId w:val="14"/>
  </w:num>
  <w:num w:numId="42">
    <w:abstractNumId w:val="39"/>
  </w:num>
  <w:num w:numId="43">
    <w:abstractNumId w:val="38"/>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E1C"/>
    <w:rsid w:val="00005B1C"/>
    <w:rsid w:val="00012CBB"/>
    <w:rsid w:val="0001347E"/>
    <w:rsid w:val="000153C6"/>
    <w:rsid w:val="00020C01"/>
    <w:rsid w:val="0008115E"/>
    <w:rsid w:val="00091893"/>
    <w:rsid w:val="00091B1A"/>
    <w:rsid w:val="000A6DED"/>
    <w:rsid w:val="000B5E05"/>
    <w:rsid w:val="000C2A30"/>
    <w:rsid w:val="000D5357"/>
    <w:rsid w:val="000D620F"/>
    <w:rsid w:val="000E7FDB"/>
    <w:rsid w:val="00102E22"/>
    <w:rsid w:val="00104FC9"/>
    <w:rsid w:val="00122583"/>
    <w:rsid w:val="00130B4D"/>
    <w:rsid w:val="001423D2"/>
    <w:rsid w:val="00144EF1"/>
    <w:rsid w:val="001619B8"/>
    <w:rsid w:val="00165F89"/>
    <w:rsid w:val="0017126E"/>
    <w:rsid w:val="00184CD4"/>
    <w:rsid w:val="001918F5"/>
    <w:rsid w:val="001965C1"/>
    <w:rsid w:val="001A2DD8"/>
    <w:rsid w:val="001B4589"/>
    <w:rsid w:val="001C3941"/>
    <w:rsid w:val="001C682B"/>
    <w:rsid w:val="001F1407"/>
    <w:rsid w:val="001F7DC9"/>
    <w:rsid w:val="002111FB"/>
    <w:rsid w:val="0024163A"/>
    <w:rsid w:val="002538E2"/>
    <w:rsid w:val="00270C50"/>
    <w:rsid w:val="00281A03"/>
    <w:rsid w:val="002A117D"/>
    <w:rsid w:val="002B345D"/>
    <w:rsid w:val="002C7890"/>
    <w:rsid w:val="002D7A73"/>
    <w:rsid w:val="00307654"/>
    <w:rsid w:val="00320F70"/>
    <w:rsid w:val="00333858"/>
    <w:rsid w:val="00337477"/>
    <w:rsid w:val="003412FC"/>
    <w:rsid w:val="00342166"/>
    <w:rsid w:val="00344BA1"/>
    <w:rsid w:val="003451E7"/>
    <w:rsid w:val="00357609"/>
    <w:rsid w:val="00361C8D"/>
    <w:rsid w:val="00362B4D"/>
    <w:rsid w:val="00381D9F"/>
    <w:rsid w:val="0039129E"/>
    <w:rsid w:val="003A6FD3"/>
    <w:rsid w:val="003C3F06"/>
    <w:rsid w:val="003D1DF9"/>
    <w:rsid w:val="003E5338"/>
    <w:rsid w:val="00404073"/>
    <w:rsid w:val="004040D2"/>
    <w:rsid w:val="00406651"/>
    <w:rsid w:val="00417404"/>
    <w:rsid w:val="00425B4F"/>
    <w:rsid w:val="0043728B"/>
    <w:rsid w:val="00470EF6"/>
    <w:rsid w:val="00492E7E"/>
    <w:rsid w:val="004C0176"/>
    <w:rsid w:val="004C6D7F"/>
    <w:rsid w:val="004E22F0"/>
    <w:rsid w:val="004F61AA"/>
    <w:rsid w:val="004F7501"/>
    <w:rsid w:val="00502178"/>
    <w:rsid w:val="0050415E"/>
    <w:rsid w:val="005041D2"/>
    <w:rsid w:val="0050633F"/>
    <w:rsid w:val="0051327A"/>
    <w:rsid w:val="00520021"/>
    <w:rsid w:val="00533DD7"/>
    <w:rsid w:val="00552AE7"/>
    <w:rsid w:val="00555018"/>
    <w:rsid w:val="00556413"/>
    <w:rsid w:val="005640BD"/>
    <w:rsid w:val="00580D20"/>
    <w:rsid w:val="00591D29"/>
    <w:rsid w:val="005A4245"/>
    <w:rsid w:val="005A62C7"/>
    <w:rsid w:val="005B42C0"/>
    <w:rsid w:val="005B76E4"/>
    <w:rsid w:val="005E49D5"/>
    <w:rsid w:val="005F0555"/>
    <w:rsid w:val="00601B37"/>
    <w:rsid w:val="00611D40"/>
    <w:rsid w:val="00613DE1"/>
    <w:rsid w:val="006227F6"/>
    <w:rsid w:val="00636882"/>
    <w:rsid w:val="00642267"/>
    <w:rsid w:val="00650072"/>
    <w:rsid w:val="00670245"/>
    <w:rsid w:val="00681BC2"/>
    <w:rsid w:val="00693A6C"/>
    <w:rsid w:val="006A0C1F"/>
    <w:rsid w:val="006A440C"/>
    <w:rsid w:val="006A7AED"/>
    <w:rsid w:val="006B1AAE"/>
    <w:rsid w:val="006B24DB"/>
    <w:rsid w:val="006C4735"/>
    <w:rsid w:val="006D0558"/>
    <w:rsid w:val="006D765D"/>
    <w:rsid w:val="006F0637"/>
    <w:rsid w:val="006F6275"/>
    <w:rsid w:val="006F7F6E"/>
    <w:rsid w:val="00717512"/>
    <w:rsid w:val="00730FE5"/>
    <w:rsid w:val="00744152"/>
    <w:rsid w:val="00752BDE"/>
    <w:rsid w:val="0078382D"/>
    <w:rsid w:val="007B04F2"/>
    <w:rsid w:val="007B09E9"/>
    <w:rsid w:val="007B4171"/>
    <w:rsid w:val="007C19CB"/>
    <w:rsid w:val="007C4F33"/>
    <w:rsid w:val="007E3238"/>
    <w:rsid w:val="007E6810"/>
    <w:rsid w:val="007F3BA5"/>
    <w:rsid w:val="007F3D48"/>
    <w:rsid w:val="0080255D"/>
    <w:rsid w:val="00813848"/>
    <w:rsid w:val="00817C2F"/>
    <w:rsid w:val="008229D3"/>
    <w:rsid w:val="008263BB"/>
    <w:rsid w:val="00833240"/>
    <w:rsid w:val="00841E1C"/>
    <w:rsid w:val="0086165A"/>
    <w:rsid w:val="00881270"/>
    <w:rsid w:val="008845AA"/>
    <w:rsid w:val="00897797"/>
    <w:rsid w:val="008B11BC"/>
    <w:rsid w:val="008B1AF7"/>
    <w:rsid w:val="008B3438"/>
    <w:rsid w:val="008C3C3D"/>
    <w:rsid w:val="008D4C0D"/>
    <w:rsid w:val="008F01DD"/>
    <w:rsid w:val="008F797F"/>
    <w:rsid w:val="00901A55"/>
    <w:rsid w:val="00901F8B"/>
    <w:rsid w:val="009070AC"/>
    <w:rsid w:val="00907B28"/>
    <w:rsid w:val="00934DBE"/>
    <w:rsid w:val="00945AF6"/>
    <w:rsid w:val="009646C0"/>
    <w:rsid w:val="00997CEC"/>
    <w:rsid w:val="009A5633"/>
    <w:rsid w:val="009B77B8"/>
    <w:rsid w:val="009C3D37"/>
    <w:rsid w:val="009D66A9"/>
    <w:rsid w:val="009E7169"/>
    <w:rsid w:val="009F42AE"/>
    <w:rsid w:val="00A06105"/>
    <w:rsid w:val="00A10773"/>
    <w:rsid w:val="00A16504"/>
    <w:rsid w:val="00A24E83"/>
    <w:rsid w:val="00A25C1A"/>
    <w:rsid w:val="00A4472F"/>
    <w:rsid w:val="00A6153A"/>
    <w:rsid w:val="00A65512"/>
    <w:rsid w:val="00A736E1"/>
    <w:rsid w:val="00A836D6"/>
    <w:rsid w:val="00A9576A"/>
    <w:rsid w:val="00A96DAD"/>
    <w:rsid w:val="00AC196B"/>
    <w:rsid w:val="00AC554E"/>
    <w:rsid w:val="00AE253F"/>
    <w:rsid w:val="00AE6779"/>
    <w:rsid w:val="00AF65A5"/>
    <w:rsid w:val="00B01533"/>
    <w:rsid w:val="00B14792"/>
    <w:rsid w:val="00B20293"/>
    <w:rsid w:val="00B273EE"/>
    <w:rsid w:val="00B47FE1"/>
    <w:rsid w:val="00B51DED"/>
    <w:rsid w:val="00B65A35"/>
    <w:rsid w:val="00B800C1"/>
    <w:rsid w:val="00B9645D"/>
    <w:rsid w:val="00BA0E01"/>
    <w:rsid w:val="00BB20D1"/>
    <w:rsid w:val="00BE48B8"/>
    <w:rsid w:val="00C14A6A"/>
    <w:rsid w:val="00C30F89"/>
    <w:rsid w:val="00C900D0"/>
    <w:rsid w:val="00C94319"/>
    <w:rsid w:val="00C95743"/>
    <w:rsid w:val="00CA0F71"/>
    <w:rsid w:val="00CA224F"/>
    <w:rsid w:val="00CA42A7"/>
    <w:rsid w:val="00CA7ABF"/>
    <w:rsid w:val="00CB68EA"/>
    <w:rsid w:val="00CC0F87"/>
    <w:rsid w:val="00CC4CBB"/>
    <w:rsid w:val="00CD4D07"/>
    <w:rsid w:val="00CE4940"/>
    <w:rsid w:val="00CE7765"/>
    <w:rsid w:val="00CF0053"/>
    <w:rsid w:val="00CF2589"/>
    <w:rsid w:val="00CF6D9B"/>
    <w:rsid w:val="00D01CE1"/>
    <w:rsid w:val="00D02372"/>
    <w:rsid w:val="00D20145"/>
    <w:rsid w:val="00D21AD4"/>
    <w:rsid w:val="00D3626E"/>
    <w:rsid w:val="00D403E6"/>
    <w:rsid w:val="00D43881"/>
    <w:rsid w:val="00D52A05"/>
    <w:rsid w:val="00D56B74"/>
    <w:rsid w:val="00D76C05"/>
    <w:rsid w:val="00D76CA3"/>
    <w:rsid w:val="00D8776B"/>
    <w:rsid w:val="00D9753A"/>
    <w:rsid w:val="00DA1A29"/>
    <w:rsid w:val="00DA5B8D"/>
    <w:rsid w:val="00DB65DD"/>
    <w:rsid w:val="00DD3904"/>
    <w:rsid w:val="00DE03A0"/>
    <w:rsid w:val="00E02E02"/>
    <w:rsid w:val="00E07919"/>
    <w:rsid w:val="00E10828"/>
    <w:rsid w:val="00E14609"/>
    <w:rsid w:val="00E217F6"/>
    <w:rsid w:val="00E4023D"/>
    <w:rsid w:val="00E463C2"/>
    <w:rsid w:val="00E541CF"/>
    <w:rsid w:val="00E6143A"/>
    <w:rsid w:val="00E64352"/>
    <w:rsid w:val="00E7059B"/>
    <w:rsid w:val="00E71377"/>
    <w:rsid w:val="00E7573B"/>
    <w:rsid w:val="00E9355D"/>
    <w:rsid w:val="00E966CD"/>
    <w:rsid w:val="00EC04B3"/>
    <w:rsid w:val="00ED61D6"/>
    <w:rsid w:val="00ED7A15"/>
    <w:rsid w:val="00EE6433"/>
    <w:rsid w:val="00EF6752"/>
    <w:rsid w:val="00F13FBA"/>
    <w:rsid w:val="00F24AEF"/>
    <w:rsid w:val="00F43282"/>
    <w:rsid w:val="00F4389E"/>
    <w:rsid w:val="00F6375D"/>
    <w:rsid w:val="00F666F0"/>
    <w:rsid w:val="00F726AA"/>
    <w:rsid w:val="00F87636"/>
    <w:rsid w:val="00F90C47"/>
    <w:rsid w:val="00FA29FF"/>
    <w:rsid w:val="00FA3618"/>
    <w:rsid w:val="00FC113C"/>
    <w:rsid w:val="00FF28FD"/>
    <w:rsid w:val="00FF42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DB1850"/>
  <w15:chartTrackingRefBased/>
  <w15:docId w15:val="{2FF4A938-6DA4-4F08-90CF-C9C515BFD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E1C"/>
    <w:pPr>
      <w:spacing w:after="0" w:line="240" w:lineRule="auto"/>
      <w:jc w:val="both"/>
    </w:pPr>
    <w:rPr>
      <w:rFonts w:eastAsia="Times New Roman" w:cs="Times New Roman"/>
      <w:szCs w:val="24"/>
      <w:lang w:bidi="he-IL"/>
    </w:rPr>
  </w:style>
  <w:style w:type="paragraph" w:styleId="Heading1">
    <w:name w:val="heading 1"/>
    <w:basedOn w:val="Normal"/>
    <w:next w:val="Normal"/>
    <w:link w:val="Heading1Char"/>
    <w:qFormat/>
    <w:rsid w:val="006B24DB"/>
    <w:pPr>
      <w:keepNext/>
      <w:spacing w:before="360" w:after="480"/>
      <w:jc w:val="center"/>
      <w:outlineLvl w:val="0"/>
    </w:pPr>
    <w:rPr>
      <w:b/>
      <w:bCs/>
      <w:color w:val="C00000"/>
      <w:sz w:val="48"/>
      <w:szCs w:val="50"/>
      <w:lang w:val="en-AU" w:bidi="ar-SA"/>
    </w:rPr>
  </w:style>
  <w:style w:type="paragraph" w:styleId="Heading2">
    <w:name w:val="heading 2"/>
    <w:basedOn w:val="Normal"/>
    <w:next w:val="Normal"/>
    <w:link w:val="Heading2Char"/>
    <w:qFormat/>
    <w:rsid w:val="00841E1C"/>
    <w:pPr>
      <w:keepNext/>
      <w:tabs>
        <w:tab w:val="left" w:pos="425"/>
      </w:tabs>
      <w:spacing w:before="240" w:after="120"/>
      <w:outlineLvl w:val="1"/>
    </w:pPr>
    <w:rPr>
      <w:b/>
      <w:iCs/>
      <w:sz w:val="24"/>
      <w:lang w:val="en-AU" w:bidi="ar-SA"/>
    </w:rPr>
  </w:style>
  <w:style w:type="paragraph" w:styleId="Heading3">
    <w:name w:val="heading 3"/>
    <w:basedOn w:val="Normal"/>
    <w:next w:val="Normal"/>
    <w:link w:val="Heading3Char"/>
    <w:qFormat/>
    <w:rsid w:val="00841E1C"/>
    <w:pPr>
      <w:keepNext/>
      <w:tabs>
        <w:tab w:val="left" w:pos="425"/>
        <w:tab w:val="left" w:pos="567"/>
      </w:tabs>
      <w:spacing w:after="60"/>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24DB"/>
    <w:rPr>
      <w:rFonts w:eastAsia="Times New Roman" w:cs="Times New Roman"/>
      <w:b/>
      <w:bCs/>
      <w:color w:val="C00000"/>
      <w:sz w:val="48"/>
      <w:szCs w:val="50"/>
      <w:lang w:val="en-AU"/>
    </w:rPr>
  </w:style>
  <w:style w:type="character" w:customStyle="1" w:styleId="Heading2Char">
    <w:name w:val="Heading 2 Char"/>
    <w:basedOn w:val="DefaultParagraphFont"/>
    <w:link w:val="Heading2"/>
    <w:rsid w:val="00841E1C"/>
    <w:rPr>
      <w:rFonts w:eastAsia="Times New Roman" w:cs="Times New Roman"/>
      <w:b/>
      <w:iCs/>
      <w:sz w:val="24"/>
      <w:szCs w:val="24"/>
      <w:lang w:val="en-AU"/>
    </w:rPr>
  </w:style>
  <w:style w:type="character" w:customStyle="1" w:styleId="Heading3Char">
    <w:name w:val="Heading 3 Char"/>
    <w:basedOn w:val="DefaultParagraphFont"/>
    <w:link w:val="Heading3"/>
    <w:rsid w:val="00841E1C"/>
    <w:rPr>
      <w:rFonts w:eastAsia="Times New Roman" w:cs="Arial"/>
      <w:bCs/>
      <w:i/>
      <w:szCs w:val="26"/>
      <w:lang w:bidi="he-IL"/>
    </w:rPr>
  </w:style>
  <w:style w:type="table" w:styleId="TableGrid">
    <w:name w:val="Table Grid"/>
    <w:basedOn w:val="TableNormal"/>
    <w:uiPriority w:val="59"/>
    <w:rsid w:val="00841E1C"/>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841E1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41E1C"/>
    <w:rPr>
      <w:rFonts w:ascii="Tahoma" w:eastAsia="Times New Roman" w:hAnsi="Tahoma" w:cs="Tahoma"/>
      <w:szCs w:val="24"/>
      <w:shd w:val="clear" w:color="auto" w:fill="000080"/>
      <w:lang w:bidi="he-IL"/>
    </w:rPr>
  </w:style>
  <w:style w:type="paragraph" w:styleId="BalloonText">
    <w:name w:val="Balloon Text"/>
    <w:basedOn w:val="Normal"/>
    <w:link w:val="BalloonTextChar"/>
    <w:uiPriority w:val="99"/>
    <w:semiHidden/>
    <w:rsid w:val="00841E1C"/>
    <w:rPr>
      <w:rFonts w:ascii="Tahoma" w:hAnsi="Tahoma" w:cs="Tahoma"/>
      <w:sz w:val="16"/>
      <w:szCs w:val="16"/>
    </w:rPr>
  </w:style>
  <w:style w:type="character" w:customStyle="1" w:styleId="BalloonTextChar">
    <w:name w:val="Balloon Text Char"/>
    <w:basedOn w:val="DefaultParagraphFont"/>
    <w:link w:val="BalloonText"/>
    <w:uiPriority w:val="99"/>
    <w:semiHidden/>
    <w:rsid w:val="00841E1C"/>
    <w:rPr>
      <w:rFonts w:ascii="Tahoma" w:eastAsia="Times New Roman" w:hAnsi="Tahoma" w:cs="Tahoma"/>
      <w:sz w:val="16"/>
      <w:szCs w:val="16"/>
      <w:lang w:bidi="he-IL"/>
    </w:rPr>
  </w:style>
  <w:style w:type="paragraph" w:styleId="Header">
    <w:name w:val="header"/>
    <w:basedOn w:val="Normal"/>
    <w:link w:val="HeaderChar"/>
    <w:uiPriority w:val="99"/>
    <w:rsid w:val="00841E1C"/>
    <w:pPr>
      <w:tabs>
        <w:tab w:val="center" w:pos="4153"/>
        <w:tab w:val="right" w:pos="8306"/>
      </w:tabs>
    </w:pPr>
  </w:style>
  <w:style w:type="character" w:customStyle="1" w:styleId="HeaderChar">
    <w:name w:val="Header Char"/>
    <w:basedOn w:val="DefaultParagraphFont"/>
    <w:link w:val="Header"/>
    <w:uiPriority w:val="99"/>
    <w:rsid w:val="00841E1C"/>
    <w:rPr>
      <w:rFonts w:eastAsia="Times New Roman" w:cs="Times New Roman"/>
      <w:szCs w:val="24"/>
      <w:lang w:bidi="he-IL"/>
    </w:rPr>
  </w:style>
  <w:style w:type="paragraph" w:styleId="Footer">
    <w:name w:val="footer"/>
    <w:basedOn w:val="Normal"/>
    <w:link w:val="FooterChar"/>
    <w:uiPriority w:val="99"/>
    <w:rsid w:val="00841E1C"/>
    <w:pPr>
      <w:tabs>
        <w:tab w:val="center" w:pos="4153"/>
        <w:tab w:val="right" w:pos="8306"/>
      </w:tabs>
      <w:jc w:val="right"/>
    </w:pPr>
  </w:style>
  <w:style w:type="character" w:customStyle="1" w:styleId="FooterChar">
    <w:name w:val="Footer Char"/>
    <w:basedOn w:val="DefaultParagraphFont"/>
    <w:link w:val="Footer"/>
    <w:uiPriority w:val="99"/>
    <w:rsid w:val="00841E1C"/>
    <w:rPr>
      <w:rFonts w:eastAsia="Times New Roman" w:cs="Times New Roman"/>
      <w:szCs w:val="24"/>
      <w:lang w:bidi="he-IL"/>
    </w:rPr>
  </w:style>
  <w:style w:type="paragraph" w:styleId="FootnoteText">
    <w:name w:val="footnote text"/>
    <w:basedOn w:val="Normal"/>
    <w:link w:val="FootnoteTextChar"/>
    <w:uiPriority w:val="99"/>
    <w:semiHidden/>
    <w:rsid w:val="00841E1C"/>
    <w:rPr>
      <w:sz w:val="20"/>
      <w:szCs w:val="20"/>
    </w:rPr>
  </w:style>
  <w:style w:type="character" w:customStyle="1" w:styleId="FootnoteTextChar">
    <w:name w:val="Footnote Text Char"/>
    <w:basedOn w:val="DefaultParagraphFont"/>
    <w:link w:val="FootnoteText"/>
    <w:uiPriority w:val="99"/>
    <w:semiHidden/>
    <w:rsid w:val="00841E1C"/>
    <w:rPr>
      <w:rFonts w:eastAsia="Times New Roman" w:cs="Times New Roman"/>
      <w:sz w:val="20"/>
      <w:szCs w:val="20"/>
      <w:lang w:bidi="he-IL"/>
    </w:rPr>
  </w:style>
  <w:style w:type="character" w:styleId="FootnoteReference">
    <w:name w:val="footnote reference"/>
    <w:basedOn w:val="DefaultParagraphFont"/>
    <w:uiPriority w:val="99"/>
    <w:semiHidden/>
    <w:rsid w:val="00841E1C"/>
    <w:rPr>
      <w:vertAlign w:val="superscript"/>
    </w:rPr>
  </w:style>
  <w:style w:type="character" w:styleId="EndnoteReference">
    <w:name w:val="endnote reference"/>
    <w:basedOn w:val="DefaultParagraphFont"/>
    <w:semiHidden/>
    <w:rsid w:val="00841E1C"/>
    <w:rPr>
      <w:vertAlign w:val="superscript"/>
    </w:rPr>
  </w:style>
  <w:style w:type="character" w:styleId="CommentReference">
    <w:name w:val="annotation reference"/>
    <w:basedOn w:val="DefaultParagraphFont"/>
    <w:uiPriority w:val="99"/>
    <w:semiHidden/>
    <w:rsid w:val="00841E1C"/>
    <w:rPr>
      <w:sz w:val="16"/>
      <w:szCs w:val="16"/>
    </w:rPr>
  </w:style>
  <w:style w:type="paragraph" w:styleId="CommentText">
    <w:name w:val="annotation text"/>
    <w:basedOn w:val="Normal"/>
    <w:link w:val="CommentTextChar"/>
    <w:uiPriority w:val="99"/>
    <w:semiHidden/>
    <w:rsid w:val="00841E1C"/>
    <w:rPr>
      <w:sz w:val="20"/>
      <w:szCs w:val="20"/>
    </w:rPr>
  </w:style>
  <w:style w:type="character" w:customStyle="1" w:styleId="CommentTextChar">
    <w:name w:val="Comment Text Char"/>
    <w:basedOn w:val="DefaultParagraphFont"/>
    <w:link w:val="CommentText"/>
    <w:uiPriority w:val="99"/>
    <w:semiHidden/>
    <w:rsid w:val="00841E1C"/>
    <w:rPr>
      <w:rFonts w:eastAsia="Times New Roman" w:cs="Times New Roman"/>
      <w:sz w:val="20"/>
      <w:szCs w:val="20"/>
      <w:lang w:bidi="he-IL"/>
    </w:rPr>
  </w:style>
  <w:style w:type="paragraph" w:styleId="CommentSubject">
    <w:name w:val="annotation subject"/>
    <w:basedOn w:val="CommentText"/>
    <w:next w:val="CommentText"/>
    <w:link w:val="CommentSubjectChar"/>
    <w:uiPriority w:val="99"/>
    <w:semiHidden/>
    <w:rsid w:val="00841E1C"/>
    <w:rPr>
      <w:b/>
      <w:bCs/>
    </w:rPr>
  </w:style>
  <w:style w:type="character" w:customStyle="1" w:styleId="CommentSubjectChar">
    <w:name w:val="Comment Subject Char"/>
    <w:basedOn w:val="CommentTextChar"/>
    <w:link w:val="CommentSubject"/>
    <w:uiPriority w:val="99"/>
    <w:semiHidden/>
    <w:rsid w:val="00841E1C"/>
    <w:rPr>
      <w:rFonts w:eastAsia="Times New Roman" w:cs="Times New Roman"/>
      <w:b/>
      <w:bCs/>
      <w:sz w:val="20"/>
      <w:szCs w:val="20"/>
      <w:lang w:bidi="he-IL"/>
    </w:rPr>
  </w:style>
  <w:style w:type="character" w:styleId="Hyperlink">
    <w:name w:val="Hyperlink"/>
    <w:basedOn w:val="DefaultParagraphFont"/>
    <w:uiPriority w:val="99"/>
    <w:rsid w:val="00841E1C"/>
    <w:rPr>
      <w:color w:val="0000FF"/>
      <w:u w:val="single"/>
    </w:rPr>
  </w:style>
  <w:style w:type="character" w:styleId="PageNumber">
    <w:name w:val="page number"/>
    <w:basedOn w:val="DefaultParagraphFont"/>
    <w:rsid w:val="00841E1C"/>
  </w:style>
  <w:style w:type="paragraph" w:customStyle="1" w:styleId="Default">
    <w:name w:val="Default"/>
    <w:uiPriority w:val="99"/>
    <w:rsid w:val="00841E1C"/>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en-NZ"/>
    </w:rPr>
  </w:style>
  <w:style w:type="paragraph" w:customStyle="1" w:styleId="Bulletindent">
    <w:name w:val="Bullet indent"/>
    <w:basedOn w:val="Normal"/>
    <w:rsid w:val="00841E1C"/>
    <w:pPr>
      <w:tabs>
        <w:tab w:val="left" w:pos="1134"/>
      </w:tabs>
      <w:ind w:left="340" w:hanging="340"/>
    </w:pPr>
    <w:rPr>
      <w:lang w:bidi="ar-SA"/>
    </w:rPr>
  </w:style>
  <w:style w:type="paragraph" w:customStyle="1" w:styleId="Paragraph">
    <w:name w:val="Paragraph"/>
    <w:uiPriority w:val="99"/>
    <w:rsid w:val="00841E1C"/>
    <w:pPr>
      <w:spacing w:line="240" w:lineRule="auto"/>
      <w:jc w:val="both"/>
    </w:pPr>
    <w:rPr>
      <w:rFonts w:ascii="Times New Roman" w:eastAsia="Times New Roman" w:hAnsi="Times New Roman" w:cs="Times New Roman"/>
      <w:sz w:val="24"/>
      <w:szCs w:val="24"/>
      <w:lang w:val="en-GB"/>
    </w:rPr>
  </w:style>
  <w:style w:type="paragraph" w:styleId="BodyText">
    <w:name w:val="Body Text"/>
    <w:basedOn w:val="Normal"/>
    <w:link w:val="BodyTextChar"/>
    <w:uiPriority w:val="99"/>
    <w:rsid w:val="00841E1C"/>
    <w:rPr>
      <w:szCs w:val="20"/>
      <w:lang w:val="en-US" w:bidi="ar-SA"/>
    </w:rPr>
  </w:style>
  <w:style w:type="character" w:customStyle="1" w:styleId="BodyTextChar">
    <w:name w:val="Body Text Char"/>
    <w:basedOn w:val="DefaultParagraphFont"/>
    <w:link w:val="BodyText"/>
    <w:uiPriority w:val="99"/>
    <w:rsid w:val="00841E1C"/>
    <w:rPr>
      <w:rFonts w:eastAsia="Times New Roman" w:cs="Times New Roman"/>
      <w:szCs w:val="20"/>
      <w:lang w:val="en-US"/>
    </w:rPr>
  </w:style>
  <w:style w:type="paragraph" w:styleId="ListParagraph">
    <w:name w:val="List Paragraph"/>
    <w:basedOn w:val="Normal"/>
    <w:link w:val="ListParagraphChar"/>
    <w:uiPriority w:val="34"/>
    <w:qFormat/>
    <w:rsid w:val="00841E1C"/>
    <w:pPr>
      <w:ind w:left="720"/>
    </w:pPr>
  </w:style>
  <w:style w:type="character" w:customStyle="1" w:styleId="ListParagraphChar">
    <w:name w:val="List Paragraph Char"/>
    <w:basedOn w:val="DefaultParagraphFont"/>
    <w:link w:val="ListParagraph"/>
    <w:uiPriority w:val="34"/>
    <w:rsid w:val="00841E1C"/>
    <w:rPr>
      <w:rFonts w:eastAsia="Times New Roman" w:cs="Times New Roman"/>
      <w:szCs w:val="24"/>
      <w:lang w:bidi="he-IL"/>
    </w:rPr>
  </w:style>
  <w:style w:type="paragraph" w:styleId="NoSpacing">
    <w:name w:val="No Spacing"/>
    <w:link w:val="NoSpacingChar"/>
    <w:uiPriority w:val="1"/>
    <w:qFormat/>
    <w:rsid w:val="00841E1C"/>
    <w:pPr>
      <w:spacing w:after="0" w:line="240" w:lineRule="auto"/>
      <w:jc w:val="both"/>
    </w:pPr>
    <w:rPr>
      <w:rFonts w:eastAsiaTheme="minorEastAsia"/>
      <w:lang w:val="en-US"/>
    </w:rPr>
  </w:style>
  <w:style w:type="character" w:customStyle="1" w:styleId="NoSpacingChar">
    <w:name w:val="No Spacing Char"/>
    <w:basedOn w:val="DefaultParagraphFont"/>
    <w:link w:val="NoSpacing"/>
    <w:uiPriority w:val="1"/>
    <w:rsid w:val="00841E1C"/>
    <w:rPr>
      <w:rFonts w:eastAsiaTheme="minorEastAsia"/>
      <w:lang w:val="en-US"/>
    </w:rPr>
  </w:style>
  <w:style w:type="paragraph" w:styleId="Caption">
    <w:name w:val="caption"/>
    <w:basedOn w:val="Normal"/>
    <w:next w:val="Normal"/>
    <w:uiPriority w:val="35"/>
    <w:unhideWhenUsed/>
    <w:qFormat/>
    <w:rsid w:val="00841E1C"/>
    <w:pPr>
      <w:tabs>
        <w:tab w:val="left" w:pos="1440"/>
        <w:tab w:val="decimal" w:pos="4320"/>
      </w:tabs>
      <w:outlineLvl w:val="0"/>
    </w:pPr>
    <w:rPr>
      <w:rFonts w:ascii="Calibri" w:hAnsi="Calibri"/>
      <w:b/>
      <w:szCs w:val="22"/>
      <w:lang w:eastAsia="en-NZ" w:bidi="ar-SA"/>
    </w:rPr>
  </w:style>
  <w:style w:type="paragraph" w:styleId="NormalWeb">
    <w:name w:val="Normal (Web)"/>
    <w:basedOn w:val="Normal"/>
    <w:uiPriority w:val="99"/>
    <w:semiHidden/>
    <w:unhideWhenUsed/>
    <w:rsid w:val="00841E1C"/>
    <w:pPr>
      <w:spacing w:before="100" w:beforeAutospacing="1" w:after="100" w:afterAutospacing="1"/>
      <w:jc w:val="left"/>
    </w:pPr>
    <w:rPr>
      <w:lang w:eastAsia="en-NZ" w:bidi="ar-SA"/>
    </w:rPr>
  </w:style>
  <w:style w:type="character" w:customStyle="1" w:styleId="st1">
    <w:name w:val="st1"/>
    <w:basedOn w:val="DefaultParagraphFont"/>
    <w:rsid w:val="00841E1C"/>
  </w:style>
  <w:style w:type="paragraph" w:styleId="TOCHeading">
    <w:name w:val="TOC Heading"/>
    <w:basedOn w:val="Heading1"/>
    <w:next w:val="Normal"/>
    <w:uiPriority w:val="39"/>
    <w:unhideWhenUsed/>
    <w:qFormat/>
    <w:rsid w:val="00841E1C"/>
    <w:pPr>
      <w:keepLines/>
      <w:spacing w:before="480" w:after="0" w:line="276" w:lineRule="auto"/>
      <w:jc w:val="left"/>
      <w:outlineLvl w:val="9"/>
    </w:pPr>
    <w:rPr>
      <w:rFonts w:asciiTheme="majorHAnsi" w:eastAsiaTheme="majorEastAsia" w:hAnsiTheme="majorHAnsi" w:cstheme="majorBidi"/>
      <w:color w:val="365F91" w:themeColor="accent1" w:themeShade="BF"/>
      <w:sz w:val="28"/>
      <w:szCs w:val="28"/>
      <w:lang w:val="en-US"/>
    </w:rPr>
  </w:style>
  <w:style w:type="paragraph" w:styleId="TOC1">
    <w:name w:val="toc 1"/>
    <w:basedOn w:val="Normal"/>
    <w:next w:val="Normal"/>
    <w:autoRedefine/>
    <w:uiPriority w:val="39"/>
    <w:unhideWhenUsed/>
    <w:rsid w:val="008845AA"/>
    <w:pPr>
      <w:tabs>
        <w:tab w:val="right" w:leader="dot" w:pos="9072"/>
      </w:tabs>
      <w:spacing w:before="120" w:after="120"/>
      <w:jc w:val="left"/>
    </w:pPr>
    <w:rPr>
      <w:bCs/>
      <w:noProof/>
      <w:szCs w:val="22"/>
    </w:rPr>
  </w:style>
  <w:style w:type="paragraph" w:styleId="TOC2">
    <w:name w:val="toc 2"/>
    <w:basedOn w:val="Normal"/>
    <w:next w:val="Normal"/>
    <w:autoRedefine/>
    <w:uiPriority w:val="39"/>
    <w:unhideWhenUsed/>
    <w:rsid w:val="008845AA"/>
    <w:pPr>
      <w:tabs>
        <w:tab w:val="left" w:pos="284"/>
        <w:tab w:val="right" w:leader="dot" w:pos="9072"/>
      </w:tabs>
      <w:ind w:left="284" w:hanging="284"/>
      <w:jc w:val="left"/>
    </w:pPr>
    <w:rPr>
      <w:rFonts w:eastAsiaTheme="minorEastAsia" w:cstheme="minorBidi"/>
      <w:noProof/>
      <w:color w:val="000000" w:themeColor="text1"/>
      <w:szCs w:val="22"/>
      <w:lang w:eastAsia="en-NZ" w:bidi="ar-SA"/>
    </w:rPr>
  </w:style>
  <w:style w:type="paragraph" w:styleId="TOC3">
    <w:name w:val="toc 3"/>
    <w:basedOn w:val="Normal"/>
    <w:next w:val="Normal"/>
    <w:autoRedefine/>
    <w:uiPriority w:val="39"/>
    <w:unhideWhenUsed/>
    <w:rsid w:val="00AE6779"/>
    <w:pPr>
      <w:tabs>
        <w:tab w:val="left" w:pos="1100"/>
        <w:tab w:val="right" w:leader="dot" w:pos="9072"/>
      </w:tabs>
      <w:ind w:left="709" w:hanging="425"/>
      <w:jc w:val="left"/>
    </w:pPr>
    <w:rPr>
      <w:iCs/>
      <w:noProof/>
      <w:sz w:val="20"/>
      <w:szCs w:val="20"/>
    </w:rPr>
  </w:style>
  <w:style w:type="paragraph" w:styleId="TOC4">
    <w:name w:val="toc 4"/>
    <w:basedOn w:val="Normal"/>
    <w:next w:val="Normal"/>
    <w:autoRedefine/>
    <w:uiPriority w:val="39"/>
    <w:unhideWhenUsed/>
    <w:rsid w:val="00841E1C"/>
    <w:pPr>
      <w:ind w:left="660"/>
      <w:jc w:val="left"/>
    </w:pPr>
    <w:rPr>
      <w:sz w:val="18"/>
      <w:szCs w:val="18"/>
    </w:rPr>
  </w:style>
  <w:style w:type="paragraph" w:styleId="TOC5">
    <w:name w:val="toc 5"/>
    <w:basedOn w:val="Normal"/>
    <w:next w:val="Normal"/>
    <w:autoRedefine/>
    <w:uiPriority w:val="39"/>
    <w:unhideWhenUsed/>
    <w:rsid w:val="00841E1C"/>
    <w:pPr>
      <w:ind w:left="880"/>
      <w:jc w:val="left"/>
    </w:pPr>
    <w:rPr>
      <w:sz w:val="18"/>
      <w:szCs w:val="18"/>
    </w:rPr>
  </w:style>
  <w:style w:type="paragraph" w:styleId="TOC6">
    <w:name w:val="toc 6"/>
    <w:basedOn w:val="Normal"/>
    <w:next w:val="Normal"/>
    <w:autoRedefine/>
    <w:uiPriority w:val="39"/>
    <w:unhideWhenUsed/>
    <w:rsid w:val="00841E1C"/>
    <w:pPr>
      <w:ind w:left="1100"/>
      <w:jc w:val="left"/>
    </w:pPr>
    <w:rPr>
      <w:sz w:val="18"/>
      <w:szCs w:val="18"/>
    </w:rPr>
  </w:style>
  <w:style w:type="paragraph" w:styleId="TOC7">
    <w:name w:val="toc 7"/>
    <w:basedOn w:val="Normal"/>
    <w:next w:val="Normal"/>
    <w:autoRedefine/>
    <w:uiPriority w:val="39"/>
    <w:unhideWhenUsed/>
    <w:rsid w:val="00841E1C"/>
    <w:pPr>
      <w:ind w:left="1320"/>
      <w:jc w:val="left"/>
    </w:pPr>
    <w:rPr>
      <w:sz w:val="18"/>
      <w:szCs w:val="18"/>
    </w:rPr>
  </w:style>
  <w:style w:type="paragraph" w:styleId="TOC8">
    <w:name w:val="toc 8"/>
    <w:basedOn w:val="Normal"/>
    <w:next w:val="Normal"/>
    <w:autoRedefine/>
    <w:uiPriority w:val="39"/>
    <w:unhideWhenUsed/>
    <w:rsid w:val="00841E1C"/>
    <w:pPr>
      <w:ind w:left="1540"/>
      <w:jc w:val="left"/>
    </w:pPr>
    <w:rPr>
      <w:sz w:val="18"/>
      <w:szCs w:val="18"/>
    </w:rPr>
  </w:style>
  <w:style w:type="paragraph" w:styleId="TOC9">
    <w:name w:val="toc 9"/>
    <w:basedOn w:val="Normal"/>
    <w:next w:val="Normal"/>
    <w:autoRedefine/>
    <w:uiPriority w:val="39"/>
    <w:unhideWhenUsed/>
    <w:rsid w:val="00841E1C"/>
    <w:pPr>
      <w:ind w:left="1760"/>
      <w:jc w:val="left"/>
    </w:pPr>
    <w:rPr>
      <w:sz w:val="18"/>
      <w:szCs w:val="18"/>
    </w:rPr>
  </w:style>
  <w:style w:type="character" w:styleId="FollowedHyperlink">
    <w:name w:val="FollowedHyperlink"/>
    <w:basedOn w:val="DefaultParagraphFont"/>
    <w:uiPriority w:val="99"/>
    <w:semiHidden/>
    <w:unhideWhenUsed/>
    <w:rsid w:val="00841E1C"/>
    <w:rPr>
      <w:color w:val="800080" w:themeColor="followedHyperlink"/>
      <w:u w:val="single"/>
    </w:rPr>
  </w:style>
  <w:style w:type="character" w:styleId="Strong">
    <w:name w:val="Strong"/>
    <w:basedOn w:val="DefaultParagraphFont"/>
    <w:uiPriority w:val="22"/>
    <w:qFormat/>
    <w:rsid w:val="00841E1C"/>
    <w:rPr>
      <w:b/>
      <w:bCs/>
    </w:rPr>
  </w:style>
  <w:style w:type="paragraph" w:styleId="Quote">
    <w:name w:val="Quote"/>
    <w:basedOn w:val="Normal"/>
    <w:link w:val="QuoteChar"/>
    <w:qFormat/>
    <w:rsid w:val="00841E1C"/>
    <w:pPr>
      <w:tabs>
        <w:tab w:val="left" w:pos="1134"/>
        <w:tab w:val="left" w:pos="3686"/>
      </w:tabs>
      <w:spacing w:after="240"/>
      <w:ind w:left="340"/>
    </w:pPr>
    <w:rPr>
      <w:rFonts w:ascii="Times New Roman" w:hAnsi="Times New Roman"/>
      <w:sz w:val="24"/>
      <w:lang w:bidi="ar-SA"/>
    </w:rPr>
  </w:style>
  <w:style w:type="character" w:customStyle="1" w:styleId="QuoteChar">
    <w:name w:val="Quote Char"/>
    <w:basedOn w:val="DefaultParagraphFont"/>
    <w:link w:val="Quote"/>
    <w:rsid w:val="00841E1C"/>
    <w:rPr>
      <w:rFonts w:ascii="Times New Roman" w:eastAsia="Times New Roman" w:hAnsi="Times New Roman" w:cs="Times New Roman"/>
      <w:sz w:val="24"/>
      <w:szCs w:val="24"/>
    </w:rPr>
  </w:style>
  <w:style w:type="paragraph" w:customStyle="1" w:styleId="abclist">
    <w:name w:val="abc list"/>
    <w:basedOn w:val="ListParagraph"/>
    <w:link w:val="abclistChar"/>
    <w:qFormat/>
    <w:rsid w:val="00841E1C"/>
    <w:pPr>
      <w:numPr>
        <w:numId w:val="1"/>
      </w:numPr>
      <w:tabs>
        <w:tab w:val="left" w:pos="284"/>
      </w:tabs>
      <w:spacing w:after="240"/>
    </w:pPr>
    <w:rPr>
      <w:sz w:val="24"/>
    </w:rPr>
  </w:style>
  <w:style w:type="character" w:customStyle="1" w:styleId="abclistChar">
    <w:name w:val="abc list Char"/>
    <w:basedOn w:val="ListParagraphChar"/>
    <w:link w:val="abclist"/>
    <w:rsid w:val="00841E1C"/>
    <w:rPr>
      <w:rFonts w:eastAsia="Times New Roman" w:cs="Times New Roman"/>
      <w:sz w:val="24"/>
      <w:szCs w:val="24"/>
      <w:lang w:bidi="he-IL"/>
    </w:rPr>
  </w:style>
  <w:style w:type="paragraph" w:customStyle="1" w:styleId="abclist2">
    <w:name w:val="abc list2"/>
    <w:basedOn w:val="abclist"/>
    <w:link w:val="abclist2Char"/>
    <w:qFormat/>
    <w:rsid w:val="00841E1C"/>
    <w:pPr>
      <w:numPr>
        <w:numId w:val="0"/>
      </w:numPr>
      <w:tabs>
        <w:tab w:val="clear" w:pos="284"/>
        <w:tab w:val="left" w:pos="426"/>
      </w:tabs>
      <w:ind w:left="426" w:hanging="426"/>
    </w:pPr>
  </w:style>
  <w:style w:type="character" w:customStyle="1" w:styleId="abclist2Char">
    <w:name w:val="abc list2 Char"/>
    <w:basedOn w:val="abclistChar"/>
    <w:link w:val="abclist2"/>
    <w:rsid w:val="00841E1C"/>
    <w:rPr>
      <w:rFonts w:eastAsia="Times New Roman" w:cs="Times New Roman"/>
      <w:sz w:val="24"/>
      <w:szCs w:val="24"/>
      <w:lang w:bidi="he-IL"/>
    </w:rPr>
  </w:style>
  <w:style w:type="paragraph" w:customStyle="1" w:styleId="Paranumbered">
    <w:name w:val="Para numbered"/>
    <w:basedOn w:val="Normal"/>
    <w:rsid w:val="00841E1C"/>
    <w:pPr>
      <w:spacing w:after="240"/>
      <w:ind w:left="360" w:hanging="360"/>
    </w:pPr>
    <w:rPr>
      <w:rFonts w:ascii="Times New Roman" w:hAnsi="Times New Roman"/>
      <w:sz w:val="24"/>
      <w:lang w:bidi="ar-SA"/>
    </w:rPr>
  </w:style>
  <w:style w:type="paragraph" w:customStyle="1" w:styleId="Recommendationfinalpoint">
    <w:name w:val="Recommendation final point"/>
    <w:basedOn w:val="Bulletindent"/>
    <w:next w:val="Paranumbered"/>
    <w:qFormat/>
    <w:rsid w:val="00841E1C"/>
    <w:pPr>
      <w:numPr>
        <w:numId w:val="2"/>
      </w:numPr>
      <w:tabs>
        <w:tab w:val="left" w:pos="425"/>
      </w:tabs>
      <w:spacing w:after="240"/>
      <w:ind w:left="357" w:hanging="357"/>
    </w:pPr>
    <w:rPr>
      <w:rFonts w:ascii="Times New Roman" w:hAnsi="Times New Roman"/>
      <w:sz w:val="24"/>
    </w:rPr>
  </w:style>
  <w:style w:type="paragraph" w:customStyle="1" w:styleId="Bulletitalfinal">
    <w:name w:val="Bullet ital final"/>
    <w:basedOn w:val="Normal"/>
    <w:next w:val="Paranumbered"/>
    <w:qFormat/>
    <w:rsid w:val="00841E1C"/>
    <w:pPr>
      <w:numPr>
        <w:numId w:val="9"/>
      </w:numPr>
      <w:tabs>
        <w:tab w:val="left" w:pos="1134"/>
      </w:tabs>
      <w:spacing w:after="240"/>
      <w:ind w:left="357" w:hanging="357"/>
    </w:pPr>
    <w:rPr>
      <w:rFonts w:ascii="Times New Roman" w:hAnsi="Times New Roman"/>
      <w:i/>
      <w:iCs/>
      <w:sz w:val="24"/>
      <w:lang w:bidi="ar-SA"/>
    </w:rPr>
  </w:style>
  <w:style w:type="character" w:customStyle="1" w:styleId="BulletlistChar">
    <w:name w:val="Bullet list Char"/>
    <w:basedOn w:val="ListParagraphChar"/>
    <w:link w:val="Bulletlist"/>
    <w:locked/>
    <w:rsid w:val="00841E1C"/>
    <w:rPr>
      <w:rFonts w:eastAsia="Times New Roman" w:cs="Times New Roman"/>
      <w:sz w:val="24"/>
      <w:szCs w:val="24"/>
      <w:lang w:val="en-US" w:bidi="he-IL"/>
    </w:rPr>
  </w:style>
  <w:style w:type="paragraph" w:customStyle="1" w:styleId="Bulletlist">
    <w:name w:val="Bullet list"/>
    <w:basedOn w:val="ListParagraph"/>
    <w:link w:val="BulletlistChar"/>
    <w:qFormat/>
    <w:rsid w:val="00841E1C"/>
    <w:pPr>
      <w:numPr>
        <w:numId w:val="21"/>
      </w:numPr>
      <w:spacing w:after="120"/>
    </w:pPr>
    <w:rPr>
      <w:rFonts w:eastAsiaTheme="minorHAnsi" w:cstheme="minorBidi"/>
      <w:sz w:val="24"/>
      <w:szCs w:val="22"/>
      <w:lang w:val="en-US"/>
    </w:rPr>
  </w:style>
  <w:style w:type="table" w:styleId="TableGridLight">
    <w:name w:val="Grid Table Light"/>
    <w:basedOn w:val="TableNormal"/>
    <w:uiPriority w:val="40"/>
    <w:rsid w:val="00841E1C"/>
    <w:pPr>
      <w:spacing w:after="0" w:line="240" w:lineRule="auto"/>
      <w:jc w:val="both"/>
    </w:pPr>
    <w:rPr>
      <w:rFonts w:ascii="Times New Roman" w:eastAsia="Times New Roman" w:hAnsi="Times New Roman" w:cs="Times New Roman"/>
      <w:sz w:val="20"/>
      <w:szCs w:val="20"/>
      <w:lang w:eastAsia="en-NZ"/>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finalpoint">
    <w:name w:val="Numbered final point"/>
    <w:basedOn w:val="ListParagraph"/>
    <w:link w:val="NumberedfinalpointChar"/>
    <w:rsid w:val="008D4C0D"/>
    <w:pPr>
      <w:spacing w:after="240"/>
      <w:ind w:left="284" w:hanging="284"/>
    </w:pPr>
    <w:rPr>
      <w:sz w:val="24"/>
      <w:lang w:val="en-US" w:eastAsia="en-NZ"/>
    </w:rPr>
  </w:style>
  <w:style w:type="character" w:customStyle="1" w:styleId="NumberedfinalpointChar">
    <w:name w:val="Numbered final point Char"/>
    <w:basedOn w:val="ListParagraphChar"/>
    <w:link w:val="Numberedfinalpoint"/>
    <w:rsid w:val="008D4C0D"/>
    <w:rPr>
      <w:rFonts w:eastAsia="Times New Roman" w:cs="Times New Roman"/>
      <w:sz w:val="24"/>
      <w:szCs w:val="24"/>
      <w:lang w:val="en-US" w:eastAsia="en-NZ" w:bidi="he-IL"/>
    </w:rPr>
  </w:style>
  <w:style w:type="paragraph" w:styleId="Revision">
    <w:name w:val="Revision"/>
    <w:hidden/>
    <w:uiPriority w:val="99"/>
    <w:semiHidden/>
    <w:rsid w:val="00CC0F87"/>
    <w:pPr>
      <w:spacing w:after="0" w:line="240" w:lineRule="auto"/>
    </w:pPr>
    <w:rPr>
      <w:rFonts w:eastAsia="Times New Roman" w:cs="Times New Roman"/>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hdc-fps01\data$\Education%20(Current)\DHB%20Reports\2020%20Jan%20to%20Jun\ALL%20DHBs%20-%20Jan-Jun%202020%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dc-fps01\data$\Education%20(Current)\DHB%20Reports\2020%20Jan%20to%20Jun\Discharge%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38100" cap="rnd">
              <a:solidFill>
                <a:srgbClr val="C00000"/>
              </a:solidFill>
              <a:round/>
            </a:ln>
            <a:effectLst/>
          </c:spPr>
          <c:marker>
            <c:symbol val="circle"/>
            <c:size val="5"/>
            <c:spPr>
              <a:solidFill>
                <a:srgbClr val="C00000"/>
              </a:solidFill>
              <a:ln w="38100">
                <a:solidFill>
                  <a:srgbClr val="C00000"/>
                </a:solidFill>
              </a:ln>
              <a:effectLst/>
            </c:spPr>
          </c:marker>
          <c:cat>
            <c:strRef>
              <c:f>Graph!$A$4:$J$4</c:f>
              <c:strCache>
                <c:ptCount val="10"/>
                <c:pt idx="0">
                  <c:v>Jul–Dec 15</c:v>
                </c:pt>
                <c:pt idx="1">
                  <c:v>Jan–Jun 16</c:v>
                </c:pt>
                <c:pt idx="2">
                  <c:v>Jul–Dec 16</c:v>
                </c:pt>
                <c:pt idx="3">
                  <c:v>Jan–Jun 17</c:v>
                </c:pt>
                <c:pt idx="4">
                  <c:v>Jul–Dec 17</c:v>
                </c:pt>
                <c:pt idx="5">
                  <c:v>Jan–Jun 18</c:v>
                </c:pt>
                <c:pt idx="6">
                  <c:v>Jul–Dec 18</c:v>
                </c:pt>
                <c:pt idx="7">
                  <c:v>Jan–Jun 19</c:v>
                </c:pt>
                <c:pt idx="8">
                  <c:v>Jul–Dec 19</c:v>
                </c:pt>
                <c:pt idx="9">
                  <c:v>Jan–Jun 20</c:v>
                </c:pt>
              </c:strCache>
            </c:strRef>
          </c:cat>
          <c:val>
            <c:numRef>
              <c:f>Graph!$A$5:$J$5</c:f>
              <c:numCache>
                <c:formatCode>General</c:formatCode>
                <c:ptCount val="10"/>
                <c:pt idx="0">
                  <c:v>422</c:v>
                </c:pt>
                <c:pt idx="1">
                  <c:v>383</c:v>
                </c:pt>
                <c:pt idx="2">
                  <c:v>386</c:v>
                </c:pt>
                <c:pt idx="3">
                  <c:v>477</c:v>
                </c:pt>
                <c:pt idx="4">
                  <c:v>439</c:v>
                </c:pt>
                <c:pt idx="5">
                  <c:v>450</c:v>
                </c:pt>
                <c:pt idx="6">
                  <c:v>442</c:v>
                </c:pt>
                <c:pt idx="7">
                  <c:v>427</c:v>
                </c:pt>
                <c:pt idx="8">
                  <c:v>471</c:v>
                </c:pt>
                <c:pt idx="9">
                  <c:v>392</c:v>
                </c:pt>
              </c:numCache>
            </c:numRef>
          </c:val>
          <c:smooth val="0"/>
          <c:extLst>
            <c:ext xmlns:c16="http://schemas.microsoft.com/office/drawing/2014/chart" uri="{C3380CC4-5D6E-409C-BE32-E72D297353CC}">
              <c16:uniqueId val="{00000000-7094-43E4-BDA0-1F0531E56AD4}"/>
            </c:ext>
          </c:extLst>
        </c:ser>
        <c:dLbls>
          <c:showLegendKey val="0"/>
          <c:showVal val="0"/>
          <c:showCatName val="0"/>
          <c:showSerName val="0"/>
          <c:showPercent val="0"/>
          <c:showBubbleSize val="0"/>
        </c:dLbls>
        <c:marker val="1"/>
        <c:smooth val="0"/>
        <c:axId val="413581184"/>
        <c:axId val="413590336"/>
      </c:lineChart>
      <c:catAx>
        <c:axId val="413581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413590336"/>
        <c:crosses val="autoZero"/>
        <c:auto val="1"/>
        <c:lblAlgn val="ctr"/>
        <c:lblOffset val="100"/>
        <c:noMultiLvlLbl val="0"/>
      </c:catAx>
      <c:valAx>
        <c:axId val="413590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413581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C00000"/>
            </a:solidFill>
            <a:ln>
              <a:noFill/>
            </a:ln>
            <a:effectLst/>
          </c:spPr>
          <c:invertIfNegative val="0"/>
          <c:cat>
            <c:strRef>
              <c:f>'Service graph'!$A$1:$A$9</c:f>
              <c:strCache>
                <c:ptCount val="9"/>
                <c:pt idx="0">
                  <c:v>Other</c:v>
                </c:pt>
                <c:pt idx="1">
                  <c:v>Disability services</c:v>
                </c:pt>
                <c:pt idx="2">
                  <c:v>Diagnostics</c:v>
                </c:pt>
                <c:pt idx="3">
                  <c:v>Paediatrics</c:v>
                </c:pt>
                <c:pt idx="4">
                  <c:v>Maternity</c:v>
                </c:pt>
                <c:pt idx="5">
                  <c:v>Emergency department</c:v>
                </c:pt>
                <c:pt idx="6">
                  <c:v>Medicine</c:v>
                </c:pt>
                <c:pt idx="7">
                  <c:v>Mental health</c:v>
                </c:pt>
                <c:pt idx="8">
                  <c:v>Surgery</c:v>
                </c:pt>
              </c:strCache>
            </c:strRef>
          </c:cat>
          <c:val>
            <c:numRef>
              <c:f>'Service graph'!$B$1:$B$9</c:f>
              <c:numCache>
                <c:formatCode>General</c:formatCode>
                <c:ptCount val="9"/>
                <c:pt idx="0">
                  <c:v>24</c:v>
                </c:pt>
                <c:pt idx="1">
                  <c:v>6</c:v>
                </c:pt>
                <c:pt idx="2">
                  <c:v>10</c:v>
                </c:pt>
                <c:pt idx="3">
                  <c:v>11</c:v>
                </c:pt>
                <c:pt idx="4">
                  <c:v>27</c:v>
                </c:pt>
                <c:pt idx="5">
                  <c:v>43</c:v>
                </c:pt>
                <c:pt idx="6">
                  <c:v>73</c:v>
                </c:pt>
                <c:pt idx="7">
                  <c:v>89</c:v>
                </c:pt>
                <c:pt idx="8">
                  <c:v>126</c:v>
                </c:pt>
              </c:numCache>
            </c:numRef>
          </c:val>
          <c:extLst>
            <c:ext xmlns:c16="http://schemas.microsoft.com/office/drawing/2014/chart" uri="{C3380CC4-5D6E-409C-BE32-E72D297353CC}">
              <c16:uniqueId val="{00000000-468D-4B3E-950A-2593948E0EDA}"/>
            </c:ext>
          </c:extLst>
        </c:ser>
        <c:dLbls>
          <c:showLegendKey val="0"/>
          <c:showVal val="0"/>
          <c:showCatName val="0"/>
          <c:showSerName val="0"/>
          <c:showPercent val="0"/>
          <c:showBubbleSize val="0"/>
        </c:dLbls>
        <c:gapWidth val="182"/>
        <c:axId val="1161842047"/>
        <c:axId val="1161844543"/>
      </c:barChart>
      <c:catAx>
        <c:axId val="116184204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161844543"/>
        <c:crosses val="autoZero"/>
        <c:auto val="1"/>
        <c:lblAlgn val="ctr"/>
        <c:lblOffset val="100"/>
        <c:noMultiLvlLbl val="0"/>
      </c:catAx>
      <c:valAx>
        <c:axId val="116184454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1618420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3811B-0B66-4143-916D-B21E558E9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6534</Words>
  <Characters>37249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Office of the Health and Disability Commissioner</Company>
  <LinksUpToDate>false</LinksUpToDate>
  <CharactersWithSpaces>43696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Walker</dc:creator>
  <cp:keywords/>
  <dc:description/>
  <cp:lastModifiedBy>Natasha Davidson</cp:lastModifiedBy>
  <cp:revision>5</cp:revision>
  <cp:lastPrinted>2020-12-11T01:27:00Z</cp:lastPrinted>
  <dcterms:created xsi:type="dcterms:W3CDTF">2020-12-11T01:24:00Z</dcterms:created>
  <dcterms:modified xsi:type="dcterms:W3CDTF">2020-12-11T01:27:00Z</dcterms:modified>
</cp:coreProperties>
</file>