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1C4" w:rsidRPr="009179EE" w:rsidRDefault="006F31C4" w:rsidP="006F31C4">
      <w:bookmarkStart w:id="0" w:name="_GoBack"/>
      <w:bookmarkEnd w:id="0"/>
    </w:p>
    <w:p w:rsidR="006F31C4" w:rsidRPr="009179EE" w:rsidRDefault="006F31C4" w:rsidP="006F31C4"/>
    <w:p w:rsidR="006F31C4" w:rsidRPr="009179EE" w:rsidRDefault="006F31C4" w:rsidP="006F31C4"/>
    <w:p w:rsidR="006F31C4" w:rsidRPr="009179EE" w:rsidRDefault="006F31C4" w:rsidP="006F31C4"/>
    <w:p w:rsidR="006F31C4" w:rsidRPr="009179EE" w:rsidRDefault="006F31C4" w:rsidP="006F31C4"/>
    <w:p w:rsidR="006F31C4" w:rsidRPr="009179EE" w:rsidRDefault="006F31C4" w:rsidP="006F31C4"/>
    <w:p w:rsidR="006F31C4" w:rsidRPr="009179EE" w:rsidRDefault="006F31C4" w:rsidP="006F31C4"/>
    <w:p w:rsidR="006F31C4" w:rsidRPr="009179EE" w:rsidRDefault="006F31C4" w:rsidP="006F31C4"/>
    <w:p w:rsidR="006F31C4" w:rsidRPr="009179EE" w:rsidRDefault="006F31C4" w:rsidP="006F31C4"/>
    <w:p w:rsidR="006F31C4" w:rsidRPr="009179EE" w:rsidRDefault="006F31C4" w:rsidP="006F31C4"/>
    <w:p w:rsidR="006F31C4" w:rsidRPr="009179EE" w:rsidRDefault="006F31C4" w:rsidP="006F31C4"/>
    <w:p w:rsidR="006F31C4" w:rsidRPr="009179EE" w:rsidRDefault="006F31C4" w:rsidP="006F31C4"/>
    <w:p w:rsidR="006F31C4" w:rsidRPr="009179EE" w:rsidRDefault="006F31C4" w:rsidP="006F31C4"/>
    <w:p w:rsidR="006F31C4" w:rsidRPr="009179EE" w:rsidRDefault="006F31C4" w:rsidP="006F31C4"/>
    <w:p w:rsidR="006F31C4" w:rsidRPr="009179EE" w:rsidRDefault="006F31C4" w:rsidP="006F31C4"/>
    <w:p w:rsidR="006F31C4" w:rsidRPr="009179EE" w:rsidRDefault="006F31C4" w:rsidP="006F31C4"/>
    <w:p w:rsidR="006F31C4" w:rsidRPr="009179EE" w:rsidRDefault="006F31C4" w:rsidP="006F31C4"/>
    <w:p w:rsidR="006F31C4" w:rsidRPr="009179EE" w:rsidRDefault="006F31C4" w:rsidP="006F31C4"/>
    <w:p w:rsidR="00E129ED" w:rsidRPr="009179EE" w:rsidRDefault="00E129ED" w:rsidP="00E129ED">
      <w:pPr>
        <w:pStyle w:val="NoSpacing"/>
        <w:jc w:val="center"/>
        <w:rPr>
          <w:rFonts w:eastAsiaTheme="majorEastAsia" w:cstheme="majorBidi"/>
          <w:b/>
          <w:sz w:val="48"/>
          <w:szCs w:val="48"/>
          <w:lang w:val="en-NZ"/>
        </w:rPr>
      </w:pPr>
      <w:r w:rsidRPr="009179EE">
        <w:rPr>
          <w:rFonts w:eastAsiaTheme="majorEastAsia" w:cstheme="majorBidi"/>
          <w:b/>
          <w:sz w:val="48"/>
          <w:szCs w:val="48"/>
          <w:lang w:val="en-NZ"/>
        </w:rPr>
        <w:t xml:space="preserve">Complaints to HDC involving </w:t>
      </w:r>
    </w:p>
    <w:p w:rsidR="00E129ED" w:rsidRPr="009179EE" w:rsidRDefault="004510F1" w:rsidP="00E129ED">
      <w:pPr>
        <w:pStyle w:val="NoSpacing"/>
        <w:jc w:val="center"/>
        <w:rPr>
          <w:rFonts w:eastAsiaTheme="majorEastAsia" w:cstheme="majorBidi"/>
          <w:b/>
          <w:sz w:val="48"/>
          <w:szCs w:val="48"/>
          <w:lang w:val="en-NZ"/>
        </w:rPr>
      </w:pPr>
      <w:r w:rsidRPr="009179EE">
        <w:rPr>
          <w:rFonts w:eastAsiaTheme="majorEastAsia" w:cstheme="majorBidi"/>
          <w:b/>
          <w:sz w:val="48"/>
          <w:szCs w:val="48"/>
          <w:lang w:val="en-NZ"/>
        </w:rPr>
        <w:t>District Health Boards</w:t>
      </w:r>
    </w:p>
    <w:p w:rsidR="00E129ED" w:rsidRPr="009179EE" w:rsidRDefault="00E129ED" w:rsidP="00E129ED">
      <w:pPr>
        <w:pStyle w:val="NoSpacing"/>
        <w:jc w:val="center"/>
        <w:rPr>
          <w:rFonts w:eastAsiaTheme="majorEastAsia" w:cstheme="majorBidi"/>
          <w:b/>
          <w:sz w:val="40"/>
          <w:szCs w:val="40"/>
          <w:lang w:val="en-NZ"/>
        </w:rPr>
      </w:pPr>
    </w:p>
    <w:p w:rsidR="00E129ED" w:rsidRPr="009179EE" w:rsidRDefault="00E108ED" w:rsidP="00E129ED">
      <w:pPr>
        <w:pStyle w:val="NoSpacing"/>
        <w:jc w:val="center"/>
        <w:rPr>
          <w:rFonts w:eastAsiaTheme="majorEastAsia" w:cstheme="majorBidi"/>
          <w:b/>
          <w:sz w:val="40"/>
          <w:szCs w:val="40"/>
          <w:lang w:val="en-NZ"/>
        </w:rPr>
      </w:pPr>
      <w:r>
        <w:rPr>
          <w:rFonts w:eastAsiaTheme="majorEastAsia" w:cstheme="majorBidi"/>
          <w:b/>
          <w:sz w:val="40"/>
          <w:szCs w:val="40"/>
          <w:lang w:val="en-NZ"/>
        </w:rPr>
        <w:t>National</w:t>
      </w:r>
      <w:r w:rsidR="005D481F">
        <w:rPr>
          <w:rFonts w:eastAsiaTheme="majorEastAsia" w:cstheme="majorBidi"/>
          <w:b/>
          <w:sz w:val="40"/>
          <w:szCs w:val="40"/>
          <w:lang w:val="en-NZ"/>
        </w:rPr>
        <w:t xml:space="preserve"> Report</w:t>
      </w:r>
    </w:p>
    <w:p w:rsidR="00E129ED" w:rsidRPr="009179EE" w:rsidRDefault="00E129ED" w:rsidP="00E129ED">
      <w:pPr>
        <w:pStyle w:val="NoSpacing"/>
        <w:jc w:val="center"/>
        <w:rPr>
          <w:rFonts w:eastAsiaTheme="majorEastAsia" w:cstheme="majorBidi"/>
          <w:b/>
          <w:sz w:val="36"/>
          <w:szCs w:val="36"/>
          <w:lang w:val="en-NZ"/>
        </w:rPr>
      </w:pPr>
    </w:p>
    <w:p w:rsidR="00E129ED" w:rsidRPr="009179EE" w:rsidRDefault="00E129ED" w:rsidP="00E129ED">
      <w:pPr>
        <w:pStyle w:val="NoSpacing"/>
        <w:jc w:val="center"/>
        <w:rPr>
          <w:rFonts w:eastAsiaTheme="majorEastAsia" w:cstheme="majorBidi"/>
          <w:b/>
          <w:sz w:val="32"/>
          <w:szCs w:val="32"/>
          <w:lang w:val="en-NZ"/>
        </w:rPr>
      </w:pPr>
      <w:r w:rsidRPr="009179EE">
        <w:rPr>
          <w:rFonts w:eastAsiaTheme="majorEastAsia" w:cstheme="majorBidi"/>
          <w:b/>
          <w:sz w:val="32"/>
          <w:szCs w:val="32"/>
          <w:lang w:val="en-NZ"/>
        </w:rPr>
        <w:t>Report a</w:t>
      </w:r>
      <w:r w:rsidR="00664BA8" w:rsidRPr="009179EE">
        <w:rPr>
          <w:rFonts w:eastAsiaTheme="majorEastAsia" w:cstheme="majorBidi"/>
          <w:b/>
          <w:sz w:val="32"/>
          <w:szCs w:val="32"/>
          <w:lang w:val="en-NZ"/>
        </w:rPr>
        <w:t>nd Analysis for period 1 January to 30</w:t>
      </w:r>
      <w:r w:rsidR="005270CD" w:rsidRPr="009179EE">
        <w:rPr>
          <w:rFonts w:eastAsiaTheme="majorEastAsia" w:cstheme="majorBidi"/>
          <w:b/>
          <w:sz w:val="32"/>
          <w:szCs w:val="32"/>
          <w:lang w:val="en-NZ"/>
        </w:rPr>
        <w:t xml:space="preserve"> </w:t>
      </w:r>
      <w:r w:rsidR="00664BA8" w:rsidRPr="009179EE">
        <w:rPr>
          <w:rFonts w:eastAsiaTheme="majorEastAsia" w:cstheme="majorBidi"/>
          <w:b/>
          <w:sz w:val="32"/>
          <w:szCs w:val="32"/>
          <w:lang w:val="en-NZ"/>
        </w:rPr>
        <w:t>June</w:t>
      </w:r>
      <w:r w:rsidRPr="009179EE">
        <w:rPr>
          <w:rFonts w:eastAsiaTheme="majorEastAsia" w:cstheme="majorBidi"/>
          <w:b/>
          <w:sz w:val="32"/>
          <w:szCs w:val="32"/>
          <w:lang w:val="en-NZ"/>
        </w:rPr>
        <w:t xml:space="preserve"> 201</w:t>
      </w:r>
      <w:r w:rsidR="00664BA8" w:rsidRPr="009179EE">
        <w:rPr>
          <w:rFonts w:eastAsiaTheme="majorEastAsia" w:cstheme="majorBidi"/>
          <w:b/>
          <w:sz w:val="32"/>
          <w:szCs w:val="32"/>
          <w:lang w:val="en-NZ"/>
        </w:rPr>
        <w:t>5</w:t>
      </w:r>
    </w:p>
    <w:p w:rsidR="00E129ED" w:rsidRPr="009179EE" w:rsidRDefault="00E129ED" w:rsidP="00E129ED">
      <w:pPr>
        <w:pStyle w:val="NoSpacing"/>
        <w:jc w:val="center"/>
        <w:rPr>
          <w:rFonts w:eastAsiaTheme="majorEastAsia" w:cstheme="majorBidi"/>
          <w:b/>
          <w:sz w:val="32"/>
          <w:szCs w:val="32"/>
          <w:lang w:val="en-NZ"/>
        </w:rPr>
      </w:pPr>
    </w:p>
    <w:p w:rsidR="00E129ED" w:rsidRPr="009179EE" w:rsidRDefault="00E129ED" w:rsidP="00E129ED">
      <w:pPr>
        <w:pStyle w:val="NoSpacing"/>
        <w:jc w:val="center"/>
        <w:rPr>
          <w:rFonts w:eastAsiaTheme="majorEastAsia" w:cstheme="majorBidi"/>
          <w:b/>
          <w:sz w:val="32"/>
          <w:szCs w:val="32"/>
          <w:lang w:val="en-NZ"/>
        </w:rPr>
      </w:pPr>
    </w:p>
    <w:p w:rsidR="00E129ED" w:rsidRPr="009179EE" w:rsidRDefault="00E129ED" w:rsidP="00E129ED">
      <w:pPr>
        <w:pStyle w:val="NoSpacing"/>
        <w:jc w:val="center"/>
        <w:rPr>
          <w:rFonts w:eastAsiaTheme="majorEastAsia" w:cstheme="majorBidi"/>
          <w:b/>
          <w:sz w:val="32"/>
          <w:szCs w:val="32"/>
          <w:lang w:val="en-NZ"/>
        </w:rPr>
      </w:pPr>
    </w:p>
    <w:p w:rsidR="00E129ED" w:rsidRPr="009179EE" w:rsidRDefault="00E129ED" w:rsidP="00E129ED">
      <w:pPr>
        <w:pStyle w:val="NoSpacing"/>
        <w:jc w:val="center"/>
        <w:rPr>
          <w:rFonts w:eastAsiaTheme="majorEastAsia" w:cstheme="majorBidi"/>
          <w:b/>
          <w:sz w:val="32"/>
          <w:szCs w:val="32"/>
          <w:lang w:val="en-NZ"/>
        </w:rPr>
      </w:pPr>
    </w:p>
    <w:p w:rsidR="00E129ED" w:rsidRPr="009179EE" w:rsidRDefault="00E129ED" w:rsidP="00E129ED">
      <w:pPr>
        <w:pStyle w:val="NoSpacing"/>
        <w:jc w:val="center"/>
        <w:rPr>
          <w:rFonts w:eastAsiaTheme="majorEastAsia" w:cstheme="majorBidi"/>
          <w:b/>
          <w:sz w:val="32"/>
          <w:szCs w:val="32"/>
          <w:lang w:val="en-NZ"/>
        </w:rPr>
      </w:pPr>
    </w:p>
    <w:p w:rsidR="00E129ED" w:rsidRPr="009179EE" w:rsidRDefault="00E129ED" w:rsidP="00E129ED">
      <w:pPr>
        <w:pStyle w:val="NoSpacing"/>
        <w:jc w:val="center"/>
        <w:rPr>
          <w:rFonts w:eastAsiaTheme="majorEastAsia" w:cstheme="majorBidi"/>
          <w:b/>
          <w:sz w:val="32"/>
          <w:szCs w:val="32"/>
          <w:lang w:val="en-NZ"/>
        </w:rPr>
      </w:pPr>
    </w:p>
    <w:p w:rsidR="00E129ED" w:rsidRPr="009179EE" w:rsidRDefault="00E129ED" w:rsidP="00E129ED">
      <w:pPr>
        <w:pStyle w:val="NoSpacing"/>
        <w:jc w:val="center"/>
        <w:rPr>
          <w:rFonts w:eastAsiaTheme="majorEastAsia" w:cstheme="majorBidi"/>
          <w:b/>
          <w:sz w:val="32"/>
          <w:szCs w:val="32"/>
          <w:lang w:val="en-NZ"/>
        </w:rPr>
      </w:pPr>
    </w:p>
    <w:p w:rsidR="00E129ED" w:rsidRPr="009179EE" w:rsidRDefault="00E129ED" w:rsidP="00E129ED">
      <w:pPr>
        <w:pStyle w:val="NoSpacing"/>
        <w:jc w:val="center"/>
        <w:rPr>
          <w:rFonts w:eastAsiaTheme="majorEastAsia" w:cstheme="majorBidi"/>
          <w:b/>
          <w:sz w:val="32"/>
          <w:szCs w:val="32"/>
          <w:lang w:val="en-NZ"/>
        </w:rPr>
      </w:pPr>
    </w:p>
    <w:p w:rsidR="00E129ED" w:rsidRPr="009179EE" w:rsidRDefault="00E129ED" w:rsidP="00E129ED">
      <w:pPr>
        <w:pStyle w:val="NoSpacing"/>
        <w:jc w:val="center"/>
        <w:rPr>
          <w:rFonts w:eastAsiaTheme="majorEastAsia" w:cstheme="majorBidi"/>
          <w:b/>
          <w:sz w:val="32"/>
          <w:szCs w:val="32"/>
          <w:lang w:val="en-NZ"/>
        </w:rPr>
      </w:pPr>
    </w:p>
    <w:p w:rsidR="00E129ED" w:rsidRPr="009179EE" w:rsidRDefault="00E129ED" w:rsidP="00E129ED">
      <w:pPr>
        <w:pStyle w:val="NoSpacing"/>
        <w:jc w:val="center"/>
        <w:rPr>
          <w:rFonts w:eastAsiaTheme="majorEastAsia" w:cstheme="majorBidi"/>
          <w:b/>
          <w:sz w:val="32"/>
          <w:szCs w:val="32"/>
          <w:lang w:val="en-NZ"/>
        </w:rPr>
      </w:pPr>
    </w:p>
    <w:p w:rsidR="00E129ED" w:rsidRPr="009179EE" w:rsidRDefault="00E129ED" w:rsidP="00E129ED">
      <w:pPr>
        <w:pStyle w:val="NoSpacing"/>
        <w:jc w:val="center"/>
        <w:rPr>
          <w:rFonts w:eastAsiaTheme="majorEastAsia" w:cstheme="majorBidi"/>
          <w:b/>
          <w:sz w:val="32"/>
          <w:szCs w:val="32"/>
          <w:lang w:val="en-NZ"/>
        </w:rPr>
      </w:pPr>
    </w:p>
    <w:p w:rsidR="00E129ED" w:rsidRPr="009179EE" w:rsidRDefault="00E129ED" w:rsidP="00E129ED">
      <w:pPr>
        <w:pStyle w:val="NoSpacing"/>
        <w:jc w:val="center"/>
        <w:rPr>
          <w:rFonts w:eastAsiaTheme="majorEastAsia" w:cstheme="majorBidi"/>
          <w:b/>
          <w:sz w:val="32"/>
          <w:szCs w:val="32"/>
          <w:lang w:val="en-NZ"/>
        </w:rPr>
      </w:pPr>
    </w:p>
    <w:p w:rsidR="00E129ED" w:rsidRPr="009179EE" w:rsidRDefault="00E129ED" w:rsidP="00E129ED">
      <w:pPr>
        <w:pStyle w:val="NoSpacing"/>
        <w:jc w:val="center"/>
        <w:rPr>
          <w:rFonts w:eastAsiaTheme="majorEastAsia" w:cstheme="majorBidi"/>
          <w:b/>
          <w:sz w:val="32"/>
          <w:szCs w:val="32"/>
          <w:lang w:val="en-NZ"/>
        </w:rPr>
      </w:pPr>
      <w:r w:rsidRPr="009179EE">
        <w:rPr>
          <w:rFonts w:eastAsiaTheme="majorEastAsia" w:cstheme="majorBidi"/>
          <w:b/>
          <w:noProof/>
          <w:sz w:val="32"/>
          <w:szCs w:val="32"/>
          <w:lang w:val="en-NZ" w:eastAsia="en-NZ"/>
        </w:rPr>
        <w:drawing>
          <wp:anchor distT="0" distB="0" distL="114300" distR="114300" simplePos="0" relativeHeight="251659264" behindDoc="0" locked="0" layoutInCell="1" allowOverlap="1" wp14:anchorId="6CBDED5A" wp14:editId="4D477F32">
            <wp:simplePos x="0" y="0"/>
            <wp:positionH relativeFrom="page">
              <wp:align>center</wp:align>
            </wp:positionH>
            <wp:positionV relativeFrom="paragraph">
              <wp:posOffset>975995</wp:posOffset>
            </wp:positionV>
            <wp:extent cx="1016000" cy="551815"/>
            <wp:effectExtent l="19050" t="0" r="0" b="0"/>
            <wp:wrapSquare wrapText="bothSides"/>
            <wp:docPr id="3" name="Picture 0" descr="HDC-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logo-text.jpg"/>
                    <pic:cNvPicPr/>
                  </pic:nvPicPr>
                  <pic:blipFill>
                    <a:blip r:embed="rId9" cstate="print"/>
                    <a:stretch>
                      <a:fillRect/>
                    </a:stretch>
                  </pic:blipFill>
                  <pic:spPr>
                    <a:xfrm>
                      <a:off x="0" y="0"/>
                      <a:ext cx="1016000" cy="551815"/>
                    </a:xfrm>
                    <a:prstGeom prst="rect">
                      <a:avLst/>
                    </a:prstGeom>
                  </pic:spPr>
                </pic:pic>
              </a:graphicData>
            </a:graphic>
          </wp:anchor>
        </w:drawing>
      </w:r>
    </w:p>
    <w:p w:rsidR="00E129ED" w:rsidRPr="009179EE" w:rsidRDefault="00E129ED" w:rsidP="00E129ED">
      <w:pPr>
        <w:jc w:val="center"/>
        <w:sectPr w:rsidR="00E129ED" w:rsidRPr="009179EE" w:rsidSect="00A9442D">
          <w:headerReference w:type="even" r:id="rId10"/>
          <w:headerReference w:type="default" r:id="rId11"/>
          <w:footerReference w:type="even" r:id="rId12"/>
          <w:footerReference w:type="default" r:id="rId13"/>
          <w:headerReference w:type="first" r:id="rId14"/>
          <w:footerReference w:type="first" r:id="rId15"/>
          <w:pgSz w:w="11906" w:h="16838" w:code="9"/>
          <w:pgMar w:top="1140" w:right="1412" w:bottom="851" w:left="1412" w:header="720" w:footer="590" w:gutter="0"/>
          <w:cols w:space="720"/>
          <w:titlePg/>
          <w:docGrid w:linePitch="360"/>
        </w:sectPr>
      </w:pPr>
    </w:p>
    <w:p w:rsidR="00E129ED" w:rsidRPr="009179EE" w:rsidRDefault="00E129ED" w:rsidP="00E129ED">
      <w:pPr>
        <w:sectPr w:rsidR="00E129ED" w:rsidRPr="009179EE" w:rsidSect="00635635">
          <w:pgSz w:w="11906" w:h="16838" w:code="9"/>
          <w:pgMar w:top="1140" w:right="1412" w:bottom="851" w:left="1412" w:header="720" w:footer="590" w:gutter="0"/>
          <w:pgNumType w:start="0"/>
          <w:cols w:space="720"/>
          <w:titlePg/>
          <w:docGrid w:linePitch="360"/>
        </w:sectPr>
      </w:pPr>
    </w:p>
    <w:p w:rsidR="00E129ED" w:rsidRPr="009179EE" w:rsidRDefault="00E129ED" w:rsidP="005270CD">
      <w:pPr>
        <w:pStyle w:val="Heading1"/>
        <w:rPr>
          <w:lang w:val="en-NZ"/>
        </w:rPr>
      </w:pPr>
      <w:r w:rsidRPr="009179EE">
        <w:rPr>
          <w:lang w:val="en-NZ"/>
        </w:rPr>
        <w:lastRenderedPageBreak/>
        <w:br w:type="textWrapping" w:clear="all"/>
      </w:r>
      <w:bookmarkStart w:id="1" w:name="_Toc416693925"/>
      <w:bookmarkStart w:id="2" w:name="_Toc431224705"/>
      <w:r w:rsidRPr="009179EE">
        <w:rPr>
          <w:lang w:val="en-NZ"/>
        </w:rPr>
        <w:t>Contents</w:t>
      </w:r>
      <w:bookmarkEnd w:id="1"/>
      <w:bookmarkEnd w:id="2"/>
    </w:p>
    <w:p w:rsidR="00522AF6" w:rsidRDefault="00E129ED">
      <w:pPr>
        <w:pStyle w:val="TOC1"/>
        <w:tabs>
          <w:tab w:val="right" w:leader="dot" w:pos="9072"/>
        </w:tabs>
        <w:rPr>
          <w:rFonts w:eastAsiaTheme="minorEastAsia" w:cstheme="minorBidi"/>
          <w:b w:val="0"/>
          <w:noProof/>
          <w:sz w:val="22"/>
          <w:szCs w:val="22"/>
          <w:lang w:eastAsia="en-NZ" w:bidi="ar-SA"/>
        </w:rPr>
      </w:pPr>
      <w:r w:rsidRPr="009179EE">
        <w:rPr>
          <w:b w:val="0"/>
          <w:color w:val="000000" w:themeColor="text1"/>
          <w:sz w:val="32"/>
          <w:szCs w:val="32"/>
        </w:rPr>
        <w:fldChar w:fldCharType="begin"/>
      </w:r>
      <w:r w:rsidRPr="009179EE">
        <w:rPr>
          <w:b w:val="0"/>
          <w:color w:val="000000" w:themeColor="text1"/>
          <w:sz w:val="32"/>
          <w:szCs w:val="32"/>
        </w:rPr>
        <w:instrText xml:space="preserve"> TOC \o "2-3" \h \z \t "Heading 1,1" </w:instrText>
      </w:r>
      <w:r w:rsidRPr="009179EE">
        <w:rPr>
          <w:b w:val="0"/>
          <w:color w:val="000000" w:themeColor="text1"/>
          <w:sz w:val="32"/>
          <w:szCs w:val="32"/>
        </w:rPr>
        <w:fldChar w:fldCharType="separate"/>
      </w:r>
      <w:hyperlink w:anchor="_Toc431224705" w:history="1">
        <w:r w:rsidR="00522AF6" w:rsidRPr="0036169A">
          <w:rPr>
            <w:rStyle w:val="Hyperlink"/>
            <w:noProof/>
          </w:rPr>
          <w:t>Contents</w:t>
        </w:r>
        <w:r w:rsidR="00522AF6">
          <w:rPr>
            <w:noProof/>
            <w:webHidden/>
          </w:rPr>
          <w:tab/>
        </w:r>
        <w:r w:rsidR="00522AF6">
          <w:rPr>
            <w:noProof/>
            <w:webHidden/>
          </w:rPr>
          <w:fldChar w:fldCharType="begin"/>
        </w:r>
        <w:r w:rsidR="00522AF6">
          <w:rPr>
            <w:noProof/>
            <w:webHidden/>
          </w:rPr>
          <w:instrText xml:space="preserve"> PAGEREF _Toc431224705 \h </w:instrText>
        </w:r>
        <w:r w:rsidR="00522AF6">
          <w:rPr>
            <w:noProof/>
            <w:webHidden/>
          </w:rPr>
        </w:r>
        <w:r w:rsidR="00522AF6">
          <w:rPr>
            <w:noProof/>
            <w:webHidden/>
          </w:rPr>
          <w:fldChar w:fldCharType="separate"/>
        </w:r>
        <w:r w:rsidR="005D481F">
          <w:rPr>
            <w:noProof/>
            <w:webHidden/>
          </w:rPr>
          <w:t>i</w:t>
        </w:r>
        <w:r w:rsidR="00522AF6">
          <w:rPr>
            <w:noProof/>
            <w:webHidden/>
          </w:rPr>
          <w:fldChar w:fldCharType="end"/>
        </w:r>
      </w:hyperlink>
    </w:p>
    <w:p w:rsidR="00522AF6" w:rsidRDefault="0013399A">
      <w:pPr>
        <w:pStyle w:val="TOC1"/>
        <w:tabs>
          <w:tab w:val="right" w:leader="dot" w:pos="9072"/>
        </w:tabs>
        <w:rPr>
          <w:rFonts w:eastAsiaTheme="minorEastAsia" w:cstheme="minorBidi"/>
          <w:b w:val="0"/>
          <w:noProof/>
          <w:sz w:val="22"/>
          <w:szCs w:val="22"/>
          <w:lang w:eastAsia="en-NZ" w:bidi="ar-SA"/>
        </w:rPr>
      </w:pPr>
      <w:hyperlink w:anchor="_Toc431224706" w:history="1">
        <w:r w:rsidR="00522AF6" w:rsidRPr="0036169A">
          <w:rPr>
            <w:rStyle w:val="Hyperlink"/>
            <w:noProof/>
          </w:rPr>
          <w:t>Commissioner’s Foreword</w:t>
        </w:r>
        <w:r w:rsidR="00522AF6">
          <w:rPr>
            <w:noProof/>
            <w:webHidden/>
          </w:rPr>
          <w:tab/>
        </w:r>
        <w:r w:rsidR="00522AF6">
          <w:rPr>
            <w:noProof/>
            <w:webHidden/>
          </w:rPr>
          <w:fldChar w:fldCharType="begin"/>
        </w:r>
        <w:r w:rsidR="00522AF6">
          <w:rPr>
            <w:noProof/>
            <w:webHidden/>
          </w:rPr>
          <w:instrText xml:space="preserve"> PAGEREF _Toc431224706 \h </w:instrText>
        </w:r>
        <w:r w:rsidR="00522AF6">
          <w:rPr>
            <w:noProof/>
            <w:webHidden/>
          </w:rPr>
        </w:r>
        <w:r w:rsidR="00522AF6">
          <w:rPr>
            <w:noProof/>
            <w:webHidden/>
          </w:rPr>
          <w:fldChar w:fldCharType="separate"/>
        </w:r>
        <w:r w:rsidR="005D481F">
          <w:rPr>
            <w:noProof/>
            <w:webHidden/>
          </w:rPr>
          <w:t>ii</w:t>
        </w:r>
        <w:r w:rsidR="00522AF6">
          <w:rPr>
            <w:noProof/>
            <w:webHidden/>
          </w:rPr>
          <w:fldChar w:fldCharType="end"/>
        </w:r>
      </w:hyperlink>
    </w:p>
    <w:p w:rsidR="00522AF6" w:rsidRDefault="0013399A">
      <w:pPr>
        <w:pStyle w:val="TOC1"/>
        <w:tabs>
          <w:tab w:val="right" w:leader="dot" w:pos="9072"/>
        </w:tabs>
        <w:rPr>
          <w:rFonts w:eastAsiaTheme="minorEastAsia" w:cstheme="minorBidi"/>
          <w:b w:val="0"/>
          <w:noProof/>
          <w:sz w:val="22"/>
          <w:szCs w:val="22"/>
          <w:lang w:eastAsia="en-NZ" w:bidi="ar-SA"/>
        </w:rPr>
      </w:pPr>
      <w:hyperlink w:anchor="_Toc431224707" w:history="1">
        <w:r w:rsidR="00522AF6" w:rsidRPr="0036169A">
          <w:rPr>
            <w:rStyle w:val="Hyperlink"/>
            <w:noProof/>
          </w:rPr>
          <w:t>National Data for all District Health Boards</w:t>
        </w:r>
        <w:r w:rsidR="00522AF6">
          <w:rPr>
            <w:noProof/>
            <w:webHidden/>
          </w:rPr>
          <w:tab/>
        </w:r>
        <w:r w:rsidR="00522AF6">
          <w:rPr>
            <w:noProof/>
            <w:webHidden/>
          </w:rPr>
          <w:fldChar w:fldCharType="begin"/>
        </w:r>
        <w:r w:rsidR="00522AF6">
          <w:rPr>
            <w:noProof/>
            <w:webHidden/>
          </w:rPr>
          <w:instrText xml:space="preserve"> PAGEREF _Toc431224707 \h </w:instrText>
        </w:r>
        <w:r w:rsidR="00522AF6">
          <w:rPr>
            <w:noProof/>
            <w:webHidden/>
          </w:rPr>
        </w:r>
        <w:r w:rsidR="00522AF6">
          <w:rPr>
            <w:noProof/>
            <w:webHidden/>
          </w:rPr>
          <w:fldChar w:fldCharType="separate"/>
        </w:r>
        <w:r w:rsidR="005D481F">
          <w:rPr>
            <w:noProof/>
            <w:webHidden/>
          </w:rPr>
          <w:t>1</w:t>
        </w:r>
        <w:r w:rsidR="00522AF6">
          <w:rPr>
            <w:noProof/>
            <w:webHidden/>
          </w:rPr>
          <w:fldChar w:fldCharType="end"/>
        </w:r>
      </w:hyperlink>
    </w:p>
    <w:p w:rsidR="00522AF6" w:rsidRDefault="0013399A">
      <w:pPr>
        <w:pStyle w:val="TOC2"/>
        <w:tabs>
          <w:tab w:val="left" w:pos="880"/>
          <w:tab w:val="right" w:leader="dot" w:pos="9072"/>
        </w:tabs>
        <w:rPr>
          <w:rFonts w:eastAsiaTheme="minorEastAsia" w:cstheme="minorBidi"/>
          <w:b w:val="0"/>
          <w:noProof/>
          <w:lang w:eastAsia="en-NZ" w:bidi="ar-SA"/>
        </w:rPr>
      </w:pPr>
      <w:hyperlink w:anchor="_Toc431224708" w:history="1">
        <w:r w:rsidR="00522AF6" w:rsidRPr="0036169A">
          <w:rPr>
            <w:rStyle w:val="Hyperlink"/>
            <w:noProof/>
          </w:rPr>
          <w:t>1.0</w:t>
        </w:r>
        <w:r w:rsidR="00522AF6">
          <w:rPr>
            <w:rFonts w:eastAsiaTheme="minorEastAsia" w:cstheme="minorBidi"/>
            <w:b w:val="0"/>
            <w:noProof/>
            <w:lang w:eastAsia="en-NZ" w:bidi="ar-SA"/>
          </w:rPr>
          <w:tab/>
        </w:r>
        <w:r w:rsidR="00522AF6" w:rsidRPr="0036169A">
          <w:rPr>
            <w:rStyle w:val="Hyperlink"/>
            <w:noProof/>
          </w:rPr>
          <w:t>Number of complaints received</w:t>
        </w:r>
        <w:r w:rsidR="00522AF6">
          <w:rPr>
            <w:noProof/>
            <w:webHidden/>
          </w:rPr>
          <w:tab/>
        </w:r>
        <w:r w:rsidR="00522AF6">
          <w:rPr>
            <w:noProof/>
            <w:webHidden/>
          </w:rPr>
          <w:fldChar w:fldCharType="begin"/>
        </w:r>
        <w:r w:rsidR="00522AF6">
          <w:rPr>
            <w:noProof/>
            <w:webHidden/>
          </w:rPr>
          <w:instrText xml:space="preserve"> PAGEREF _Toc431224708 \h </w:instrText>
        </w:r>
        <w:r w:rsidR="00522AF6">
          <w:rPr>
            <w:noProof/>
            <w:webHidden/>
          </w:rPr>
        </w:r>
        <w:r w:rsidR="00522AF6">
          <w:rPr>
            <w:noProof/>
            <w:webHidden/>
          </w:rPr>
          <w:fldChar w:fldCharType="separate"/>
        </w:r>
        <w:r w:rsidR="005D481F">
          <w:rPr>
            <w:noProof/>
            <w:webHidden/>
          </w:rPr>
          <w:t>1</w:t>
        </w:r>
        <w:r w:rsidR="00522AF6">
          <w:rPr>
            <w:noProof/>
            <w:webHidden/>
          </w:rPr>
          <w:fldChar w:fldCharType="end"/>
        </w:r>
      </w:hyperlink>
    </w:p>
    <w:p w:rsidR="00522AF6" w:rsidRDefault="0013399A">
      <w:pPr>
        <w:pStyle w:val="TOC3"/>
        <w:tabs>
          <w:tab w:val="left" w:pos="1100"/>
          <w:tab w:val="right" w:leader="dot" w:pos="9072"/>
        </w:tabs>
        <w:rPr>
          <w:rFonts w:eastAsiaTheme="minorEastAsia" w:cstheme="minorBidi"/>
          <w:noProof/>
          <w:lang w:eastAsia="en-NZ" w:bidi="ar-SA"/>
        </w:rPr>
      </w:pPr>
      <w:hyperlink w:anchor="_Toc431224709" w:history="1">
        <w:r w:rsidR="00522AF6" w:rsidRPr="0036169A">
          <w:rPr>
            <w:rStyle w:val="Hyperlink"/>
            <w:noProof/>
          </w:rPr>
          <w:t xml:space="preserve">1.1 </w:t>
        </w:r>
        <w:r w:rsidR="00522AF6">
          <w:rPr>
            <w:rFonts w:eastAsiaTheme="minorEastAsia" w:cstheme="minorBidi"/>
            <w:noProof/>
            <w:lang w:eastAsia="en-NZ" w:bidi="ar-SA"/>
          </w:rPr>
          <w:tab/>
        </w:r>
        <w:r w:rsidR="00522AF6" w:rsidRPr="0036169A">
          <w:rPr>
            <w:rStyle w:val="Hyperlink"/>
            <w:noProof/>
          </w:rPr>
          <w:t>Raw number of complaints received</w:t>
        </w:r>
        <w:r w:rsidR="00522AF6">
          <w:rPr>
            <w:noProof/>
            <w:webHidden/>
          </w:rPr>
          <w:tab/>
        </w:r>
        <w:r w:rsidR="00522AF6">
          <w:rPr>
            <w:noProof/>
            <w:webHidden/>
          </w:rPr>
          <w:fldChar w:fldCharType="begin"/>
        </w:r>
        <w:r w:rsidR="00522AF6">
          <w:rPr>
            <w:noProof/>
            <w:webHidden/>
          </w:rPr>
          <w:instrText xml:space="preserve"> PAGEREF _Toc431224709 \h </w:instrText>
        </w:r>
        <w:r w:rsidR="00522AF6">
          <w:rPr>
            <w:noProof/>
            <w:webHidden/>
          </w:rPr>
        </w:r>
        <w:r w:rsidR="00522AF6">
          <w:rPr>
            <w:noProof/>
            <w:webHidden/>
          </w:rPr>
          <w:fldChar w:fldCharType="separate"/>
        </w:r>
        <w:r w:rsidR="005D481F">
          <w:rPr>
            <w:noProof/>
            <w:webHidden/>
          </w:rPr>
          <w:t>1</w:t>
        </w:r>
        <w:r w:rsidR="00522AF6">
          <w:rPr>
            <w:noProof/>
            <w:webHidden/>
          </w:rPr>
          <w:fldChar w:fldCharType="end"/>
        </w:r>
      </w:hyperlink>
    </w:p>
    <w:p w:rsidR="00522AF6" w:rsidRDefault="0013399A">
      <w:pPr>
        <w:pStyle w:val="TOC3"/>
        <w:tabs>
          <w:tab w:val="left" w:pos="1100"/>
          <w:tab w:val="right" w:leader="dot" w:pos="9072"/>
        </w:tabs>
        <w:rPr>
          <w:rFonts w:eastAsiaTheme="minorEastAsia" w:cstheme="minorBidi"/>
          <w:noProof/>
          <w:lang w:eastAsia="en-NZ" w:bidi="ar-SA"/>
        </w:rPr>
      </w:pPr>
      <w:hyperlink w:anchor="_Toc431224710" w:history="1">
        <w:r w:rsidR="00522AF6" w:rsidRPr="0036169A">
          <w:rPr>
            <w:rStyle w:val="Hyperlink"/>
            <w:noProof/>
          </w:rPr>
          <w:t>1.2</w:t>
        </w:r>
        <w:r w:rsidR="00522AF6">
          <w:rPr>
            <w:rFonts w:eastAsiaTheme="minorEastAsia" w:cstheme="minorBidi"/>
            <w:noProof/>
            <w:lang w:eastAsia="en-NZ" w:bidi="ar-SA"/>
          </w:rPr>
          <w:tab/>
        </w:r>
        <w:r w:rsidR="00522AF6" w:rsidRPr="0036169A">
          <w:rPr>
            <w:rStyle w:val="Hyperlink"/>
            <w:noProof/>
          </w:rPr>
          <w:t>Rate of complaints received</w:t>
        </w:r>
        <w:r w:rsidR="00522AF6">
          <w:rPr>
            <w:noProof/>
            <w:webHidden/>
          </w:rPr>
          <w:tab/>
        </w:r>
        <w:r w:rsidR="00522AF6">
          <w:rPr>
            <w:noProof/>
            <w:webHidden/>
          </w:rPr>
          <w:fldChar w:fldCharType="begin"/>
        </w:r>
        <w:r w:rsidR="00522AF6">
          <w:rPr>
            <w:noProof/>
            <w:webHidden/>
          </w:rPr>
          <w:instrText xml:space="preserve"> PAGEREF _Toc431224710 \h </w:instrText>
        </w:r>
        <w:r w:rsidR="00522AF6">
          <w:rPr>
            <w:noProof/>
            <w:webHidden/>
          </w:rPr>
        </w:r>
        <w:r w:rsidR="00522AF6">
          <w:rPr>
            <w:noProof/>
            <w:webHidden/>
          </w:rPr>
          <w:fldChar w:fldCharType="separate"/>
        </w:r>
        <w:r w:rsidR="005D481F">
          <w:rPr>
            <w:noProof/>
            <w:webHidden/>
          </w:rPr>
          <w:t>2</w:t>
        </w:r>
        <w:r w:rsidR="00522AF6">
          <w:rPr>
            <w:noProof/>
            <w:webHidden/>
          </w:rPr>
          <w:fldChar w:fldCharType="end"/>
        </w:r>
      </w:hyperlink>
    </w:p>
    <w:p w:rsidR="00522AF6" w:rsidRDefault="0013399A">
      <w:pPr>
        <w:pStyle w:val="TOC2"/>
        <w:tabs>
          <w:tab w:val="left" w:pos="880"/>
          <w:tab w:val="right" w:leader="dot" w:pos="9072"/>
        </w:tabs>
        <w:rPr>
          <w:rFonts w:eastAsiaTheme="minorEastAsia" w:cstheme="minorBidi"/>
          <w:b w:val="0"/>
          <w:noProof/>
          <w:lang w:eastAsia="en-NZ" w:bidi="ar-SA"/>
        </w:rPr>
      </w:pPr>
      <w:hyperlink w:anchor="_Toc431224711" w:history="1">
        <w:r w:rsidR="00522AF6" w:rsidRPr="0036169A">
          <w:rPr>
            <w:rStyle w:val="Hyperlink"/>
            <w:noProof/>
          </w:rPr>
          <w:t>2.0</w:t>
        </w:r>
        <w:r w:rsidR="00522AF6">
          <w:rPr>
            <w:rFonts w:eastAsiaTheme="minorEastAsia" w:cstheme="minorBidi"/>
            <w:b w:val="0"/>
            <w:noProof/>
            <w:lang w:eastAsia="en-NZ" w:bidi="ar-SA"/>
          </w:rPr>
          <w:tab/>
        </w:r>
        <w:r w:rsidR="00522AF6" w:rsidRPr="0036169A">
          <w:rPr>
            <w:rStyle w:val="Hyperlink"/>
            <w:noProof/>
          </w:rPr>
          <w:t>Service types complained about</w:t>
        </w:r>
        <w:r w:rsidR="00522AF6">
          <w:rPr>
            <w:noProof/>
            <w:webHidden/>
          </w:rPr>
          <w:tab/>
        </w:r>
        <w:r w:rsidR="00522AF6">
          <w:rPr>
            <w:noProof/>
            <w:webHidden/>
          </w:rPr>
          <w:fldChar w:fldCharType="begin"/>
        </w:r>
        <w:r w:rsidR="00522AF6">
          <w:rPr>
            <w:noProof/>
            <w:webHidden/>
          </w:rPr>
          <w:instrText xml:space="preserve"> PAGEREF _Toc431224711 \h </w:instrText>
        </w:r>
        <w:r w:rsidR="00522AF6">
          <w:rPr>
            <w:noProof/>
            <w:webHidden/>
          </w:rPr>
        </w:r>
        <w:r w:rsidR="00522AF6">
          <w:rPr>
            <w:noProof/>
            <w:webHidden/>
          </w:rPr>
          <w:fldChar w:fldCharType="separate"/>
        </w:r>
        <w:r w:rsidR="005D481F">
          <w:rPr>
            <w:noProof/>
            <w:webHidden/>
          </w:rPr>
          <w:t>3</w:t>
        </w:r>
        <w:r w:rsidR="00522AF6">
          <w:rPr>
            <w:noProof/>
            <w:webHidden/>
          </w:rPr>
          <w:fldChar w:fldCharType="end"/>
        </w:r>
      </w:hyperlink>
    </w:p>
    <w:p w:rsidR="00522AF6" w:rsidRDefault="0013399A">
      <w:pPr>
        <w:pStyle w:val="TOC3"/>
        <w:tabs>
          <w:tab w:val="left" w:pos="1100"/>
          <w:tab w:val="right" w:leader="dot" w:pos="9072"/>
        </w:tabs>
        <w:rPr>
          <w:rFonts w:eastAsiaTheme="minorEastAsia" w:cstheme="minorBidi"/>
          <w:noProof/>
          <w:lang w:eastAsia="en-NZ" w:bidi="ar-SA"/>
        </w:rPr>
      </w:pPr>
      <w:hyperlink w:anchor="_Toc431224712" w:history="1">
        <w:r w:rsidR="00522AF6" w:rsidRPr="0036169A">
          <w:rPr>
            <w:rStyle w:val="Hyperlink"/>
            <w:noProof/>
          </w:rPr>
          <w:t>2.1</w:t>
        </w:r>
        <w:r w:rsidR="00522AF6">
          <w:rPr>
            <w:rFonts w:eastAsiaTheme="minorEastAsia" w:cstheme="minorBidi"/>
            <w:noProof/>
            <w:lang w:eastAsia="en-NZ" w:bidi="ar-SA"/>
          </w:rPr>
          <w:tab/>
        </w:r>
        <w:r w:rsidR="00522AF6" w:rsidRPr="0036169A">
          <w:rPr>
            <w:rStyle w:val="Hyperlink"/>
            <w:noProof/>
          </w:rPr>
          <w:t>Service type category</w:t>
        </w:r>
        <w:r w:rsidR="00522AF6">
          <w:rPr>
            <w:noProof/>
            <w:webHidden/>
          </w:rPr>
          <w:tab/>
        </w:r>
        <w:r w:rsidR="00522AF6">
          <w:rPr>
            <w:noProof/>
            <w:webHidden/>
          </w:rPr>
          <w:fldChar w:fldCharType="begin"/>
        </w:r>
        <w:r w:rsidR="00522AF6">
          <w:rPr>
            <w:noProof/>
            <w:webHidden/>
          </w:rPr>
          <w:instrText xml:space="preserve"> PAGEREF _Toc431224712 \h </w:instrText>
        </w:r>
        <w:r w:rsidR="00522AF6">
          <w:rPr>
            <w:noProof/>
            <w:webHidden/>
          </w:rPr>
        </w:r>
        <w:r w:rsidR="00522AF6">
          <w:rPr>
            <w:noProof/>
            <w:webHidden/>
          </w:rPr>
          <w:fldChar w:fldCharType="separate"/>
        </w:r>
        <w:r w:rsidR="005D481F">
          <w:rPr>
            <w:noProof/>
            <w:webHidden/>
          </w:rPr>
          <w:t>3</w:t>
        </w:r>
        <w:r w:rsidR="00522AF6">
          <w:rPr>
            <w:noProof/>
            <w:webHidden/>
          </w:rPr>
          <w:fldChar w:fldCharType="end"/>
        </w:r>
      </w:hyperlink>
    </w:p>
    <w:p w:rsidR="00522AF6" w:rsidRDefault="0013399A">
      <w:pPr>
        <w:pStyle w:val="TOC2"/>
        <w:tabs>
          <w:tab w:val="left" w:pos="880"/>
          <w:tab w:val="right" w:leader="dot" w:pos="9072"/>
        </w:tabs>
        <w:rPr>
          <w:rFonts w:eastAsiaTheme="minorEastAsia" w:cstheme="minorBidi"/>
          <w:b w:val="0"/>
          <w:noProof/>
          <w:lang w:eastAsia="en-NZ" w:bidi="ar-SA"/>
        </w:rPr>
      </w:pPr>
      <w:hyperlink w:anchor="_Toc431224713" w:history="1">
        <w:r w:rsidR="00522AF6" w:rsidRPr="0036169A">
          <w:rPr>
            <w:rStyle w:val="Hyperlink"/>
            <w:noProof/>
          </w:rPr>
          <w:t>3.0</w:t>
        </w:r>
        <w:r w:rsidR="00522AF6">
          <w:rPr>
            <w:rFonts w:eastAsiaTheme="minorEastAsia" w:cstheme="minorBidi"/>
            <w:b w:val="0"/>
            <w:noProof/>
            <w:lang w:eastAsia="en-NZ" w:bidi="ar-SA"/>
          </w:rPr>
          <w:tab/>
        </w:r>
        <w:r w:rsidR="00522AF6" w:rsidRPr="0036169A">
          <w:rPr>
            <w:rStyle w:val="Hyperlink"/>
            <w:noProof/>
          </w:rPr>
          <w:t>Issues complained about</w:t>
        </w:r>
        <w:r w:rsidR="00522AF6">
          <w:rPr>
            <w:noProof/>
            <w:webHidden/>
          </w:rPr>
          <w:tab/>
        </w:r>
        <w:r w:rsidR="00522AF6">
          <w:rPr>
            <w:noProof/>
            <w:webHidden/>
          </w:rPr>
          <w:fldChar w:fldCharType="begin"/>
        </w:r>
        <w:r w:rsidR="00522AF6">
          <w:rPr>
            <w:noProof/>
            <w:webHidden/>
          </w:rPr>
          <w:instrText xml:space="preserve"> PAGEREF _Toc431224713 \h </w:instrText>
        </w:r>
        <w:r w:rsidR="00522AF6">
          <w:rPr>
            <w:noProof/>
            <w:webHidden/>
          </w:rPr>
        </w:r>
        <w:r w:rsidR="00522AF6">
          <w:rPr>
            <w:noProof/>
            <w:webHidden/>
          </w:rPr>
          <w:fldChar w:fldCharType="separate"/>
        </w:r>
        <w:r w:rsidR="005D481F">
          <w:rPr>
            <w:noProof/>
            <w:webHidden/>
          </w:rPr>
          <w:t>5</w:t>
        </w:r>
        <w:r w:rsidR="00522AF6">
          <w:rPr>
            <w:noProof/>
            <w:webHidden/>
          </w:rPr>
          <w:fldChar w:fldCharType="end"/>
        </w:r>
      </w:hyperlink>
    </w:p>
    <w:p w:rsidR="00522AF6" w:rsidRDefault="0013399A">
      <w:pPr>
        <w:pStyle w:val="TOC3"/>
        <w:tabs>
          <w:tab w:val="left" w:pos="1100"/>
          <w:tab w:val="right" w:leader="dot" w:pos="9072"/>
        </w:tabs>
        <w:rPr>
          <w:rFonts w:eastAsiaTheme="minorEastAsia" w:cstheme="minorBidi"/>
          <w:noProof/>
          <w:lang w:eastAsia="en-NZ" w:bidi="ar-SA"/>
        </w:rPr>
      </w:pPr>
      <w:hyperlink w:anchor="_Toc431224714" w:history="1">
        <w:r w:rsidR="00522AF6" w:rsidRPr="0036169A">
          <w:rPr>
            <w:rStyle w:val="Hyperlink"/>
            <w:noProof/>
          </w:rPr>
          <w:t>3.1</w:t>
        </w:r>
        <w:r w:rsidR="00522AF6">
          <w:rPr>
            <w:rFonts w:eastAsiaTheme="minorEastAsia" w:cstheme="minorBidi"/>
            <w:noProof/>
            <w:lang w:eastAsia="en-NZ" w:bidi="ar-SA"/>
          </w:rPr>
          <w:tab/>
        </w:r>
        <w:r w:rsidR="00522AF6" w:rsidRPr="0036169A">
          <w:rPr>
            <w:rStyle w:val="Hyperlink"/>
            <w:noProof/>
          </w:rPr>
          <w:t>Primary complaint issues</w:t>
        </w:r>
        <w:r w:rsidR="00522AF6">
          <w:rPr>
            <w:noProof/>
            <w:webHidden/>
          </w:rPr>
          <w:tab/>
        </w:r>
        <w:r w:rsidR="00522AF6">
          <w:rPr>
            <w:noProof/>
            <w:webHidden/>
          </w:rPr>
          <w:fldChar w:fldCharType="begin"/>
        </w:r>
        <w:r w:rsidR="00522AF6">
          <w:rPr>
            <w:noProof/>
            <w:webHidden/>
          </w:rPr>
          <w:instrText xml:space="preserve"> PAGEREF _Toc431224714 \h </w:instrText>
        </w:r>
        <w:r w:rsidR="00522AF6">
          <w:rPr>
            <w:noProof/>
            <w:webHidden/>
          </w:rPr>
        </w:r>
        <w:r w:rsidR="00522AF6">
          <w:rPr>
            <w:noProof/>
            <w:webHidden/>
          </w:rPr>
          <w:fldChar w:fldCharType="separate"/>
        </w:r>
        <w:r w:rsidR="005D481F">
          <w:rPr>
            <w:noProof/>
            <w:webHidden/>
          </w:rPr>
          <w:t>5</w:t>
        </w:r>
        <w:r w:rsidR="00522AF6">
          <w:rPr>
            <w:noProof/>
            <w:webHidden/>
          </w:rPr>
          <w:fldChar w:fldCharType="end"/>
        </w:r>
      </w:hyperlink>
    </w:p>
    <w:p w:rsidR="00522AF6" w:rsidRDefault="0013399A">
      <w:pPr>
        <w:pStyle w:val="TOC3"/>
        <w:tabs>
          <w:tab w:val="left" w:pos="1100"/>
          <w:tab w:val="right" w:leader="dot" w:pos="9072"/>
        </w:tabs>
        <w:rPr>
          <w:rFonts w:eastAsiaTheme="minorEastAsia" w:cstheme="minorBidi"/>
          <w:noProof/>
          <w:lang w:eastAsia="en-NZ" w:bidi="ar-SA"/>
        </w:rPr>
      </w:pPr>
      <w:hyperlink w:anchor="_Toc431224715" w:history="1">
        <w:r w:rsidR="00522AF6" w:rsidRPr="0036169A">
          <w:rPr>
            <w:rStyle w:val="Hyperlink"/>
            <w:noProof/>
          </w:rPr>
          <w:t>3.2</w:t>
        </w:r>
        <w:r w:rsidR="00522AF6">
          <w:rPr>
            <w:rFonts w:eastAsiaTheme="minorEastAsia" w:cstheme="minorBidi"/>
            <w:noProof/>
            <w:lang w:eastAsia="en-NZ" w:bidi="ar-SA"/>
          </w:rPr>
          <w:tab/>
        </w:r>
        <w:r w:rsidR="00522AF6" w:rsidRPr="0036169A">
          <w:rPr>
            <w:rStyle w:val="Hyperlink"/>
            <w:noProof/>
          </w:rPr>
          <w:t>All complaint  issues</w:t>
        </w:r>
        <w:r w:rsidR="00522AF6">
          <w:rPr>
            <w:noProof/>
            <w:webHidden/>
          </w:rPr>
          <w:tab/>
        </w:r>
        <w:r w:rsidR="00522AF6">
          <w:rPr>
            <w:noProof/>
            <w:webHidden/>
          </w:rPr>
          <w:fldChar w:fldCharType="begin"/>
        </w:r>
        <w:r w:rsidR="00522AF6">
          <w:rPr>
            <w:noProof/>
            <w:webHidden/>
          </w:rPr>
          <w:instrText xml:space="preserve"> PAGEREF _Toc431224715 \h </w:instrText>
        </w:r>
        <w:r w:rsidR="00522AF6">
          <w:rPr>
            <w:noProof/>
            <w:webHidden/>
          </w:rPr>
        </w:r>
        <w:r w:rsidR="00522AF6">
          <w:rPr>
            <w:noProof/>
            <w:webHidden/>
          </w:rPr>
          <w:fldChar w:fldCharType="separate"/>
        </w:r>
        <w:r w:rsidR="005D481F">
          <w:rPr>
            <w:noProof/>
            <w:webHidden/>
          </w:rPr>
          <w:t>7</w:t>
        </w:r>
        <w:r w:rsidR="00522AF6">
          <w:rPr>
            <w:noProof/>
            <w:webHidden/>
          </w:rPr>
          <w:fldChar w:fldCharType="end"/>
        </w:r>
      </w:hyperlink>
    </w:p>
    <w:p w:rsidR="00522AF6" w:rsidRDefault="0013399A">
      <w:pPr>
        <w:pStyle w:val="TOC3"/>
        <w:tabs>
          <w:tab w:val="left" w:pos="1100"/>
          <w:tab w:val="right" w:leader="dot" w:pos="9072"/>
        </w:tabs>
        <w:rPr>
          <w:rFonts w:eastAsiaTheme="minorEastAsia" w:cstheme="minorBidi"/>
          <w:noProof/>
          <w:lang w:eastAsia="en-NZ" w:bidi="ar-SA"/>
        </w:rPr>
      </w:pPr>
      <w:hyperlink w:anchor="_Toc431224716" w:history="1">
        <w:r w:rsidR="00522AF6" w:rsidRPr="0036169A">
          <w:rPr>
            <w:rStyle w:val="Hyperlink"/>
            <w:noProof/>
          </w:rPr>
          <w:t>3.3</w:t>
        </w:r>
        <w:r w:rsidR="00522AF6">
          <w:rPr>
            <w:rFonts w:eastAsiaTheme="minorEastAsia" w:cstheme="minorBidi"/>
            <w:noProof/>
            <w:lang w:eastAsia="en-NZ" w:bidi="ar-SA"/>
          </w:rPr>
          <w:tab/>
        </w:r>
        <w:r w:rsidR="00522AF6" w:rsidRPr="0036169A">
          <w:rPr>
            <w:rStyle w:val="Hyperlink"/>
            <w:noProof/>
          </w:rPr>
          <w:t>Service type and primary issues</w:t>
        </w:r>
        <w:r w:rsidR="00522AF6">
          <w:rPr>
            <w:noProof/>
            <w:webHidden/>
          </w:rPr>
          <w:tab/>
        </w:r>
        <w:r w:rsidR="00522AF6">
          <w:rPr>
            <w:noProof/>
            <w:webHidden/>
          </w:rPr>
          <w:fldChar w:fldCharType="begin"/>
        </w:r>
        <w:r w:rsidR="00522AF6">
          <w:rPr>
            <w:noProof/>
            <w:webHidden/>
          </w:rPr>
          <w:instrText xml:space="preserve"> PAGEREF _Toc431224716 \h </w:instrText>
        </w:r>
        <w:r w:rsidR="00522AF6">
          <w:rPr>
            <w:noProof/>
            <w:webHidden/>
          </w:rPr>
        </w:r>
        <w:r w:rsidR="00522AF6">
          <w:rPr>
            <w:noProof/>
            <w:webHidden/>
          </w:rPr>
          <w:fldChar w:fldCharType="separate"/>
        </w:r>
        <w:r w:rsidR="005D481F">
          <w:rPr>
            <w:noProof/>
            <w:webHidden/>
          </w:rPr>
          <w:t>10</w:t>
        </w:r>
        <w:r w:rsidR="00522AF6">
          <w:rPr>
            <w:noProof/>
            <w:webHidden/>
          </w:rPr>
          <w:fldChar w:fldCharType="end"/>
        </w:r>
      </w:hyperlink>
    </w:p>
    <w:p w:rsidR="00522AF6" w:rsidRDefault="0013399A">
      <w:pPr>
        <w:pStyle w:val="TOC2"/>
        <w:tabs>
          <w:tab w:val="left" w:pos="880"/>
          <w:tab w:val="right" w:leader="dot" w:pos="9072"/>
        </w:tabs>
        <w:rPr>
          <w:rFonts w:eastAsiaTheme="minorEastAsia" w:cstheme="minorBidi"/>
          <w:b w:val="0"/>
          <w:noProof/>
          <w:lang w:eastAsia="en-NZ" w:bidi="ar-SA"/>
        </w:rPr>
      </w:pPr>
      <w:hyperlink w:anchor="_Toc431224717" w:history="1">
        <w:r w:rsidR="00522AF6" w:rsidRPr="0036169A">
          <w:rPr>
            <w:rStyle w:val="Hyperlink"/>
            <w:noProof/>
          </w:rPr>
          <w:t>4.0</w:t>
        </w:r>
        <w:r w:rsidR="00522AF6">
          <w:rPr>
            <w:rFonts w:eastAsiaTheme="minorEastAsia" w:cstheme="minorBidi"/>
            <w:b w:val="0"/>
            <w:noProof/>
            <w:lang w:eastAsia="en-NZ" w:bidi="ar-SA"/>
          </w:rPr>
          <w:tab/>
        </w:r>
        <w:r w:rsidR="00522AF6" w:rsidRPr="0036169A">
          <w:rPr>
            <w:rStyle w:val="Hyperlink"/>
            <w:noProof/>
          </w:rPr>
          <w:t>Complaints closed</w:t>
        </w:r>
        <w:r w:rsidR="00522AF6">
          <w:rPr>
            <w:noProof/>
            <w:webHidden/>
          </w:rPr>
          <w:tab/>
        </w:r>
        <w:r w:rsidR="00522AF6">
          <w:rPr>
            <w:noProof/>
            <w:webHidden/>
          </w:rPr>
          <w:fldChar w:fldCharType="begin"/>
        </w:r>
        <w:r w:rsidR="00522AF6">
          <w:rPr>
            <w:noProof/>
            <w:webHidden/>
          </w:rPr>
          <w:instrText xml:space="preserve"> PAGEREF _Toc431224717 \h </w:instrText>
        </w:r>
        <w:r w:rsidR="00522AF6">
          <w:rPr>
            <w:noProof/>
            <w:webHidden/>
          </w:rPr>
        </w:r>
        <w:r w:rsidR="00522AF6">
          <w:rPr>
            <w:noProof/>
            <w:webHidden/>
          </w:rPr>
          <w:fldChar w:fldCharType="separate"/>
        </w:r>
        <w:r w:rsidR="005D481F">
          <w:rPr>
            <w:noProof/>
            <w:webHidden/>
          </w:rPr>
          <w:t>10</w:t>
        </w:r>
        <w:r w:rsidR="00522AF6">
          <w:rPr>
            <w:noProof/>
            <w:webHidden/>
          </w:rPr>
          <w:fldChar w:fldCharType="end"/>
        </w:r>
      </w:hyperlink>
    </w:p>
    <w:p w:rsidR="00522AF6" w:rsidRDefault="0013399A">
      <w:pPr>
        <w:pStyle w:val="TOC3"/>
        <w:tabs>
          <w:tab w:val="left" w:pos="1100"/>
          <w:tab w:val="right" w:leader="dot" w:pos="9072"/>
        </w:tabs>
        <w:rPr>
          <w:rFonts w:eastAsiaTheme="minorEastAsia" w:cstheme="minorBidi"/>
          <w:noProof/>
          <w:lang w:eastAsia="en-NZ" w:bidi="ar-SA"/>
        </w:rPr>
      </w:pPr>
      <w:hyperlink w:anchor="_Toc431224718" w:history="1">
        <w:r w:rsidR="00522AF6" w:rsidRPr="0036169A">
          <w:rPr>
            <w:rStyle w:val="Hyperlink"/>
            <w:noProof/>
          </w:rPr>
          <w:t>4.1</w:t>
        </w:r>
        <w:r w:rsidR="00522AF6">
          <w:rPr>
            <w:rFonts w:eastAsiaTheme="minorEastAsia" w:cstheme="minorBidi"/>
            <w:noProof/>
            <w:lang w:eastAsia="en-NZ" w:bidi="ar-SA"/>
          </w:rPr>
          <w:tab/>
        </w:r>
        <w:r w:rsidR="00522AF6" w:rsidRPr="0036169A">
          <w:rPr>
            <w:rStyle w:val="Hyperlink"/>
            <w:noProof/>
          </w:rPr>
          <w:t>Number of complaints closed</w:t>
        </w:r>
        <w:r w:rsidR="00522AF6">
          <w:rPr>
            <w:noProof/>
            <w:webHidden/>
          </w:rPr>
          <w:tab/>
        </w:r>
        <w:r w:rsidR="00522AF6">
          <w:rPr>
            <w:noProof/>
            <w:webHidden/>
          </w:rPr>
          <w:fldChar w:fldCharType="begin"/>
        </w:r>
        <w:r w:rsidR="00522AF6">
          <w:rPr>
            <w:noProof/>
            <w:webHidden/>
          </w:rPr>
          <w:instrText xml:space="preserve"> PAGEREF _Toc431224718 \h </w:instrText>
        </w:r>
        <w:r w:rsidR="00522AF6">
          <w:rPr>
            <w:noProof/>
            <w:webHidden/>
          </w:rPr>
        </w:r>
        <w:r w:rsidR="00522AF6">
          <w:rPr>
            <w:noProof/>
            <w:webHidden/>
          </w:rPr>
          <w:fldChar w:fldCharType="separate"/>
        </w:r>
        <w:r w:rsidR="005D481F">
          <w:rPr>
            <w:noProof/>
            <w:webHidden/>
          </w:rPr>
          <w:t>10</w:t>
        </w:r>
        <w:r w:rsidR="00522AF6">
          <w:rPr>
            <w:noProof/>
            <w:webHidden/>
          </w:rPr>
          <w:fldChar w:fldCharType="end"/>
        </w:r>
      </w:hyperlink>
    </w:p>
    <w:p w:rsidR="00522AF6" w:rsidRDefault="0013399A">
      <w:pPr>
        <w:pStyle w:val="TOC3"/>
        <w:tabs>
          <w:tab w:val="left" w:pos="1100"/>
          <w:tab w:val="right" w:leader="dot" w:pos="9072"/>
        </w:tabs>
        <w:rPr>
          <w:rFonts w:eastAsiaTheme="minorEastAsia" w:cstheme="minorBidi"/>
          <w:noProof/>
          <w:lang w:eastAsia="en-NZ" w:bidi="ar-SA"/>
        </w:rPr>
      </w:pPr>
      <w:hyperlink w:anchor="_Toc431224719" w:history="1">
        <w:r w:rsidR="00522AF6" w:rsidRPr="0036169A">
          <w:rPr>
            <w:rStyle w:val="Hyperlink"/>
            <w:noProof/>
          </w:rPr>
          <w:t>4.2</w:t>
        </w:r>
        <w:r w:rsidR="00522AF6">
          <w:rPr>
            <w:rFonts w:eastAsiaTheme="minorEastAsia" w:cstheme="minorBidi"/>
            <w:noProof/>
            <w:lang w:eastAsia="en-NZ" w:bidi="ar-SA"/>
          </w:rPr>
          <w:tab/>
        </w:r>
        <w:r w:rsidR="00522AF6" w:rsidRPr="0036169A">
          <w:rPr>
            <w:rStyle w:val="Hyperlink"/>
            <w:noProof/>
          </w:rPr>
          <w:t>Outcomes of complaints closed</w:t>
        </w:r>
        <w:r w:rsidR="00522AF6">
          <w:rPr>
            <w:noProof/>
            <w:webHidden/>
          </w:rPr>
          <w:tab/>
        </w:r>
        <w:r w:rsidR="00522AF6">
          <w:rPr>
            <w:noProof/>
            <w:webHidden/>
          </w:rPr>
          <w:fldChar w:fldCharType="begin"/>
        </w:r>
        <w:r w:rsidR="00522AF6">
          <w:rPr>
            <w:noProof/>
            <w:webHidden/>
          </w:rPr>
          <w:instrText xml:space="preserve"> PAGEREF _Toc431224719 \h </w:instrText>
        </w:r>
        <w:r w:rsidR="00522AF6">
          <w:rPr>
            <w:noProof/>
            <w:webHidden/>
          </w:rPr>
        </w:r>
        <w:r w:rsidR="00522AF6">
          <w:rPr>
            <w:noProof/>
            <w:webHidden/>
          </w:rPr>
          <w:fldChar w:fldCharType="separate"/>
        </w:r>
        <w:r w:rsidR="005D481F">
          <w:rPr>
            <w:noProof/>
            <w:webHidden/>
          </w:rPr>
          <w:t>11</w:t>
        </w:r>
        <w:r w:rsidR="00522AF6">
          <w:rPr>
            <w:noProof/>
            <w:webHidden/>
          </w:rPr>
          <w:fldChar w:fldCharType="end"/>
        </w:r>
      </w:hyperlink>
    </w:p>
    <w:p w:rsidR="00522AF6" w:rsidRDefault="0013399A">
      <w:pPr>
        <w:pStyle w:val="TOC3"/>
        <w:tabs>
          <w:tab w:val="left" w:pos="1100"/>
          <w:tab w:val="right" w:leader="dot" w:pos="9072"/>
        </w:tabs>
        <w:rPr>
          <w:rFonts w:eastAsiaTheme="minorEastAsia" w:cstheme="minorBidi"/>
          <w:noProof/>
          <w:lang w:eastAsia="en-NZ" w:bidi="ar-SA"/>
        </w:rPr>
      </w:pPr>
      <w:hyperlink w:anchor="_Toc431224720" w:history="1">
        <w:r w:rsidR="00522AF6" w:rsidRPr="0036169A">
          <w:rPr>
            <w:rStyle w:val="Hyperlink"/>
            <w:noProof/>
            <w:lang w:eastAsia="en-NZ"/>
          </w:rPr>
          <w:t xml:space="preserve">4.3 </w:t>
        </w:r>
        <w:r w:rsidR="00522AF6">
          <w:rPr>
            <w:rFonts w:eastAsiaTheme="minorEastAsia" w:cstheme="minorBidi"/>
            <w:noProof/>
            <w:lang w:eastAsia="en-NZ" w:bidi="ar-SA"/>
          </w:rPr>
          <w:tab/>
        </w:r>
        <w:r w:rsidR="00522AF6" w:rsidRPr="0036169A">
          <w:rPr>
            <w:rStyle w:val="Hyperlink"/>
            <w:noProof/>
          </w:rPr>
          <w:t>Recommendations</w:t>
        </w:r>
        <w:r w:rsidR="00522AF6" w:rsidRPr="0036169A">
          <w:rPr>
            <w:rStyle w:val="Hyperlink"/>
            <w:noProof/>
            <w:lang w:eastAsia="en-NZ"/>
          </w:rPr>
          <w:t xml:space="preserve"> made to DHBs following a complaint</w:t>
        </w:r>
        <w:r w:rsidR="00522AF6">
          <w:rPr>
            <w:noProof/>
            <w:webHidden/>
          </w:rPr>
          <w:tab/>
        </w:r>
        <w:r w:rsidR="00522AF6">
          <w:rPr>
            <w:noProof/>
            <w:webHidden/>
          </w:rPr>
          <w:fldChar w:fldCharType="begin"/>
        </w:r>
        <w:r w:rsidR="00522AF6">
          <w:rPr>
            <w:noProof/>
            <w:webHidden/>
          </w:rPr>
          <w:instrText xml:space="preserve"> PAGEREF _Toc431224720 \h </w:instrText>
        </w:r>
        <w:r w:rsidR="00522AF6">
          <w:rPr>
            <w:noProof/>
            <w:webHidden/>
          </w:rPr>
        </w:r>
        <w:r w:rsidR="00522AF6">
          <w:rPr>
            <w:noProof/>
            <w:webHidden/>
          </w:rPr>
          <w:fldChar w:fldCharType="separate"/>
        </w:r>
        <w:r w:rsidR="005D481F">
          <w:rPr>
            <w:noProof/>
            <w:webHidden/>
          </w:rPr>
          <w:t>12</w:t>
        </w:r>
        <w:r w:rsidR="00522AF6">
          <w:rPr>
            <w:noProof/>
            <w:webHidden/>
          </w:rPr>
          <w:fldChar w:fldCharType="end"/>
        </w:r>
      </w:hyperlink>
    </w:p>
    <w:p w:rsidR="00522AF6" w:rsidRDefault="0013399A">
      <w:pPr>
        <w:pStyle w:val="TOC2"/>
        <w:tabs>
          <w:tab w:val="left" w:pos="880"/>
          <w:tab w:val="right" w:leader="dot" w:pos="9072"/>
        </w:tabs>
        <w:rPr>
          <w:rFonts w:eastAsiaTheme="minorEastAsia" w:cstheme="minorBidi"/>
          <w:b w:val="0"/>
          <w:noProof/>
          <w:lang w:eastAsia="en-NZ" w:bidi="ar-SA"/>
        </w:rPr>
      </w:pPr>
      <w:hyperlink w:anchor="_Toc431224721" w:history="1">
        <w:r w:rsidR="00522AF6" w:rsidRPr="0036169A">
          <w:rPr>
            <w:rStyle w:val="Hyperlink"/>
            <w:noProof/>
          </w:rPr>
          <w:t>5.0</w:t>
        </w:r>
        <w:r w:rsidR="00522AF6">
          <w:rPr>
            <w:rFonts w:eastAsiaTheme="minorEastAsia" w:cstheme="minorBidi"/>
            <w:b w:val="0"/>
            <w:noProof/>
            <w:lang w:eastAsia="en-NZ" w:bidi="ar-SA"/>
          </w:rPr>
          <w:tab/>
        </w:r>
        <w:r w:rsidR="00522AF6" w:rsidRPr="0036169A">
          <w:rPr>
            <w:rStyle w:val="Hyperlink"/>
            <w:noProof/>
          </w:rPr>
          <w:t>Learning from complaints — HDC case reports</w:t>
        </w:r>
        <w:r w:rsidR="00522AF6">
          <w:rPr>
            <w:noProof/>
            <w:webHidden/>
          </w:rPr>
          <w:tab/>
        </w:r>
        <w:r w:rsidR="00522AF6">
          <w:rPr>
            <w:noProof/>
            <w:webHidden/>
          </w:rPr>
          <w:fldChar w:fldCharType="begin"/>
        </w:r>
        <w:r w:rsidR="00522AF6">
          <w:rPr>
            <w:noProof/>
            <w:webHidden/>
          </w:rPr>
          <w:instrText xml:space="preserve"> PAGEREF _Toc431224721 \h </w:instrText>
        </w:r>
        <w:r w:rsidR="00522AF6">
          <w:rPr>
            <w:noProof/>
            <w:webHidden/>
          </w:rPr>
        </w:r>
        <w:r w:rsidR="00522AF6">
          <w:rPr>
            <w:noProof/>
            <w:webHidden/>
          </w:rPr>
          <w:fldChar w:fldCharType="separate"/>
        </w:r>
        <w:r w:rsidR="005D481F">
          <w:rPr>
            <w:noProof/>
            <w:webHidden/>
          </w:rPr>
          <w:t>13</w:t>
        </w:r>
        <w:r w:rsidR="00522AF6">
          <w:rPr>
            <w:noProof/>
            <w:webHidden/>
          </w:rPr>
          <w:fldChar w:fldCharType="end"/>
        </w:r>
      </w:hyperlink>
    </w:p>
    <w:p w:rsidR="00E129ED" w:rsidRPr="009179EE" w:rsidRDefault="00E129ED" w:rsidP="00E129ED">
      <w:pPr>
        <w:jc w:val="left"/>
        <w:rPr>
          <w:b/>
          <w:color w:val="000000" w:themeColor="text1"/>
          <w:sz w:val="32"/>
          <w:szCs w:val="32"/>
        </w:rPr>
      </w:pPr>
      <w:r w:rsidRPr="009179EE">
        <w:rPr>
          <w:b/>
          <w:color w:val="000000" w:themeColor="text1"/>
          <w:sz w:val="32"/>
          <w:szCs w:val="32"/>
        </w:rPr>
        <w:fldChar w:fldCharType="end"/>
      </w:r>
    </w:p>
    <w:p w:rsidR="00E129ED" w:rsidRPr="009179EE" w:rsidRDefault="00E129ED" w:rsidP="00E129ED">
      <w:pPr>
        <w:jc w:val="left"/>
        <w:rPr>
          <w:b/>
          <w:color w:val="000000" w:themeColor="text1"/>
          <w:sz w:val="32"/>
          <w:szCs w:val="32"/>
        </w:rPr>
        <w:sectPr w:rsidR="00E129ED" w:rsidRPr="009179EE" w:rsidSect="00540962">
          <w:headerReference w:type="default" r:id="rId16"/>
          <w:footerReference w:type="default" r:id="rId17"/>
          <w:headerReference w:type="first" r:id="rId18"/>
          <w:footerReference w:type="first" r:id="rId19"/>
          <w:pgSz w:w="11906" w:h="16838" w:code="9"/>
          <w:pgMar w:top="1140" w:right="1412" w:bottom="851" w:left="1412" w:header="720" w:footer="590" w:gutter="0"/>
          <w:pgNumType w:fmt="lowerRoman" w:start="1"/>
          <w:cols w:space="720"/>
          <w:titlePg/>
          <w:docGrid w:linePitch="360"/>
        </w:sectPr>
      </w:pPr>
    </w:p>
    <w:p w:rsidR="00522AF6" w:rsidRDefault="00522AF6" w:rsidP="00522AF6">
      <w:pPr>
        <w:pStyle w:val="Heading1"/>
        <w:spacing w:before="240"/>
        <w:rPr>
          <w:lang w:val="en-NZ"/>
        </w:rPr>
      </w:pPr>
      <w:bookmarkStart w:id="3" w:name="_Toc384047606"/>
      <w:bookmarkStart w:id="4" w:name="_Toc426462625"/>
      <w:bookmarkStart w:id="5" w:name="_Toc431224706"/>
      <w:r w:rsidRPr="009179EE">
        <w:rPr>
          <w:lang w:val="en-NZ"/>
        </w:rPr>
        <w:t>Commissioner’s Foreword</w:t>
      </w:r>
      <w:bookmarkEnd w:id="3"/>
      <w:bookmarkEnd w:id="4"/>
      <w:bookmarkEnd w:id="5"/>
    </w:p>
    <w:p w:rsidR="00522AF6" w:rsidRDefault="00522AF6" w:rsidP="00522AF6">
      <w:r>
        <w:t>I am pleased to present you with HDC’s second six monthly DHB complaint report for the 2014/2015 year.</w:t>
      </w:r>
    </w:p>
    <w:p w:rsidR="00522AF6" w:rsidRDefault="00522AF6" w:rsidP="00522AF6"/>
    <w:p w:rsidR="00522AF6" w:rsidRDefault="00522AF6" w:rsidP="00522AF6">
      <w:r>
        <w:t xml:space="preserve">The trends within this report are broadly consistent with what was seen in the first half of 2014/2015. A missed, incorrect or delayed diagnosis continues to be the most common specific primary issue in complaints about DHB services, with it being the primary reason for around 20% of complaints. When we analyse all issues raised in complaints, communication continues to feature prominently; a failure to communicate effectively with the consumer was at issue in around 34% of complaints about DHB services.   </w:t>
      </w:r>
    </w:p>
    <w:p w:rsidR="00522AF6" w:rsidRDefault="00522AF6" w:rsidP="00522AF6"/>
    <w:p w:rsidR="00522AF6" w:rsidRPr="00662979" w:rsidRDefault="00522AF6" w:rsidP="00522AF6">
      <w:r>
        <w:t xml:space="preserve">Looking at the case reports presented in the “learning from complaints” section, we see that when things go wrong within DHB services, failings in teamwork are often implicated. Inadequate coordination of care is also often noted by consumers in their complaints about DHBs, with this being consistently at issue in around 20% of complaints in each six-month period. As I have noted previously, </w:t>
      </w:r>
      <w:r>
        <w:rPr>
          <w:iCs/>
        </w:rPr>
        <w:t>i</w:t>
      </w:r>
      <w:r w:rsidRPr="00662979">
        <w:rPr>
          <w:iCs/>
        </w:rPr>
        <w:t>n any healthcare system, there are a series of layers of protections and people, which together operate to deliver seamless service to a patient.  When any one or more of these layers do not operate optimal</w:t>
      </w:r>
      <w:r>
        <w:rPr>
          <w:iCs/>
        </w:rPr>
        <w:t>ly, the potential for that layer</w:t>
      </w:r>
      <w:r w:rsidRPr="00662979">
        <w:rPr>
          <w:iCs/>
        </w:rPr>
        <w:t xml:space="preserve"> to provide protection, or d</w:t>
      </w:r>
      <w:r>
        <w:rPr>
          <w:iCs/>
        </w:rPr>
        <w:t xml:space="preserve">eliver services, is compromised. </w:t>
      </w:r>
      <w:r>
        <w:rPr>
          <w:iCs/>
          <w:lang w:val="en-US"/>
        </w:rPr>
        <w:t>C</w:t>
      </w:r>
      <w:r w:rsidRPr="0076672D">
        <w:rPr>
          <w:iCs/>
          <w:lang w:val="en-US"/>
        </w:rPr>
        <w:t>ommunication is key to</w:t>
      </w:r>
      <w:r>
        <w:rPr>
          <w:iCs/>
          <w:lang w:val="en-US"/>
        </w:rPr>
        <w:t xml:space="preserve"> providing this seamless service. </w:t>
      </w:r>
      <w:r w:rsidRPr="0076672D">
        <w:rPr>
          <w:iCs/>
          <w:lang w:val="en-US"/>
        </w:rPr>
        <w:t>Patients will often move from one part of the health care system to another, and back again, as they access</w:t>
      </w:r>
      <w:r>
        <w:rPr>
          <w:iCs/>
          <w:lang w:val="en-US"/>
        </w:rPr>
        <w:t xml:space="preserve"> the various services they need. </w:t>
      </w:r>
      <w:r w:rsidRPr="0076672D">
        <w:rPr>
          <w:iCs/>
          <w:lang w:val="en-US"/>
        </w:rPr>
        <w:t xml:space="preserve">It is essential that different units within the same system communicate well and that there is a safe and seamless system to ensure that the patient moves between the different providers and receives </w:t>
      </w:r>
      <w:r>
        <w:rPr>
          <w:iCs/>
          <w:lang w:val="en-US"/>
        </w:rPr>
        <w:t>appropriate care at all stages.</w:t>
      </w:r>
    </w:p>
    <w:p w:rsidR="00522AF6" w:rsidRPr="00662979" w:rsidRDefault="00522AF6" w:rsidP="00522AF6">
      <w:r w:rsidRPr="00662979">
        <w:t xml:space="preserve">   </w:t>
      </w:r>
    </w:p>
    <w:p w:rsidR="00522AF6" w:rsidRDefault="00522AF6" w:rsidP="00522AF6">
      <w:r>
        <w:t>I trust that this report will prove useful to you. I continue to welcome your feedback on how we can further improve the usefulness of these reports.</w:t>
      </w:r>
    </w:p>
    <w:p w:rsidR="00522AF6" w:rsidRDefault="00522AF6" w:rsidP="00522AF6">
      <w:pPr>
        <w:rPr>
          <w:lang w:val="en-US"/>
        </w:rPr>
      </w:pPr>
    </w:p>
    <w:p w:rsidR="00522AF6" w:rsidRDefault="00522AF6" w:rsidP="00522AF6">
      <w:pPr>
        <w:rPr>
          <w:lang w:val="en-US"/>
        </w:rPr>
      </w:pPr>
    </w:p>
    <w:p w:rsidR="00522AF6" w:rsidRDefault="00522AF6" w:rsidP="00522AF6">
      <w:pPr>
        <w:jc w:val="left"/>
        <w:rPr>
          <w:lang w:val="en-US"/>
        </w:rPr>
      </w:pPr>
    </w:p>
    <w:p w:rsidR="00522AF6" w:rsidRPr="007A1548" w:rsidRDefault="00522AF6" w:rsidP="00522AF6">
      <w:pPr>
        <w:jc w:val="left"/>
        <w:rPr>
          <w:lang w:val="en-US"/>
        </w:rPr>
      </w:pPr>
      <w:r>
        <w:rPr>
          <w:lang w:val="en-US"/>
        </w:rPr>
        <w:t xml:space="preserve">Anthony </w:t>
      </w:r>
      <w:r w:rsidRPr="007A1548">
        <w:rPr>
          <w:lang w:val="en-US"/>
        </w:rPr>
        <w:t>Hill</w:t>
      </w:r>
      <w:r>
        <w:rPr>
          <w:lang w:val="en-US"/>
        </w:rPr>
        <w:br/>
      </w:r>
      <w:r w:rsidRPr="007A1548">
        <w:rPr>
          <w:lang w:val="en-US"/>
        </w:rPr>
        <w:t>Health and Disability Commissioner</w:t>
      </w:r>
    </w:p>
    <w:p w:rsidR="00522AF6" w:rsidRDefault="00522AF6" w:rsidP="00522AF6"/>
    <w:p w:rsidR="00522AF6" w:rsidRPr="004626BC" w:rsidRDefault="00522AF6" w:rsidP="00522AF6">
      <w:pPr>
        <w:rPr>
          <w:lang w:bidi="ar-SA"/>
        </w:rPr>
      </w:pPr>
    </w:p>
    <w:p w:rsidR="00522AF6" w:rsidRDefault="00522AF6" w:rsidP="00522AF6"/>
    <w:p w:rsidR="00522AF6" w:rsidRPr="009179EE" w:rsidRDefault="00522AF6" w:rsidP="00522AF6">
      <w:pPr>
        <w:sectPr w:rsidR="00522AF6" w:rsidRPr="009179EE" w:rsidSect="006D0724">
          <w:headerReference w:type="default" r:id="rId20"/>
          <w:footerReference w:type="default" r:id="rId21"/>
          <w:pgSz w:w="11906" w:h="16838" w:code="9"/>
          <w:pgMar w:top="1140" w:right="1412" w:bottom="851" w:left="1412" w:header="720" w:footer="590" w:gutter="0"/>
          <w:pgNumType w:fmt="lowerRoman"/>
          <w:cols w:space="720"/>
          <w:docGrid w:linePitch="360"/>
        </w:sectPr>
      </w:pPr>
    </w:p>
    <w:p w:rsidR="00522AF6" w:rsidRPr="009179EE" w:rsidRDefault="00522AF6" w:rsidP="00522AF6">
      <w:pPr>
        <w:pStyle w:val="Heading1"/>
        <w:spacing w:before="240"/>
        <w:rPr>
          <w:lang w:val="en-NZ"/>
        </w:rPr>
      </w:pPr>
      <w:bookmarkStart w:id="6" w:name="_Toc426462626"/>
      <w:bookmarkStart w:id="7" w:name="_Toc431224707"/>
      <w:r w:rsidRPr="009179EE">
        <w:rPr>
          <w:lang w:val="en-NZ"/>
        </w:rPr>
        <w:t>National Data for all District Health Boards</w:t>
      </w:r>
      <w:bookmarkEnd w:id="6"/>
      <w:bookmarkEnd w:id="7"/>
    </w:p>
    <w:p w:rsidR="00522AF6" w:rsidRPr="009179EE" w:rsidRDefault="00522AF6" w:rsidP="00522AF6">
      <w:pPr>
        <w:pStyle w:val="Heading2"/>
        <w:spacing w:before="120"/>
        <w:rPr>
          <w:lang w:val="en-NZ"/>
        </w:rPr>
      </w:pPr>
      <w:bookmarkStart w:id="8" w:name="_Toc426462627"/>
      <w:bookmarkStart w:id="9" w:name="_Toc431224708"/>
      <w:r w:rsidRPr="009179EE">
        <w:rPr>
          <w:lang w:val="en-NZ"/>
        </w:rPr>
        <w:t>1.0</w:t>
      </w:r>
      <w:r w:rsidRPr="009179EE">
        <w:rPr>
          <w:lang w:val="en-NZ"/>
        </w:rPr>
        <w:tab/>
        <w:t>Number of complaints received</w:t>
      </w:r>
      <w:bookmarkEnd w:id="8"/>
      <w:bookmarkEnd w:id="9"/>
    </w:p>
    <w:p w:rsidR="00522AF6" w:rsidRPr="009179EE" w:rsidRDefault="00522AF6" w:rsidP="00522AF6">
      <w:pPr>
        <w:pStyle w:val="Heading3"/>
        <w:spacing w:after="120"/>
      </w:pPr>
      <w:bookmarkStart w:id="10" w:name="_Toc426462628"/>
      <w:bookmarkStart w:id="11" w:name="_Toc431224709"/>
      <w:r w:rsidRPr="009179EE">
        <w:t xml:space="preserve">1.1 </w:t>
      </w:r>
      <w:r w:rsidRPr="009179EE">
        <w:tab/>
        <w:t>Raw number of complaints received</w:t>
      </w:r>
      <w:bookmarkEnd w:id="10"/>
      <w:bookmarkEnd w:id="11"/>
      <w:r w:rsidRPr="009179EE">
        <w:t xml:space="preserve"> </w:t>
      </w:r>
    </w:p>
    <w:p w:rsidR="00522AF6" w:rsidRPr="009179EE" w:rsidRDefault="00522AF6" w:rsidP="00522AF6">
      <w:r w:rsidRPr="009179EE">
        <w:t xml:space="preserve">In the period </w:t>
      </w:r>
      <w:r w:rsidRPr="009179EE">
        <w:rPr>
          <w:lang w:eastAsia="en-NZ" w:bidi="ar-SA"/>
        </w:rPr>
        <w:t>Jan–Jun 2015</w:t>
      </w:r>
      <w:r w:rsidRPr="009179EE">
        <w:t xml:space="preserve">, HDC received a total of </w:t>
      </w:r>
      <w:r w:rsidRPr="009179EE">
        <w:rPr>
          <w:b/>
        </w:rPr>
        <w:t>389</w:t>
      </w:r>
      <w:r w:rsidRPr="009179EE">
        <w:t xml:space="preserve"> complaints about care provided by all District Health Boards. Numbers of complaints received in previous six month periods are reported in Table 1.</w:t>
      </w:r>
    </w:p>
    <w:p w:rsidR="00522AF6" w:rsidRPr="009179EE" w:rsidRDefault="00522AF6" w:rsidP="00522AF6"/>
    <w:p w:rsidR="00522AF6" w:rsidRPr="009179EE" w:rsidRDefault="00522AF6" w:rsidP="00522AF6">
      <w:pPr>
        <w:spacing w:after="200"/>
        <w:rPr>
          <w:b/>
        </w:rPr>
      </w:pPr>
      <w:r w:rsidRPr="009179EE">
        <w:rPr>
          <w:b/>
        </w:rPr>
        <w:t xml:space="preserve">Table 1. </w:t>
      </w:r>
      <w:r w:rsidRPr="009179EE">
        <w:t>Number of complaints received</w:t>
      </w:r>
      <w:r w:rsidRPr="009179EE">
        <w:rPr>
          <w:rStyle w:val="NoSpacingChar"/>
          <w:lang w:val="en-NZ"/>
        </w:rPr>
        <w:t xml:space="preserve"> in last five financial years</w:t>
      </w:r>
    </w:p>
    <w:tbl>
      <w:tblPr>
        <w:tblStyle w:val="TableGrid"/>
        <w:tblpPr w:leftFromText="180" w:rightFromText="180" w:vertAnchor="text" w:horzAnchor="margin" w:tblpX="114" w:tblpY="105"/>
        <w:tblW w:w="4937" w:type="pct"/>
        <w:tblLayout w:type="fixed"/>
        <w:tblLook w:val="04A0" w:firstRow="1" w:lastRow="0" w:firstColumn="1" w:lastColumn="0" w:noHBand="0" w:noVBand="1"/>
      </w:tblPr>
      <w:tblGrid>
        <w:gridCol w:w="1240"/>
        <w:gridCol w:w="569"/>
        <w:gridCol w:w="707"/>
        <w:gridCol w:w="707"/>
        <w:gridCol w:w="709"/>
        <w:gridCol w:w="709"/>
        <w:gridCol w:w="709"/>
        <w:gridCol w:w="711"/>
        <w:gridCol w:w="709"/>
        <w:gridCol w:w="709"/>
        <w:gridCol w:w="1004"/>
        <w:gridCol w:w="698"/>
      </w:tblGrid>
      <w:tr w:rsidR="00522AF6" w:rsidRPr="009179EE" w:rsidTr="0082619D">
        <w:tc>
          <w:tcPr>
            <w:tcW w:w="675" w:type="pct"/>
            <w:vAlign w:val="center"/>
          </w:tcPr>
          <w:p w:rsidR="00522AF6" w:rsidRPr="009179EE" w:rsidRDefault="00522AF6" w:rsidP="0082619D">
            <w:pPr>
              <w:keepNext/>
              <w:keepLines/>
              <w:jc w:val="left"/>
              <w:rPr>
                <w:rFonts w:ascii="Calibri" w:hAnsi="Calibri"/>
                <w:b/>
                <w:sz w:val="20"/>
                <w:szCs w:val="20"/>
              </w:rPr>
            </w:pPr>
          </w:p>
          <w:p w:rsidR="00522AF6" w:rsidRPr="009179EE" w:rsidRDefault="00522AF6" w:rsidP="0082619D">
            <w:pPr>
              <w:keepNext/>
              <w:keepLines/>
              <w:jc w:val="left"/>
              <w:rPr>
                <w:rFonts w:ascii="Calibri" w:hAnsi="Calibri"/>
                <w:b/>
                <w:sz w:val="20"/>
                <w:szCs w:val="20"/>
              </w:rPr>
            </w:pPr>
          </w:p>
        </w:tc>
        <w:tc>
          <w:tcPr>
            <w:tcW w:w="310" w:type="pct"/>
            <w:vAlign w:val="center"/>
          </w:tcPr>
          <w:p w:rsidR="00522AF6" w:rsidRPr="009179EE" w:rsidRDefault="00522AF6" w:rsidP="0082619D">
            <w:pPr>
              <w:keepNext/>
              <w:keepLines/>
              <w:jc w:val="center"/>
              <w:rPr>
                <w:rFonts w:ascii="Calibri" w:hAnsi="Calibri"/>
                <w:b/>
                <w:sz w:val="20"/>
                <w:szCs w:val="20"/>
              </w:rPr>
            </w:pPr>
            <w:r w:rsidRPr="009179EE">
              <w:rPr>
                <w:rFonts w:ascii="Calibri" w:hAnsi="Calibri"/>
                <w:b/>
                <w:sz w:val="20"/>
                <w:szCs w:val="20"/>
              </w:rPr>
              <w:t>Jul–Dec 10</w:t>
            </w:r>
          </w:p>
        </w:tc>
        <w:tc>
          <w:tcPr>
            <w:tcW w:w="385" w:type="pct"/>
            <w:vAlign w:val="center"/>
          </w:tcPr>
          <w:p w:rsidR="00522AF6" w:rsidRPr="009179EE" w:rsidRDefault="00522AF6" w:rsidP="0082619D">
            <w:pPr>
              <w:keepNext/>
              <w:keepLines/>
              <w:jc w:val="center"/>
              <w:rPr>
                <w:rFonts w:ascii="Calibri" w:hAnsi="Calibri"/>
                <w:b/>
                <w:sz w:val="20"/>
                <w:szCs w:val="20"/>
              </w:rPr>
            </w:pPr>
            <w:r w:rsidRPr="009179EE">
              <w:rPr>
                <w:rFonts w:ascii="Calibri" w:hAnsi="Calibri"/>
                <w:b/>
                <w:sz w:val="20"/>
                <w:szCs w:val="20"/>
              </w:rPr>
              <w:t>Jan–Jun 11</w:t>
            </w:r>
          </w:p>
        </w:tc>
        <w:tc>
          <w:tcPr>
            <w:tcW w:w="385"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Jul–Dec 11</w:t>
            </w:r>
          </w:p>
        </w:tc>
        <w:tc>
          <w:tcPr>
            <w:tcW w:w="386"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Jan–Jun 12</w:t>
            </w:r>
          </w:p>
        </w:tc>
        <w:tc>
          <w:tcPr>
            <w:tcW w:w="386"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Jul–Dec 12</w:t>
            </w:r>
          </w:p>
        </w:tc>
        <w:tc>
          <w:tcPr>
            <w:tcW w:w="386"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Jan–Jun 13</w:t>
            </w:r>
          </w:p>
        </w:tc>
        <w:tc>
          <w:tcPr>
            <w:tcW w:w="387"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Jul–Dec 13</w:t>
            </w:r>
          </w:p>
        </w:tc>
        <w:tc>
          <w:tcPr>
            <w:tcW w:w="386"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 xml:space="preserve">Jan–Jun </w:t>
            </w:r>
            <w:r w:rsidRPr="009179EE">
              <w:rPr>
                <w:rFonts w:ascii="Calibri" w:hAnsi="Calibri"/>
                <w:b/>
                <w:sz w:val="20"/>
                <w:szCs w:val="20"/>
              </w:rPr>
              <w:br/>
              <w:t>14</w:t>
            </w:r>
          </w:p>
        </w:tc>
        <w:tc>
          <w:tcPr>
            <w:tcW w:w="386"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 xml:space="preserve">Jul–Dec </w:t>
            </w:r>
            <w:r w:rsidRPr="009179EE">
              <w:rPr>
                <w:rFonts w:ascii="Calibri" w:hAnsi="Calibri"/>
                <w:b/>
                <w:sz w:val="20"/>
                <w:szCs w:val="20"/>
              </w:rPr>
              <w:br/>
              <w:t>14</w:t>
            </w:r>
          </w:p>
        </w:tc>
        <w:tc>
          <w:tcPr>
            <w:tcW w:w="547" w:type="pct"/>
          </w:tcPr>
          <w:p w:rsidR="00522AF6" w:rsidRPr="009179EE" w:rsidRDefault="00522AF6" w:rsidP="0082619D">
            <w:pPr>
              <w:keepNext/>
              <w:keepLines/>
              <w:spacing w:before="120"/>
              <w:jc w:val="center"/>
              <w:rPr>
                <w:rFonts w:ascii="Calibri" w:hAnsi="Calibri"/>
                <w:b/>
                <w:sz w:val="20"/>
                <w:szCs w:val="20"/>
              </w:rPr>
            </w:pPr>
            <w:r w:rsidRPr="009179EE">
              <w:rPr>
                <w:rFonts w:ascii="Calibri" w:hAnsi="Calibri"/>
                <w:b/>
                <w:sz w:val="20"/>
                <w:szCs w:val="20"/>
              </w:rPr>
              <w:t xml:space="preserve">Average of last 4  </w:t>
            </w:r>
          </w:p>
          <w:p w:rsidR="00522AF6" w:rsidRPr="009179EE" w:rsidRDefault="00522AF6" w:rsidP="0082619D">
            <w:pPr>
              <w:keepNext/>
              <w:keepLines/>
              <w:jc w:val="center"/>
              <w:rPr>
                <w:rFonts w:ascii="Calibri" w:hAnsi="Calibri"/>
                <w:b/>
                <w:sz w:val="20"/>
                <w:szCs w:val="20"/>
              </w:rPr>
            </w:pPr>
            <w:r w:rsidRPr="009179EE">
              <w:rPr>
                <w:rFonts w:ascii="Calibri" w:hAnsi="Calibri"/>
                <w:b/>
                <w:sz w:val="20"/>
                <w:szCs w:val="20"/>
              </w:rPr>
              <w:t>6-month periods</w:t>
            </w:r>
          </w:p>
        </w:tc>
        <w:tc>
          <w:tcPr>
            <w:tcW w:w="380"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Jan–Jun</w:t>
            </w:r>
          </w:p>
          <w:p w:rsidR="00522AF6" w:rsidRPr="009179EE" w:rsidRDefault="00522AF6" w:rsidP="0082619D">
            <w:pPr>
              <w:keepNext/>
              <w:keepLines/>
              <w:jc w:val="center"/>
              <w:rPr>
                <w:rFonts w:ascii="Calibri" w:hAnsi="Calibri"/>
                <w:b/>
                <w:sz w:val="20"/>
                <w:szCs w:val="20"/>
              </w:rPr>
            </w:pPr>
            <w:r w:rsidRPr="009179EE">
              <w:rPr>
                <w:rFonts w:ascii="Calibri" w:hAnsi="Calibri"/>
                <w:b/>
                <w:sz w:val="20"/>
                <w:szCs w:val="20"/>
              </w:rPr>
              <w:t>15</w:t>
            </w:r>
          </w:p>
        </w:tc>
      </w:tr>
      <w:tr w:rsidR="00522AF6" w:rsidRPr="009179EE" w:rsidTr="0082619D">
        <w:tc>
          <w:tcPr>
            <w:tcW w:w="675" w:type="pct"/>
            <w:vAlign w:val="center"/>
          </w:tcPr>
          <w:p w:rsidR="00522AF6" w:rsidRPr="009179EE" w:rsidRDefault="00522AF6" w:rsidP="0082619D">
            <w:pPr>
              <w:keepNext/>
              <w:keepLines/>
              <w:spacing w:after="40"/>
              <w:jc w:val="left"/>
              <w:rPr>
                <w:rFonts w:ascii="Calibri" w:hAnsi="Calibri"/>
                <w:b/>
                <w:sz w:val="20"/>
                <w:szCs w:val="20"/>
              </w:rPr>
            </w:pPr>
            <w:r w:rsidRPr="009179EE">
              <w:rPr>
                <w:rFonts w:ascii="Calibri" w:hAnsi="Calibri"/>
                <w:b/>
                <w:sz w:val="20"/>
                <w:szCs w:val="20"/>
              </w:rPr>
              <w:t>Number of complaints</w:t>
            </w:r>
          </w:p>
        </w:tc>
        <w:tc>
          <w:tcPr>
            <w:tcW w:w="310"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257</w:t>
            </w:r>
          </w:p>
        </w:tc>
        <w:tc>
          <w:tcPr>
            <w:tcW w:w="385"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268</w:t>
            </w:r>
          </w:p>
        </w:tc>
        <w:tc>
          <w:tcPr>
            <w:tcW w:w="385"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255</w:t>
            </w:r>
          </w:p>
        </w:tc>
        <w:tc>
          <w:tcPr>
            <w:tcW w:w="386"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355</w:t>
            </w:r>
          </w:p>
        </w:tc>
        <w:tc>
          <w:tcPr>
            <w:tcW w:w="386"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292</w:t>
            </w:r>
          </w:p>
        </w:tc>
        <w:tc>
          <w:tcPr>
            <w:tcW w:w="386"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324</w:t>
            </w:r>
          </w:p>
        </w:tc>
        <w:tc>
          <w:tcPr>
            <w:tcW w:w="387" w:type="pct"/>
            <w:shd w:val="clear" w:color="auto" w:fill="auto"/>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330</w:t>
            </w:r>
          </w:p>
        </w:tc>
        <w:tc>
          <w:tcPr>
            <w:tcW w:w="386"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330</w:t>
            </w:r>
          </w:p>
        </w:tc>
        <w:tc>
          <w:tcPr>
            <w:tcW w:w="386"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368</w:t>
            </w:r>
          </w:p>
        </w:tc>
        <w:tc>
          <w:tcPr>
            <w:tcW w:w="547" w:type="pct"/>
            <w:vAlign w:val="center"/>
          </w:tcPr>
          <w:p w:rsidR="00522AF6" w:rsidRPr="009179EE" w:rsidRDefault="00522AF6" w:rsidP="0082619D">
            <w:pPr>
              <w:keepNext/>
              <w:keepLines/>
              <w:jc w:val="center"/>
              <w:rPr>
                <w:rFonts w:ascii="Calibri" w:hAnsi="Calibri"/>
                <w:b/>
                <w:sz w:val="20"/>
                <w:szCs w:val="20"/>
              </w:rPr>
            </w:pPr>
            <w:r w:rsidRPr="009179EE">
              <w:rPr>
                <w:rFonts w:ascii="Calibri" w:hAnsi="Calibri"/>
                <w:b/>
                <w:sz w:val="20"/>
                <w:szCs w:val="20"/>
              </w:rPr>
              <w:t>338</w:t>
            </w:r>
          </w:p>
        </w:tc>
        <w:tc>
          <w:tcPr>
            <w:tcW w:w="380" w:type="pct"/>
            <w:vAlign w:val="center"/>
          </w:tcPr>
          <w:p w:rsidR="00522AF6" w:rsidRPr="009179EE" w:rsidRDefault="00522AF6" w:rsidP="0082619D">
            <w:pPr>
              <w:keepNext/>
              <w:keepLines/>
              <w:jc w:val="center"/>
              <w:rPr>
                <w:rFonts w:ascii="Calibri" w:hAnsi="Calibri"/>
                <w:b/>
                <w:sz w:val="20"/>
                <w:szCs w:val="20"/>
              </w:rPr>
            </w:pPr>
            <w:r w:rsidRPr="009179EE">
              <w:rPr>
                <w:rFonts w:ascii="Calibri" w:hAnsi="Calibri"/>
                <w:b/>
                <w:sz w:val="20"/>
                <w:szCs w:val="20"/>
              </w:rPr>
              <w:t>389</w:t>
            </w:r>
          </w:p>
        </w:tc>
      </w:tr>
    </w:tbl>
    <w:p w:rsidR="00522AF6" w:rsidRPr="009179EE" w:rsidRDefault="00522AF6" w:rsidP="00522AF6"/>
    <w:p w:rsidR="00522AF6" w:rsidRPr="009179EE" w:rsidRDefault="00522AF6" w:rsidP="00522AF6">
      <w:r w:rsidRPr="009179EE">
        <w:t>The total</w:t>
      </w:r>
      <w:r>
        <w:t xml:space="preserve"> number of complaints received in</w:t>
      </w:r>
      <w:r w:rsidRPr="009179EE">
        <w:t xml:space="preserve"> </w:t>
      </w:r>
      <w:r w:rsidRPr="009179EE">
        <w:rPr>
          <w:lang w:eastAsia="en-NZ" w:bidi="ar-SA"/>
        </w:rPr>
        <w:t xml:space="preserve">Jan–Jun 2015 </w:t>
      </w:r>
      <w:r w:rsidRPr="009179EE">
        <w:t xml:space="preserve">(389) shows an increase of 15% over the average number of complaints received </w:t>
      </w:r>
      <w:r>
        <w:t>in</w:t>
      </w:r>
      <w:r w:rsidRPr="009179EE">
        <w:t xml:space="preserve"> the previous four periods.</w:t>
      </w:r>
    </w:p>
    <w:p w:rsidR="00522AF6" w:rsidRPr="009179EE" w:rsidRDefault="00522AF6" w:rsidP="00522AF6"/>
    <w:p w:rsidR="00522AF6" w:rsidRPr="009179EE" w:rsidRDefault="00522AF6" w:rsidP="00522AF6">
      <w:r w:rsidRPr="009179EE">
        <w:t xml:space="preserve">The number of complaints received in </w:t>
      </w:r>
      <w:r w:rsidRPr="009179EE">
        <w:rPr>
          <w:lang w:eastAsia="en-NZ" w:bidi="ar-SA"/>
        </w:rPr>
        <w:t xml:space="preserve">Jan–Jun 2015 </w:t>
      </w:r>
      <w:r w:rsidRPr="009179EE">
        <w:t xml:space="preserve">and previous six month periods are also displayed below in Figure 1. The number of complaints received in </w:t>
      </w:r>
      <w:r w:rsidRPr="009179EE">
        <w:rPr>
          <w:lang w:eastAsia="en-NZ" w:bidi="ar-SA"/>
        </w:rPr>
        <w:t xml:space="preserve">Jan–Jun 2015 </w:t>
      </w:r>
      <w:r w:rsidRPr="009179EE">
        <w:t xml:space="preserve">is the highest number of complaints about DHBs ever received in a six month period. </w:t>
      </w:r>
    </w:p>
    <w:p w:rsidR="00522AF6" w:rsidRPr="009179EE" w:rsidRDefault="00522AF6" w:rsidP="00522AF6"/>
    <w:p w:rsidR="00522AF6" w:rsidRPr="009179EE" w:rsidRDefault="00522AF6" w:rsidP="00522AF6">
      <w:pPr>
        <w:spacing w:after="240"/>
        <w:rPr>
          <w:b/>
        </w:rPr>
      </w:pPr>
      <w:r w:rsidRPr="009179EE">
        <w:rPr>
          <w:b/>
        </w:rPr>
        <w:t xml:space="preserve">Figure 1. </w:t>
      </w:r>
      <w:r w:rsidRPr="009179EE">
        <w:t>Number of complaints received</w:t>
      </w:r>
    </w:p>
    <w:p w:rsidR="00522AF6" w:rsidRPr="009179EE" w:rsidRDefault="00522AF6" w:rsidP="00522AF6">
      <w:pPr>
        <w:spacing w:after="120"/>
        <w:jc w:val="center"/>
        <w:rPr>
          <w:rFonts w:ascii="Calibri" w:hAnsi="Calibri"/>
          <w:szCs w:val="22"/>
        </w:rPr>
      </w:pPr>
      <w:r w:rsidRPr="009179EE">
        <w:rPr>
          <w:noProof/>
          <w:lang w:eastAsia="en-NZ" w:bidi="ar-SA"/>
        </w:rPr>
        <w:drawing>
          <wp:inline distT="0" distB="0" distL="0" distR="0" wp14:anchorId="31F7BFA1" wp14:editId="087F4EA5">
            <wp:extent cx="5719156" cy="3399906"/>
            <wp:effectExtent l="0" t="0" r="1524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22AF6" w:rsidRPr="009179EE" w:rsidRDefault="00522AF6" w:rsidP="00522AF6"/>
    <w:p w:rsidR="00522AF6" w:rsidRPr="009179EE" w:rsidRDefault="00522AF6" w:rsidP="00522AF6">
      <w:r w:rsidRPr="009179EE">
        <w:br/>
      </w:r>
    </w:p>
    <w:p w:rsidR="00522AF6" w:rsidRPr="009179EE" w:rsidRDefault="00522AF6" w:rsidP="00522AF6"/>
    <w:p w:rsidR="00522AF6" w:rsidRPr="009179EE" w:rsidRDefault="00522AF6" w:rsidP="00522AF6">
      <w:pPr>
        <w:pStyle w:val="Heading3"/>
      </w:pPr>
      <w:bookmarkStart w:id="12" w:name="_Toc426462629"/>
      <w:bookmarkStart w:id="13" w:name="_Toc431224710"/>
      <w:r w:rsidRPr="009179EE">
        <w:t>1.2</w:t>
      </w:r>
      <w:r w:rsidRPr="009179EE">
        <w:tab/>
        <w:t>Rate of complaints received</w:t>
      </w:r>
      <w:bookmarkEnd w:id="12"/>
      <w:bookmarkEnd w:id="13"/>
      <w:r w:rsidRPr="009179EE">
        <w:t xml:space="preserve"> </w:t>
      </w:r>
    </w:p>
    <w:p w:rsidR="00522AF6" w:rsidRPr="009179EE" w:rsidRDefault="00522AF6" w:rsidP="00522AF6">
      <w:r w:rsidRPr="009179EE">
        <w:t xml:space="preserve">When numbers of </w:t>
      </w:r>
      <w:r w:rsidRPr="009179EE">
        <w:rPr>
          <w:rFonts w:cs="Calibri"/>
        </w:rPr>
        <w:t>complaints</w:t>
      </w:r>
      <w:r w:rsidRPr="009179EE">
        <w:t xml:space="preserve"> to HDC are expressed as a rate per 100,000 discharges, comparisons can be made between DHBs, and within DHBs over time, enabling any trends to be observed. </w:t>
      </w:r>
    </w:p>
    <w:p w:rsidR="00522AF6" w:rsidRPr="009179EE" w:rsidRDefault="00522AF6" w:rsidP="00522AF6"/>
    <w:p w:rsidR="00522AF6" w:rsidRPr="009179EE" w:rsidRDefault="00522AF6" w:rsidP="00522AF6">
      <w:r w:rsidRPr="009179EE">
        <w:t xml:space="preserve">Frequency calculations are made using discharge data provided by the Ministry of Health (provisional as at the date of extraction, </w:t>
      </w:r>
      <w:r w:rsidRPr="00867723">
        <w:t>14 August 2015).</w:t>
      </w:r>
      <w:r w:rsidRPr="009179EE">
        <w:t xml:space="preserve"> </w:t>
      </w:r>
    </w:p>
    <w:p w:rsidR="00522AF6" w:rsidRPr="009179EE" w:rsidRDefault="00522AF6" w:rsidP="00522AF6"/>
    <w:p w:rsidR="00522AF6" w:rsidRPr="009179EE" w:rsidRDefault="00522AF6" w:rsidP="00522AF6">
      <w:pPr>
        <w:spacing w:after="120"/>
        <w:rPr>
          <w:b/>
        </w:rPr>
      </w:pPr>
      <w:r w:rsidRPr="009179EE">
        <w:rPr>
          <w:b/>
        </w:rPr>
        <w:t xml:space="preserve">Table 2. </w:t>
      </w:r>
      <w:r w:rsidRPr="009179EE">
        <w:t xml:space="preserve">Rate of complaints received per 100,000 discharges during </w:t>
      </w:r>
      <w:r w:rsidRPr="009179EE">
        <w:rPr>
          <w:lang w:eastAsia="en-NZ" w:bidi="ar-SA"/>
        </w:rPr>
        <w:t>Jan–Jun 2015</w:t>
      </w:r>
    </w:p>
    <w:tbl>
      <w:tblPr>
        <w:tblStyle w:val="TableGrid"/>
        <w:tblW w:w="0" w:type="auto"/>
        <w:tblInd w:w="108" w:type="dxa"/>
        <w:tblLook w:val="04A0" w:firstRow="1" w:lastRow="0" w:firstColumn="1" w:lastColumn="0" w:noHBand="0" w:noVBand="1"/>
      </w:tblPr>
      <w:tblGrid>
        <w:gridCol w:w="1809"/>
        <w:gridCol w:w="1701"/>
        <w:gridCol w:w="1701"/>
      </w:tblGrid>
      <w:tr w:rsidR="00522AF6" w:rsidRPr="009179EE" w:rsidTr="0082619D">
        <w:trPr>
          <w:trHeight w:val="859"/>
        </w:trPr>
        <w:tc>
          <w:tcPr>
            <w:tcW w:w="1809" w:type="dxa"/>
            <w:vAlign w:val="center"/>
          </w:tcPr>
          <w:p w:rsidR="00522AF6" w:rsidRPr="009179EE" w:rsidRDefault="00522AF6" w:rsidP="0082619D">
            <w:pPr>
              <w:jc w:val="center"/>
              <w:rPr>
                <w:rFonts w:cstheme="minorHAnsi"/>
                <w:b/>
                <w:szCs w:val="22"/>
              </w:rPr>
            </w:pPr>
            <w:r w:rsidRPr="009179EE">
              <w:rPr>
                <w:rFonts w:cstheme="minorHAnsi"/>
                <w:b/>
                <w:szCs w:val="22"/>
              </w:rPr>
              <w:t>Number of complaints received</w:t>
            </w:r>
          </w:p>
        </w:tc>
        <w:tc>
          <w:tcPr>
            <w:tcW w:w="1701" w:type="dxa"/>
            <w:vAlign w:val="center"/>
          </w:tcPr>
          <w:p w:rsidR="00522AF6" w:rsidRPr="009179EE" w:rsidRDefault="00522AF6" w:rsidP="0082619D">
            <w:pPr>
              <w:tabs>
                <w:tab w:val="left" w:pos="1440"/>
                <w:tab w:val="left" w:pos="2610"/>
              </w:tabs>
              <w:spacing w:after="240"/>
              <w:jc w:val="center"/>
              <w:outlineLvl w:val="0"/>
              <w:rPr>
                <w:rFonts w:ascii="Calibri" w:hAnsi="Calibri"/>
                <w:b/>
                <w:szCs w:val="22"/>
              </w:rPr>
            </w:pPr>
            <w:r w:rsidRPr="009179EE">
              <w:rPr>
                <w:rFonts w:ascii="Calibri" w:hAnsi="Calibri"/>
                <w:b/>
                <w:szCs w:val="22"/>
              </w:rPr>
              <w:t>Total number of discharges</w:t>
            </w:r>
          </w:p>
        </w:tc>
        <w:tc>
          <w:tcPr>
            <w:tcW w:w="1701" w:type="dxa"/>
            <w:vAlign w:val="center"/>
          </w:tcPr>
          <w:p w:rsidR="00522AF6" w:rsidRPr="009179EE" w:rsidRDefault="00522AF6" w:rsidP="0082619D">
            <w:pPr>
              <w:tabs>
                <w:tab w:val="left" w:pos="1440"/>
                <w:tab w:val="left" w:pos="2610"/>
              </w:tabs>
              <w:spacing w:before="180" w:after="240"/>
              <w:jc w:val="center"/>
              <w:outlineLvl w:val="0"/>
              <w:rPr>
                <w:rFonts w:ascii="Calibri" w:hAnsi="Calibri"/>
                <w:b/>
                <w:iCs/>
                <w:szCs w:val="22"/>
              </w:rPr>
            </w:pPr>
            <w:r w:rsidRPr="009179EE">
              <w:rPr>
                <w:rFonts w:ascii="Calibri" w:hAnsi="Calibri"/>
                <w:b/>
                <w:szCs w:val="22"/>
              </w:rPr>
              <w:t>Rate per 100,000 discharges</w:t>
            </w:r>
          </w:p>
        </w:tc>
      </w:tr>
      <w:tr w:rsidR="00522AF6" w:rsidRPr="009179EE" w:rsidTr="0082619D">
        <w:tc>
          <w:tcPr>
            <w:tcW w:w="1809" w:type="dxa"/>
            <w:vAlign w:val="center"/>
          </w:tcPr>
          <w:p w:rsidR="00522AF6" w:rsidRPr="00867723" w:rsidRDefault="00522AF6" w:rsidP="0082619D">
            <w:pPr>
              <w:tabs>
                <w:tab w:val="left" w:pos="1440"/>
                <w:tab w:val="left" w:pos="2610"/>
              </w:tabs>
              <w:spacing w:before="120" w:after="240"/>
              <w:jc w:val="center"/>
              <w:outlineLvl w:val="0"/>
              <w:rPr>
                <w:rFonts w:ascii="Calibri" w:hAnsi="Calibri"/>
                <w:b/>
                <w:iCs/>
                <w:szCs w:val="22"/>
              </w:rPr>
            </w:pPr>
            <w:r w:rsidRPr="00867723">
              <w:rPr>
                <w:rFonts w:ascii="Calibri" w:hAnsi="Calibri"/>
                <w:szCs w:val="22"/>
              </w:rPr>
              <w:t>389</w:t>
            </w:r>
          </w:p>
        </w:tc>
        <w:tc>
          <w:tcPr>
            <w:tcW w:w="1701" w:type="dxa"/>
          </w:tcPr>
          <w:p w:rsidR="00522AF6" w:rsidRPr="00867723" w:rsidRDefault="00522AF6" w:rsidP="0082619D">
            <w:pPr>
              <w:tabs>
                <w:tab w:val="left" w:pos="1440"/>
                <w:tab w:val="left" w:pos="2610"/>
              </w:tabs>
              <w:spacing w:before="120" w:after="240"/>
              <w:jc w:val="center"/>
              <w:outlineLvl w:val="0"/>
              <w:rPr>
                <w:rFonts w:ascii="Calibri" w:hAnsi="Calibri"/>
                <w:iCs/>
                <w:szCs w:val="22"/>
              </w:rPr>
            </w:pPr>
            <w:r>
              <w:rPr>
                <w:rFonts w:ascii="Calibri" w:hAnsi="Calibri"/>
                <w:iCs/>
                <w:szCs w:val="22"/>
              </w:rPr>
              <w:t>459,428</w:t>
            </w:r>
            <w:r w:rsidRPr="00867723">
              <w:rPr>
                <w:rStyle w:val="FootnoteReference"/>
                <w:rFonts w:ascii="Calibri" w:hAnsi="Calibri"/>
                <w:szCs w:val="22"/>
              </w:rPr>
              <w:footnoteReference w:id="1"/>
            </w:r>
          </w:p>
        </w:tc>
        <w:tc>
          <w:tcPr>
            <w:tcW w:w="1701" w:type="dxa"/>
            <w:vAlign w:val="center"/>
          </w:tcPr>
          <w:p w:rsidR="00522AF6" w:rsidRPr="00867723" w:rsidRDefault="00522AF6" w:rsidP="0082619D">
            <w:pPr>
              <w:tabs>
                <w:tab w:val="left" w:pos="1440"/>
                <w:tab w:val="left" w:pos="2610"/>
              </w:tabs>
              <w:spacing w:before="120" w:after="240"/>
              <w:jc w:val="center"/>
              <w:outlineLvl w:val="0"/>
              <w:rPr>
                <w:rFonts w:ascii="Calibri" w:hAnsi="Calibri"/>
                <w:b/>
                <w:szCs w:val="22"/>
              </w:rPr>
            </w:pPr>
            <w:r>
              <w:rPr>
                <w:rFonts w:ascii="Calibri" w:hAnsi="Calibri"/>
                <w:b/>
                <w:szCs w:val="22"/>
              </w:rPr>
              <w:t>84.67</w:t>
            </w:r>
          </w:p>
        </w:tc>
      </w:tr>
    </w:tbl>
    <w:p w:rsidR="00522AF6" w:rsidRPr="009179EE" w:rsidRDefault="00522AF6" w:rsidP="00522AF6"/>
    <w:p w:rsidR="00522AF6" w:rsidRPr="009179EE" w:rsidRDefault="00522AF6" w:rsidP="00522AF6">
      <w:pPr>
        <w:rPr>
          <w:rFonts w:ascii="Calibri" w:hAnsi="Calibri"/>
          <w:szCs w:val="22"/>
          <w:lang w:eastAsia="en-NZ" w:bidi="ar-SA"/>
        </w:rPr>
      </w:pPr>
      <w:r w:rsidRPr="009179EE">
        <w:rPr>
          <w:rFonts w:ascii="Calibri" w:hAnsi="Calibri"/>
          <w:szCs w:val="22"/>
          <w:lang w:eastAsia="en-NZ" w:bidi="ar-SA"/>
        </w:rPr>
        <w:t xml:space="preserve">Table 3 shows the </w:t>
      </w:r>
      <w:r w:rsidRPr="009179EE">
        <w:rPr>
          <w:rFonts w:ascii="Calibri" w:hAnsi="Calibri" w:cs="Calibri"/>
          <w:szCs w:val="22"/>
        </w:rPr>
        <w:t>rate</w:t>
      </w:r>
      <w:r w:rsidRPr="009179EE">
        <w:rPr>
          <w:rFonts w:ascii="Calibri" w:hAnsi="Calibri"/>
          <w:szCs w:val="22"/>
          <w:lang w:eastAsia="en-NZ" w:bidi="ar-SA"/>
        </w:rPr>
        <w:t xml:space="preserve"> of complaints received by HDC per 100,000 discharges, for </w:t>
      </w:r>
      <w:r w:rsidRPr="009179EE">
        <w:rPr>
          <w:lang w:eastAsia="en-NZ" w:bidi="ar-SA"/>
        </w:rPr>
        <w:t xml:space="preserve">Jan–Jun 2015 </w:t>
      </w:r>
      <w:r w:rsidRPr="009179EE">
        <w:rPr>
          <w:rFonts w:ascii="Calibri" w:hAnsi="Calibri"/>
          <w:szCs w:val="22"/>
          <w:lang w:eastAsia="en-NZ" w:bidi="ar-SA"/>
        </w:rPr>
        <w:t xml:space="preserve">and previous six month periods. </w:t>
      </w:r>
    </w:p>
    <w:p w:rsidR="00522AF6" w:rsidRPr="009179EE" w:rsidRDefault="00522AF6" w:rsidP="00522AF6">
      <w:pPr>
        <w:rPr>
          <w:rFonts w:ascii="Calibri" w:hAnsi="Calibri"/>
          <w:szCs w:val="22"/>
          <w:lang w:eastAsia="en-NZ" w:bidi="ar-SA"/>
        </w:rPr>
      </w:pPr>
    </w:p>
    <w:p w:rsidR="00522AF6" w:rsidRPr="009179EE" w:rsidRDefault="00522AF6" w:rsidP="00522AF6">
      <w:pPr>
        <w:spacing w:after="120"/>
        <w:rPr>
          <w:b/>
        </w:rPr>
      </w:pPr>
      <w:r w:rsidRPr="009179EE">
        <w:rPr>
          <w:b/>
        </w:rPr>
        <w:t xml:space="preserve">Table 3. </w:t>
      </w:r>
      <w:r w:rsidRPr="009179EE">
        <w:t>Rate of complaints received in last five financial years</w:t>
      </w:r>
      <w:r w:rsidRPr="009179EE">
        <w:rPr>
          <w:b/>
        </w:rPr>
        <w:t xml:space="preserve"> </w:t>
      </w:r>
    </w:p>
    <w:tbl>
      <w:tblPr>
        <w:tblStyle w:val="TableGrid"/>
        <w:tblpPr w:leftFromText="180" w:rightFromText="180" w:vertAnchor="text" w:horzAnchor="margin" w:tblpX="114" w:tblpY="105"/>
        <w:tblW w:w="4937" w:type="pct"/>
        <w:tblLayout w:type="fixed"/>
        <w:tblLook w:val="04A0" w:firstRow="1" w:lastRow="0" w:firstColumn="1" w:lastColumn="0" w:noHBand="0" w:noVBand="1"/>
      </w:tblPr>
      <w:tblGrid>
        <w:gridCol w:w="1104"/>
        <w:gridCol w:w="703"/>
        <w:gridCol w:w="709"/>
        <w:gridCol w:w="707"/>
        <w:gridCol w:w="709"/>
        <w:gridCol w:w="709"/>
        <w:gridCol w:w="709"/>
        <w:gridCol w:w="711"/>
        <w:gridCol w:w="709"/>
        <w:gridCol w:w="709"/>
        <w:gridCol w:w="1004"/>
        <w:gridCol w:w="698"/>
      </w:tblGrid>
      <w:tr w:rsidR="00522AF6" w:rsidRPr="009179EE" w:rsidTr="0082619D">
        <w:tc>
          <w:tcPr>
            <w:tcW w:w="601" w:type="pct"/>
            <w:vAlign w:val="center"/>
          </w:tcPr>
          <w:p w:rsidR="00522AF6" w:rsidRPr="009179EE" w:rsidRDefault="00522AF6" w:rsidP="0082619D">
            <w:pPr>
              <w:keepNext/>
              <w:keepLines/>
              <w:jc w:val="left"/>
              <w:rPr>
                <w:rFonts w:ascii="Calibri" w:hAnsi="Calibri"/>
                <w:b/>
                <w:sz w:val="20"/>
                <w:szCs w:val="20"/>
              </w:rPr>
            </w:pPr>
          </w:p>
          <w:p w:rsidR="00522AF6" w:rsidRPr="009179EE" w:rsidRDefault="00522AF6" w:rsidP="0082619D">
            <w:pPr>
              <w:keepNext/>
              <w:keepLines/>
              <w:jc w:val="left"/>
              <w:rPr>
                <w:rFonts w:ascii="Calibri" w:hAnsi="Calibri"/>
                <w:b/>
                <w:sz w:val="20"/>
                <w:szCs w:val="20"/>
              </w:rPr>
            </w:pPr>
          </w:p>
        </w:tc>
        <w:tc>
          <w:tcPr>
            <w:tcW w:w="383" w:type="pct"/>
            <w:vAlign w:val="center"/>
          </w:tcPr>
          <w:p w:rsidR="00522AF6" w:rsidRPr="009179EE" w:rsidRDefault="00522AF6" w:rsidP="0082619D">
            <w:pPr>
              <w:keepNext/>
              <w:keepLines/>
              <w:jc w:val="center"/>
              <w:rPr>
                <w:rFonts w:ascii="Calibri" w:hAnsi="Calibri"/>
                <w:b/>
                <w:sz w:val="20"/>
                <w:szCs w:val="20"/>
              </w:rPr>
            </w:pPr>
            <w:r w:rsidRPr="009179EE">
              <w:rPr>
                <w:rFonts w:ascii="Calibri" w:hAnsi="Calibri"/>
                <w:b/>
                <w:sz w:val="20"/>
                <w:szCs w:val="20"/>
              </w:rPr>
              <w:t>Jul–Dec 10</w:t>
            </w:r>
          </w:p>
        </w:tc>
        <w:tc>
          <w:tcPr>
            <w:tcW w:w="386" w:type="pct"/>
            <w:vAlign w:val="center"/>
          </w:tcPr>
          <w:p w:rsidR="00522AF6" w:rsidRPr="009179EE" w:rsidRDefault="00522AF6" w:rsidP="0082619D">
            <w:pPr>
              <w:keepNext/>
              <w:keepLines/>
              <w:jc w:val="center"/>
              <w:rPr>
                <w:rFonts w:ascii="Calibri" w:hAnsi="Calibri"/>
                <w:b/>
                <w:sz w:val="20"/>
                <w:szCs w:val="20"/>
              </w:rPr>
            </w:pPr>
            <w:r w:rsidRPr="009179EE">
              <w:rPr>
                <w:rFonts w:ascii="Calibri" w:hAnsi="Calibri"/>
                <w:b/>
                <w:sz w:val="20"/>
                <w:szCs w:val="20"/>
              </w:rPr>
              <w:t>Jan–Jun 11</w:t>
            </w:r>
          </w:p>
        </w:tc>
        <w:tc>
          <w:tcPr>
            <w:tcW w:w="385"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Jul–Dec 11</w:t>
            </w:r>
          </w:p>
        </w:tc>
        <w:tc>
          <w:tcPr>
            <w:tcW w:w="386"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Jan–Jun 12</w:t>
            </w:r>
          </w:p>
        </w:tc>
        <w:tc>
          <w:tcPr>
            <w:tcW w:w="386"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Jul–Dec 12</w:t>
            </w:r>
          </w:p>
        </w:tc>
        <w:tc>
          <w:tcPr>
            <w:tcW w:w="386"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Jan–Jun 13</w:t>
            </w:r>
          </w:p>
        </w:tc>
        <w:tc>
          <w:tcPr>
            <w:tcW w:w="387"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Jul–Dec 13</w:t>
            </w:r>
          </w:p>
        </w:tc>
        <w:tc>
          <w:tcPr>
            <w:tcW w:w="386"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Jan–Jun 14</w:t>
            </w:r>
          </w:p>
        </w:tc>
        <w:tc>
          <w:tcPr>
            <w:tcW w:w="386"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 xml:space="preserve">Jul–Dec </w:t>
            </w:r>
            <w:r w:rsidRPr="009179EE">
              <w:rPr>
                <w:rFonts w:ascii="Calibri" w:hAnsi="Calibri"/>
                <w:b/>
                <w:sz w:val="20"/>
                <w:szCs w:val="20"/>
              </w:rPr>
              <w:br/>
              <w:t>14</w:t>
            </w:r>
            <w:r w:rsidRPr="009179EE">
              <w:rPr>
                <w:rStyle w:val="FootnoteReference"/>
                <w:rFonts w:ascii="Calibri" w:hAnsi="Calibri"/>
                <w:szCs w:val="22"/>
                <w:lang w:eastAsia="en-NZ" w:bidi="ar-SA"/>
              </w:rPr>
              <w:footnoteReference w:id="2"/>
            </w:r>
          </w:p>
        </w:tc>
        <w:tc>
          <w:tcPr>
            <w:tcW w:w="547" w:type="pct"/>
          </w:tcPr>
          <w:p w:rsidR="00522AF6" w:rsidRPr="009179EE" w:rsidRDefault="00522AF6" w:rsidP="0082619D">
            <w:pPr>
              <w:keepNext/>
              <w:keepLines/>
              <w:spacing w:before="120"/>
              <w:jc w:val="center"/>
              <w:rPr>
                <w:rFonts w:ascii="Calibri" w:hAnsi="Calibri"/>
                <w:b/>
                <w:sz w:val="20"/>
                <w:szCs w:val="20"/>
              </w:rPr>
            </w:pPr>
            <w:r w:rsidRPr="009179EE">
              <w:rPr>
                <w:rFonts w:ascii="Calibri" w:hAnsi="Calibri"/>
                <w:b/>
                <w:sz w:val="20"/>
                <w:szCs w:val="20"/>
              </w:rPr>
              <w:t xml:space="preserve">Average of last 4  </w:t>
            </w:r>
          </w:p>
          <w:p w:rsidR="00522AF6" w:rsidRPr="009179EE" w:rsidRDefault="00522AF6" w:rsidP="0082619D">
            <w:pPr>
              <w:keepNext/>
              <w:keepLines/>
              <w:jc w:val="center"/>
              <w:rPr>
                <w:rFonts w:ascii="Calibri" w:hAnsi="Calibri"/>
                <w:b/>
                <w:sz w:val="20"/>
                <w:szCs w:val="20"/>
              </w:rPr>
            </w:pPr>
            <w:r w:rsidRPr="009179EE">
              <w:rPr>
                <w:rFonts w:ascii="Calibri" w:hAnsi="Calibri"/>
                <w:b/>
                <w:sz w:val="20"/>
                <w:szCs w:val="20"/>
              </w:rPr>
              <w:t>6-month periods</w:t>
            </w:r>
          </w:p>
        </w:tc>
        <w:tc>
          <w:tcPr>
            <w:tcW w:w="380"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Jan–Jun</w:t>
            </w:r>
          </w:p>
          <w:p w:rsidR="00522AF6" w:rsidRPr="009179EE" w:rsidRDefault="00522AF6" w:rsidP="0082619D">
            <w:pPr>
              <w:keepNext/>
              <w:keepLines/>
              <w:jc w:val="center"/>
              <w:rPr>
                <w:rFonts w:ascii="Calibri" w:hAnsi="Calibri"/>
                <w:b/>
                <w:sz w:val="20"/>
                <w:szCs w:val="20"/>
              </w:rPr>
            </w:pPr>
            <w:r w:rsidRPr="009179EE">
              <w:rPr>
                <w:rFonts w:ascii="Calibri" w:hAnsi="Calibri"/>
                <w:b/>
                <w:sz w:val="20"/>
                <w:szCs w:val="20"/>
              </w:rPr>
              <w:t>15</w:t>
            </w:r>
          </w:p>
        </w:tc>
      </w:tr>
      <w:tr w:rsidR="00522AF6" w:rsidRPr="009179EE" w:rsidTr="0082619D">
        <w:tc>
          <w:tcPr>
            <w:tcW w:w="601" w:type="pct"/>
            <w:vAlign w:val="center"/>
          </w:tcPr>
          <w:p w:rsidR="00522AF6" w:rsidRPr="009179EE" w:rsidRDefault="00522AF6" w:rsidP="0082619D">
            <w:pPr>
              <w:keepNext/>
              <w:keepLines/>
              <w:spacing w:after="40"/>
              <w:jc w:val="left"/>
              <w:rPr>
                <w:rFonts w:ascii="Calibri" w:hAnsi="Calibri"/>
                <w:b/>
                <w:sz w:val="20"/>
                <w:szCs w:val="20"/>
              </w:rPr>
            </w:pPr>
            <w:r w:rsidRPr="009179EE">
              <w:rPr>
                <w:rFonts w:ascii="Calibri" w:hAnsi="Calibri"/>
                <w:b/>
                <w:sz w:val="20"/>
                <w:szCs w:val="20"/>
              </w:rPr>
              <w:t>Rate per 100,000 discharges</w:t>
            </w:r>
          </w:p>
        </w:tc>
        <w:tc>
          <w:tcPr>
            <w:tcW w:w="383"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57.16</w:t>
            </w:r>
          </w:p>
        </w:tc>
        <w:tc>
          <w:tcPr>
            <w:tcW w:w="386"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62.48</w:t>
            </w:r>
          </w:p>
        </w:tc>
        <w:tc>
          <w:tcPr>
            <w:tcW w:w="385"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55.86</w:t>
            </w:r>
          </w:p>
        </w:tc>
        <w:tc>
          <w:tcPr>
            <w:tcW w:w="386"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80.22</w:t>
            </w:r>
          </w:p>
        </w:tc>
        <w:tc>
          <w:tcPr>
            <w:tcW w:w="386"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62.59</w:t>
            </w:r>
          </w:p>
        </w:tc>
        <w:tc>
          <w:tcPr>
            <w:tcW w:w="386"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72.67</w:t>
            </w:r>
          </w:p>
        </w:tc>
        <w:tc>
          <w:tcPr>
            <w:tcW w:w="387" w:type="pct"/>
            <w:shd w:val="clear" w:color="auto" w:fill="auto"/>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71.15</w:t>
            </w:r>
          </w:p>
        </w:tc>
        <w:tc>
          <w:tcPr>
            <w:tcW w:w="386"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72.99</w:t>
            </w:r>
          </w:p>
        </w:tc>
        <w:tc>
          <w:tcPr>
            <w:tcW w:w="386" w:type="pct"/>
            <w:shd w:val="clear" w:color="auto" w:fill="auto"/>
            <w:vAlign w:val="center"/>
          </w:tcPr>
          <w:p w:rsidR="00522AF6" w:rsidRPr="00867723" w:rsidRDefault="00522AF6" w:rsidP="0082619D">
            <w:pPr>
              <w:keepNext/>
              <w:keepLines/>
              <w:jc w:val="center"/>
              <w:rPr>
                <w:rFonts w:ascii="Calibri" w:hAnsi="Calibri"/>
                <w:sz w:val="20"/>
                <w:szCs w:val="20"/>
              </w:rPr>
            </w:pPr>
            <w:r>
              <w:rPr>
                <w:rFonts w:ascii="Calibri" w:hAnsi="Calibri"/>
                <w:sz w:val="20"/>
                <w:szCs w:val="20"/>
              </w:rPr>
              <w:t>76.65</w:t>
            </w:r>
          </w:p>
        </w:tc>
        <w:tc>
          <w:tcPr>
            <w:tcW w:w="547" w:type="pct"/>
            <w:shd w:val="clear" w:color="auto" w:fill="auto"/>
            <w:vAlign w:val="center"/>
          </w:tcPr>
          <w:p w:rsidR="00522AF6" w:rsidRPr="00867723" w:rsidRDefault="00522AF6" w:rsidP="0082619D">
            <w:pPr>
              <w:keepNext/>
              <w:keepLines/>
              <w:jc w:val="center"/>
              <w:rPr>
                <w:rFonts w:ascii="Calibri" w:hAnsi="Calibri"/>
                <w:b/>
                <w:sz w:val="20"/>
                <w:szCs w:val="20"/>
              </w:rPr>
            </w:pPr>
            <w:r>
              <w:rPr>
                <w:rFonts w:ascii="Calibri" w:hAnsi="Calibri"/>
                <w:b/>
                <w:sz w:val="20"/>
                <w:szCs w:val="20"/>
              </w:rPr>
              <w:t>73.37</w:t>
            </w:r>
          </w:p>
        </w:tc>
        <w:tc>
          <w:tcPr>
            <w:tcW w:w="380" w:type="pct"/>
            <w:shd w:val="clear" w:color="auto" w:fill="auto"/>
            <w:vAlign w:val="center"/>
          </w:tcPr>
          <w:p w:rsidR="00522AF6" w:rsidRPr="00867723" w:rsidRDefault="00522AF6" w:rsidP="0082619D">
            <w:pPr>
              <w:keepNext/>
              <w:keepLines/>
              <w:jc w:val="center"/>
              <w:rPr>
                <w:rFonts w:ascii="Calibri" w:hAnsi="Calibri"/>
                <w:b/>
                <w:sz w:val="20"/>
                <w:szCs w:val="20"/>
              </w:rPr>
            </w:pPr>
            <w:r w:rsidRPr="00867723">
              <w:rPr>
                <w:rFonts w:ascii="Calibri" w:hAnsi="Calibri"/>
                <w:b/>
                <w:sz w:val="20"/>
                <w:szCs w:val="20"/>
              </w:rPr>
              <w:t>84.67</w:t>
            </w:r>
          </w:p>
        </w:tc>
      </w:tr>
    </w:tbl>
    <w:p w:rsidR="00522AF6" w:rsidRPr="009179EE" w:rsidRDefault="00522AF6" w:rsidP="00522AF6">
      <w:pPr>
        <w:jc w:val="left"/>
        <w:rPr>
          <w:rFonts w:ascii="Calibri" w:hAnsi="Calibri"/>
          <w:szCs w:val="22"/>
        </w:rPr>
      </w:pPr>
      <w:r w:rsidRPr="009179EE">
        <w:rPr>
          <w:lang w:eastAsia="en-NZ" w:bidi="ar-SA"/>
        </w:rPr>
        <w:br/>
      </w:r>
      <w:r w:rsidRPr="00867723">
        <w:rPr>
          <w:lang w:eastAsia="en-NZ" w:bidi="ar-SA"/>
        </w:rPr>
        <w:t xml:space="preserve">The rate of complaints received during Jan–Jun 2015 (84.67) shows a 15% increase </w:t>
      </w:r>
      <w:r w:rsidRPr="00867723">
        <w:t>over the average rate of complaints received for the previous four periods.</w:t>
      </w:r>
      <w:r>
        <w:t xml:space="preserve"> The rate</w:t>
      </w:r>
      <w:r w:rsidRPr="009179EE">
        <w:t xml:space="preserve"> of complaints received in </w:t>
      </w:r>
      <w:r w:rsidRPr="009179EE">
        <w:rPr>
          <w:lang w:eastAsia="en-NZ" w:bidi="ar-SA"/>
        </w:rPr>
        <w:t xml:space="preserve">Jan–Jun 2015 </w:t>
      </w:r>
      <w:r w:rsidRPr="009179EE">
        <w:t xml:space="preserve">is the highest </w:t>
      </w:r>
      <w:r>
        <w:t xml:space="preserve">rate </w:t>
      </w:r>
      <w:r w:rsidRPr="009179EE">
        <w:t>of complaints about DHBs ever received in a six month period.</w:t>
      </w:r>
      <w:r w:rsidRPr="009179EE">
        <w:rPr>
          <w:lang w:eastAsia="en-NZ" w:bidi="ar-SA"/>
        </w:rPr>
        <w:br/>
      </w:r>
      <w:r w:rsidRPr="009179EE">
        <w:rPr>
          <w:lang w:eastAsia="en-NZ" w:bidi="ar-SA"/>
        </w:rPr>
        <w:br/>
      </w:r>
      <w:r w:rsidRPr="009179EE">
        <w:rPr>
          <w:rFonts w:ascii="Calibri" w:hAnsi="Calibri"/>
          <w:szCs w:val="22"/>
        </w:rPr>
        <w:t>Table 4 shows the rate of complaints about DHBs received by HDC per 100,000 discharges for each DHB (not named</w:t>
      </w:r>
      <w:r w:rsidRPr="009179EE">
        <w:rPr>
          <w:rStyle w:val="FootnoteReference"/>
          <w:rFonts w:ascii="Calibri" w:hAnsi="Calibri"/>
          <w:szCs w:val="22"/>
        </w:rPr>
        <w:footnoteReference w:id="3"/>
      </w:r>
      <w:r w:rsidRPr="009179EE">
        <w:rPr>
          <w:rFonts w:ascii="Calibri" w:hAnsi="Calibri"/>
          <w:szCs w:val="22"/>
        </w:rPr>
        <w:t xml:space="preserve">) relative to other DHBs for </w:t>
      </w:r>
      <w:r w:rsidRPr="009179EE">
        <w:rPr>
          <w:lang w:eastAsia="en-NZ" w:bidi="ar-SA"/>
        </w:rPr>
        <w:t>Jan–Jun 2015</w:t>
      </w:r>
      <w:r w:rsidRPr="009179EE">
        <w:rPr>
          <w:rFonts w:ascii="Calibri" w:hAnsi="Calibri"/>
          <w:szCs w:val="22"/>
        </w:rPr>
        <w:t xml:space="preserve">. </w:t>
      </w:r>
    </w:p>
    <w:p w:rsidR="00522AF6" w:rsidRPr="009179EE" w:rsidRDefault="00522AF6" w:rsidP="00522AF6">
      <w:pPr>
        <w:jc w:val="left"/>
        <w:rPr>
          <w:lang w:eastAsia="en-NZ" w:bidi="ar-SA"/>
        </w:rPr>
      </w:pPr>
    </w:p>
    <w:p w:rsidR="00522AF6" w:rsidRPr="009179EE" w:rsidRDefault="00522AF6" w:rsidP="00522AF6">
      <w:r w:rsidRPr="003C0B43">
        <w:t>All individual DHBs were subject to some complaints to HDC. As shown in Table 4, for individual DHBs, the rate of complaints received ranged from 45.88 complaints per 100,000 discharges to 197.93 complaints per 100,000 discharges as compared to the national rate of 84.67 complaints per 100,000 discharges. The raw number of complaints received about individual DHBs ranged from 4 complaints to 53 complaints.</w:t>
      </w:r>
    </w:p>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Default="00522AF6" w:rsidP="00522AF6"/>
    <w:p w:rsidR="00522AF6" w:rsidRDefault="00522AF6" w:rsidP="00522AF6"/>
    <w:p w:rsidR="005D481F" w:rsidRPr="009179EE" w:rsidRDefault="005D481F" w:rsidP="00522AF6"/>
    <w:p w:rsidR="00522AF6" w:rsidRPr="003C0B43" w:rsidRDefault="00522AF6" w:rsidP="00522AF6">
      <w:pPr>
        <w:spacing w:after="120"/>
      </w:pPr>
      <w:r w:rsidRPr="003C0B43">
        <w:rPr>
          <w:b/>
        </w:rPr>
        <w:t>Table 4.</w:t>
      </w:r>
      <w:r w:rsidRPr="003C0B43">
        <w:t xml:space="preserve"> Rate of complaints received per 100,000 discharges</w:t>
      </w:r>
    </w:p>
    <w:tbl>
      <w:tblPr>
        <w:tblStyle w:val="TableGrid"/>
        <w:tblpPr w:leftFromText="180" w:rightFromText="180" w:vertAnchor="text" w:horzAnchor="margin" w:tblpY="217"/>
        <w:tblW w:w="0" w:type="auto"/>
        <w:tblLook w:val="04A0" w:firstRow="1" w:lastRow="0" w:firstColumn="1" w:lastColumn="0" w:noHBand="0" w:noVBand="1"/>
      </w:tblPr>
      <w:tblGrid>
        <w:gridCol w:w="1857"/>
        <w:gridCol w:w="1952"/>
        <w:gridCol w:w="268"/>
        <w:gridCol w:w="1857"/>
        <w:gridCol w:w="1953"/>
      </w:tblGrid>
      <w:tr w:rsidR="00522AF6" w:rsidRPr="003C0B43" w:rsidTr="0082619D">
        <w:trPr>
          <w:trHeight w:val="567"/>
        </w:trPr>
        <w:tc>
          <w:tcPr>
            <w:tcW w:w="1857" w:type="dxa"/>
            <w:vAlign w:val="center"/>
          </w:tcPr>
          <w:p w:rsidR="00522AF6" w:rsidRPr="003C0B43" w:rsidRDefault="00522AF6" w:rsidP="0082619D">
            <w:pPr>
              <w:keepNext/>
              <w:keepLines/>
              <w:spacing w:before="120" w:after="120"/>
              <w:jc w:val="center"/>
              <w:rPr>
                <w:b/>
                <w:szCs w:val="22"/>
              </w:rPr>
            </w:pPr>
            <w:r w:rsidRPr="003C0B43">
              <w:rPr>
                <w:b/>
                <w:szCs w:val="22"/>
              </w:rPr>
              <w:t xml:space="preserve">DHB </w:t>
            </w:r>
          </w:p>
        </w:tc>
        <w:tc>
          <w:tcPr>
            <w:tcW w:w="1952" w:type="dxa"/>
            <w:tcBorders>
              <w:right w:val="single" w:sz="4" w:space="0" w:color="auto"/>
            </w:tcBorders>
            <w:vAlign w:val="center"/>
          </w:tcPr>
          <w:p w:rsidR="00522AF6" w:rsidRPr="003C0B43" w:rsidRDefault="00522AF6" w:rsidP="0082619D">
            <w:pPr>
              <w:keepNext/>
              <w:keepLines/>
              <w:spacing w:before="120" w:after="120"/>
              <w:jc w:val="center"/>
              <w:rPr>
                <w:b/>
                <w:szCs w:val="22"/>
                <w:lang w:eastAsia="en-NZ"/>
              </w:rPr>
            </w:pPr>
            <w:r w:rsidRPr="003C0B43">
              <w:rPr>
                <w:b/>
                <w:szCs w:val="22"/>
              </w:rPr>
              <w:t>Rate of complaints to HDC per 100,000 discharges</w:t>
            </w:r>
          </w:p>
        </w:tc>
        <w:tc>
          <w:tcPr>
            <w:tcW w:w="268" w:type="dxa"/>
            <w:tcBorders>
              <w:top w:val="nil"/>
              <w:left w:val="single" w:sz="4" w:space="0" w:color="auto"/>
              <w:bottom w:val="nil"/>
              <w:right w:val="single" w:sz="4" w:space="0" w:color="auto"/>
            </w:tcBorders>
          </w:tcPr>
          <w:p w:rsidR="00522AF6" w:rsidRPr="003C0B43" w:rsidRDefault="00522AF6" w:rsidP="0082619D">
            <w:pPr>
              <w:keepNext/>
              <w:keepLines/>
              <w:spacing w:before="120" w:after="120"/>
              <w:jc w:val="center"/>
              <w:rPr>
                <w:b/>
                <w:szCs w:val="22"/>
              </w:rPr>
            </w:pPr>
          </w:p>
        </w:tc>
        <w:tc>
          <w:tcPr>
            <w:tcW w:w="1857" w:type="dxa"/>
            <w:tcBorders>
              <w:left w:val="single" w:sz="4" w:space="0" w:color="auto"/>
            </w:tcBorders>
            <w:vAlign w:val="center"/>
          </w:tcPr>
          <w:p w:rsidR="00522AF6" w:rsidRPr="003C0B43" w:rsidRDefault="00522AF6" w:rsidP="0082619D">
            <w:pPr>
              <w:keepNext/>
              <w:keepLines/>
              <w:spacing w:before="120" w:after="120"/>
              <w:jc w:val="center"/>
              <w:rPr>
                <w:b/>
                <w:szCs w:val="22"/>
              </w:rPr>
            </w:pPr>
            <w:r w:rsidRPr="003C0B43">
              <w:rPr>
                <w:b/>
                <w:szCs w:val="22"/>
              </w:rPr>
              <w:t xml:space="preserve">DHB </w:t>
            </w:r>
          </w:p>
        </w:tc>
        <w:tc>
          <w:tcPr>
            <w:tcW w:w="1953" w:type="dxa"/>
            <w:vAlign w:val="center"/>
          </w:tcPr>
          <w:p w:rsidR="00522AF6" w:rsidRPr="003C0B43" w:rsidRDefault="00522AF6" w:rsidP="0082619D">
            <w:pPr>
              <w:keepNext/>
              <w:keepLines/>
              <w:spacing w:before="120" w:after="120"/>
              <w:jc w:val="center"/>
              <w:rPr>
                <w:b/>
                <w:szCs w:val="22"/>
                <w:lang w:eastAsia="en-NZ"/>
              </w:rPr>
            </w:pPr>
            <w:r w:rsidRPr="003C0B43">
              <w:rPr>
                <w:b/>
                <w:szCs w:val="22"/>
              </w:rPr>
              <w:t>Rate of complaints to HDC per 100,000 discharges</w:t>
            </w:r>
          </w:p>
        </w:tc>
      </w:tr>
      <w:tr w:rsidR="00522AF6" w:rsidRPr="003C0B43" w:rsidTr="0082619D">
        <w:trPr>
          <w:trHeight w:val="502"/>
        </w:trPr>
        <w:tc>
          <w:tcPr>
            <w:tcW w:w="1857" w:type="dxa"/>
            <w:vAlign w:val="center"/>
          </w:tcPr>
          <w:p w:rsidR="00522AF6" w:rsidRPr="003C0B43" w:rsidRDefault="00522AF6" w:rsidP="0082619D">
            <w:pPr>
              <w:keepNext/>
              <w:keepLines/>
              <w:spacing w:before="120" w:after="120"/>
              <w:ind w:left="323"/>
              <w:jc w:val="left"/>
              <w:rPr>
                <w:szCs w:val="22"/>
              </w:rPr>
            </w:pPr>
            <w:r w:rsidRPr="003C0B43">
              <w:rPr>
                <w:szCs w:val="22"/>
              </w:rPr>
              <w:t>DHB 1</w:t>
            </w:r>
          </w:p>
        </w:tc>
        <w:tc>
          <w:tcPr>
            <w:tcW w:w="1952" w:type="dxa"/>
            <w:tcBorders>
              <w:right w:val="single" w:sz="4" w:space="0" w:color="auto"/>
            </w:tcBorders>
            <w:vAlign w:val="center"/>
          </w:tcPr>
          <w:p w:rsidR="00522AF6" w:rsidRPr="003C0B43" w:rsidRDefault="00522AF6" w:rsidP="0082619D">
            <w:pPr>
              <w:keepNext/>
              <w:keepLines/>
              <w:jc w:val="center"/>
              <w:rPr>
                <w:rFonts w:ascii="Calibri" w:hAnsi="Calibri"/>
                <w:szCs w:val="22"/>
              </w:rPr>
            </w:pPr>
            <w:r>
              <w:rPr>
                <w:rFonts w:ascii="Calibri" w:hAnsi="Calibri"/>
                <w:szCs w:val="22"/>
              </w:rPr>
              <w:t>45.88</w:t>
            </w:r>
          </w:p>
        </w:tc>
        <w:tc>
          <w:tcPr>
            <w:tcW w:w="268" w:type="dxa"/>
            <w:tcBorders>
              <w:top w:val="nil"/>
              <w:left w:val="single" w:sz="4" w:space="0" w:color="auto"/>
              <w:bottom w:val="nil"/>
              <w:right w:val="single" w:sz="4" w:space="0" w:color="auto"/>
            </w:tcBorders>
          </w:tcPr>
          <w:p w:rsidR="00522AF6" w:rsidRPr="003C0B43" w:rsidRDefault="00522AF6" w:rsidP="0082619D">
            <w:pPr>
              <w:keepNext/>
              <w:keepLines/>
              <w:spacing w:before="120" w:after="120"/>
              <w:rPr>
                <w:szCs w:val="22"/>
              </w:rPr>
            </w:pPr>
          </w:p>
        </w:tc>
        <w:tc>
          <w:tcPr>
            <w:tcW w:w="1857" w:type="dxa"/>
            <w:tcBorders>
              <w:left w:val="single" w:sz="4" w:space="0" w:color="auto"/>
            </w:tcBorders>
            <w:shd w:val="clear" w:color="auto" w:fill="auto"/>
          </w:tcPr>
          <w:p w:rsidR="00522AF6" w:rsidRPr="003C0B43" w:rsidRDefault="00522AF6" w:rsidP="0082619D">
            <w:pPr>
              <w:keepNext/>
              <w:keepLines/>
              <w:spacing w:before="120" w:after="120"/>
              <w:ind w:left="323"/>
              <w:rPr>
                <w:szCs w:val="22"/>
              </w:rPr>
            </w:pPr>
            <w:r w:rsidRPr="003C0B43">
              <w:rPr>
                <w:szCs w:val="22"/>
              </w:rPr>
              <w:t>DHB 11</w:t>
            </w:r>
          </w:p>
        </w:tc>
        <w:tc>
          <w:tcPr>
            <w:tcW w:w="1953" w:type="dxa"/>
            <w:shd w:val="clear" w:color="auto" w:fill="auto"/>
            <w:vAlign w:val="center"/>
          </w:tcPr>
          <w:p w:rsidR="00522AF6" w:rsidRPr="003C0B43" w:rsidRDefault="00522AF6" w:rsidP="0082619D">
            <w:pPr>
              <w:keepNext/>
              <w:keepLines/>
              <w:jc w:val="center"/>
              <w:rPr>
                <w:rFonts w:ascii="Calibri" w:hAnsi="Calibri"/>
                <w:szCs w:val="22"/>
              </w:rPr>
            </w:pPr>
            <w:r>
              <w:rPr>
                <w:rFonts w:ascii="Calibri" w:hAnsi="Calibri"/>
                <w:szCs w:val="22"/>
              </w:rPr>
              <w:t>104.14</w:t>
            </w:r>
          </w:p>
        </w:tc>
      </w:tr>
      <w:tr w:rsidR="00522AF6" w:rsidRPr="003C0B43" w:rsidTr="0082619D">
        <w:trPr>
          <w:trHeight w:val="454"/>
        </w:trPr>
        <w:tc>
          <w:tcPr>
            <w:tcW w:w="1857" w:type="dxa"/>
          </w:tcPr>
          <w:p w:rsidR="00522AF6" w:rsidRPr="003C0B43" w:rsidRDefault="00522AF6" w:rsidP="0082619D">
            <w:pPr>
              <w:keepNext/>
              <w:keepLines/>
              <w:spacing w:before="120" w:after="120"/>
              <w:ind w:left="323"/>
              <w:rPr>
                <w:szCs w:val="22"/>
              </w:rPr>
            </w:pPr>
            <w:r w:rsidRPr="003C0B43">
              <w:rPr>
                <w:szCs w:val="22"/>
              </w:rPr>
              <w:t>DHB 2</w:t>
            </w:r>
          </w:p>
        </w:tc>
        <w:tc>
          <w:tcPr>
            <w:tcW w:w="1952" w:type="dxa"/>
            <w:tcBorders>
              <w:right w:val="single" w:sz="4" w:space="0" w:color="auto"/>
            </w:tcBorders>
            <w:vAlign w:val="center"/>
          </w:tcPr>
          <w:p w:rsidR="00522AF6" w:rsidRPr="003C0B43" w:rsidRDefault="00522AF6" w:rsidP="00522AF6">
            <w:pPr>
              <w:keepNext/>
              <w:keepLines/>
              <w:jc w:val="center"/>
              <w:rPr>
                <w:rFonts w:ascii="Calibri" w:hAnsi="Calibri"/>
                <w:szCs w:val="22"/>
              </w:rPr>
            </w:pPr>
            <w:r>
              <w:rPr>
                <w:rFonts w:ascii="Calibri" w:hAnsi="Calibri"/>
                <w:szCs w:val="22"/>
              </w:rPr>
              <w:t>57.06</w:t>
            </w:r>
          </w:p>
        </w:tc>
        <w:tc>
          <w:tcPr>
            <w:tcW w:w="268" w:type="dxa"/>
            <w:tcBorders>
              <w:top w:val="nil"/>
              <w:left w:val="single" w:sz="4" w:space="0" w:color="auto"/>
              <w:bottom w:val="nil"/>
              <w:right w:val="single" w:sz="4" w:space="0" w:color="auto"/>
            </w:tcBorders>
          </w:tcPr>
          <w:p w:rsidR="00522AF6" w:rsidRPr="003C0B43" w:rsidRDefault="00522AF6" w:rsidP="0082619D">
            <w:pPr>
              <w:keepNext/>
              <w:keepLines/>
              <w:spacing w:before="120" w:after="120"/>
              <w:rPr>
                <w:szCs w:val="22"/>
              </w:rPr>
            </w:pPr>
          </w:p>
        </w:tc>
        <w:tc>
          <w:tcPr>
            <w:tcW w:w="1857" w:type="dxa"/>
            <w:tcBorders>
              <w:left w:val="single" w:sz="4" w:space="0" w:color="auto"/>
            </w:tcBorders>
          </w:tcPr>
          <w:p w:rsidR="00522AF6" w:rsidRPr="003C0B43" w:rsidRDefault="00522AF6" w:rsidP="0082619D">
            <w:pPr>
              <w:keepNext/>
              <w:keepLines/>
              <w:spacing w:before="120" w:after="120"/>
              <w:ind w:left="323"/>
              <w:rPr>
                <w:szCs w:val="22"/>
              </w:rPr>
            </w:pPr>
            <w:r w:rsidRPr="003C0B43">
              <w:rPr>
                <w:szCs w:val="22"/>
              </w:rPr>
              <w:t>DHB 12</w:t>
            </w:r>
          </w:p>
        </w:tc>
        <w:tc>
          <w:tcPr>
            <w:tcW w:w="1953" w:type="dxa"/>
            <w:vAlign w:val="center"/>
          </w:tcPr>
          <w:p w:rsidR="00522AF6" w:rsidRPr="003C0B43" w:rsidRDefault="00522AF6" w:rsidP="0082619D">
            <w:pPr>
              <w:keepNext/>
              <w:keepLines/>
              <w:jc w:val="center"/>
              <w:rPr>
                <w:rFonts w:ascii="Calibri" w:hAnsi="Calibri"/>
                <w:szCs w:val="22"/>
              </w:rPr>
            </w:pPr>
            <w:r>
              <w:rPr>
                <w:rFonts w:ascii="Calibri" w:hAnsi="Calibri"/>
                <w:szCs w:val="22"/>
              </w:rPr>
              <w:t>108.42</w:t>
            </w:r>
          </w:p>
        </w:tc>
      </w:tr>
      <w:tr w:rsidR="00522AF6" w:rsidRPr="003C0B43" w:rsidTr="0082619D">
        <w:trPr>
          <w:trHeight w:val="454"/>
        </w:trPr>
        <w:tc>
          <w:tcPr>
            <w:tcW w:w="1857" w:type="dxa"/>
            <w:shd w:val="clear" w:color="auto" w:fill="auto"/>
          </w:tcPr>
          <w:p w:rsidR="00522AF6" w:rsidRPr="003C0B43" w:rsidRDefault="00522AF6" w:rsidP="0082619D">
            <w:pPr>
              <w:keepNext/>
              <w:keepLines/>
              <w:spacing w:before="120" w:after="120"/>
              <w:ind w:left="323"/>
              <w:rPr>
                <w:szCs w:val="22"/>
              </w:rPr>
            </w:pPr>
            <w:r w:rsidRPr="003C0B43">
              <w:rPr>
                <w:szCs w:val="22"/>
              </w:rPr>
              <w:t xml:space="preserve">DHB 3 </w:t>
            </w:r>
          </w:p>
        </w:tc>
        <w:tc>
          <w:tcPr>
            <w:tcW w:w="1952" w:type="dxa"/>
            <w:tcBorders>
              <w:right w:val="single" w:sz="4" w:space="0" w:color="auto"/>
            </w:tcBorders>
            <w:shd w:val="clear" w:color="auto" w:fill="auto"/>
            <w:vAlign w:val="center"/>
          </w:tcPr>
          <w:p w:rsidR="00522AF6" w:rsidRPr="003C0B43" w:rsidRDefault="00522AF6" w:rsidP="0082619D">
            <w:pPr>
              <w:keepNext/>
              <w:keepLines/>
              <w:jc w:val="center"/>
              <w:rPr>
                <w:rFonts w:ascii="Calibri" w:hAnsi="Calibri"/>
                <w:szCs w:val="22"/>
              </w:rPr>
            </w:pPr>
            <w:r>
              <w:rPr>
                <w:rFonts w:ascii="Calibri" w:hAnsi="Calibri"/>
                <w:szCs w:val="22"/>
              </w:rPr>
              <w:t>63.93</w:t>
            </w:r>
          </w:p>
        </w:tc>
        <w:tc>
          <w:tcPr>
            <w:tcW w:w="268" w:type="dxa"/>
            <w:tcBorders>
              <w:top w:val="nil"/>
              <w:left w:val="single" w:sz="4" w:space="0" w:color="auto"/>
              <w:bottom w:val="nil"/>
              <w:right w:val="single" w:sz="4" w:space="0" w:color="auto"/>
            </w:tcBorders>
          </w:tcPr>
          <w:p w:rsidR="00522AF6" w:rsidRPr="003C0B43" w:rsidRDefault="00522AF6" w:rsidP="0082619D">
            <w:pPr>
              <w:keepNext/>
              <w:keepLines/>
              <w:spacing w:before="120" w:after="120"/>
              <w:rPr>
                <w:szCs w:val="22"/>
              </w:rPr>
            </w:pPr>
          </w:p>
        </w:tc>
        <w:tc>
          <w:tcPr>
            <w:tcW w:w="1857" w:type="dxa"/>
            <w:tcBorders>
              <w:left w:val="single" w:sz="4" w:space="0" w:color="auto"/>
            </w:tcBorders>
            <w:vAlign w:val="center"/>
          </w:tcPr>
          <w:p w:rsidR="00522AF6" w:rsidRPr="003C0B43" w:rsidRDefault="00522AF6" w:rsidP="0082619D">
            <w:pPr>
              <w:keepNext/>
              <w:keepLines/>
              <w:spacing w:before="120" w:after="120"/>
              <w:ind w:left="323"/>
              <w:rPr>
                <w:szCs w:val="22"/>
              </w:rPr>
            </w:pPr>
            <w:r w:rsidRPr="003C0B43">
              <w:rPr>
                <w:szCs w:val="22"/>
              </w:rPr>
              <w:t>DHB 13</w:t>
            </w:r>
          </w:p>
        </w:tc>
        <w:tc>
          <w:tcPr>
            <w:tcW w:w="1953" w:type="dxa"/>
            <w:vAlign w:val="center"/>
          </w:tcPr>
          <w:p w:rsidR="00522AF6" w:rsidRPr="003C0B43" w:rsidRDefault="00522AF6" w:rsidP="0082619D">
            <w:pPr>
              <w:keepNext/>
              <w:keepLines/>
              <w:jc w:val="center"/>
              <w:rPr>
                <w:rFonts w:ascii="Calibri" w:hAnsi="Calibri"/>
                <w:szCs w:val="22"/>
              </w:rPr>
            </w:pPr>
            <w:r>
              <w:rPr>
                <w:rFonts w:ascii="Calibri" w:hAnsi="Calibri"/>
                <w:szCs w:val="22"/>
              </w:rPr>
              <w:t>112.47</w:t>
            </w:r>
          </w:p>
        </w:tc>
      </w:tr>
      <w:tr w:rsidR="00522AF6" w:rsidRPr="003C0B43" w:rsidTr="0082619D">
        <w:trPr>
          <w:trHeight w:val="454"/>
        </w:trPr>
        <w:tc>
          <w:tcPr>
            <w:tcW w:w="1857" w:type="dxa"/>
          </w:tcPr>
          <w:p w:rsidR="00522AF6" w:rsidRPr="003C0B43" w:rsidRDefault="00522AF6" w:rsidP="0082619D">
            <w:pPr>
              <w:keepNext/>
              <w:keepLines/>
              <w:spacing w:before="120" w:after="120"/>
              <w:ind w:left="323"/>
              <w:rPr>
                <w:szCs w:val="22"/>
              </w:rPr>
            </w:pPr>
            <w:r w:rsidRPr="003C0B43">
              <w:rPr>
                <w:szCs w:val="22"/>
              </w:rPr>
              <w:t>DHB 4</w:t>
            </w:r>
          </w:p>
        </w:tc>
        <w:tc>
          <w:tcPr>
            <w:tcW w:w="1952" w:type="dxa"/>
            <w:tcBorders>
              <w:right w:val="single" w:sz="4" w:space="0" w:color="auto"/>
            </w:tcBorders>
            <w:vAlign w:val="center"/>
          </w:tcPr>
          <w:p w:rsidR="00522AF6" w:rsidRPr="003C0B43" w:rsidRDefault="00522AF6" w:rsidP="0082619D">
            <w:pPr>
              <w:keepNext/>
              <w:keepLines/>
              <w:jc w:val="center"/>
              <w:rPr>
                <w:rFonts w:ascii="Calibri" w:hAnsi="Calibri"/>
                <w:szCs w:val="22"/>
              </w:rPr>
            </w:pPr>
            <w:r>
              <w:rPr>
                <w:rFonts w:ascii="Calibri" w:hAnsi="Calibri"/>
                <w:szCs w:val="22"/>
              </w:rPr>
              <w:t>67.13</w:t>
            </w:r>
          </w:p>
        </w:tc>
        <w:tc>
          <w:tcPr>
            <w:tcW w:w="268" w:type="dxa"/>
            <w:tcBorders>
              <w:top w:val="nil"/>
              <w:left w:val="single" w:sz="4" w:space="0" w:color="auto"/>
              <w:bottom w:val="nil"/>
              <w:right w:val="single" w:sz="4" w:space="0" w:color="auto"/>
            </w:tcBorders>
          </w:tcPr>
          <w:p w:rsidR="00522AF6" w:rsidRPr="003C0B43" w:rsidRDefault="00522AF6" w:rsidP="0082619D">
            <w:pPr>
              <w:keepNext/>
              <w:keepLines/>
              <w:spacing w:before="120" w:after="120"/>
              <w:rPr>
                <w:szCs w:val="22"/>
              </w:rPr>
            </w:pPr>
          </w:p>
        </w:tc>
        <w:tc>
          <w:tcPr>
            <w:tcW w:w="1857" w:type="dxa"/>
            <w:tcBorders>
              <w:left w:val="single" w:sz="4" w:space="0" w:color="auto"/>
            </w:tcBorders>
          </w:tcPr>
          <w:p w:rsidR="00522AF6" w:rsidRPr="003C0B43" w:rsidRDefault="00522AF6" w:rsidP="0082619D">
            <w:pPr>
              <w:keepNext/>
              <w:keepLines/>
              <w:spacing w:before="120" w:after="120"/>
              <w:ind w:left="323"/>
              <w:rPr>
                <w:szCs w:val="22"/>
              </w:rPr>
            </w:pPr>
            <w:r w:rsidRPr="003C0B43">
              <w:rPr>
                <w:szCs w:val="22"/>
              </w:rPr>
              <w:t>DHB 14</w:t>
            </w:r>
          </w:p>
        </w:tc>
        <w:tc>
          <w:tcPr>
            <w:tcW w:w="1953" w:type="dxa"/>
            <w:vAlign w:val="center"/>
          </w:tcPr>
          <w:p w:rsidR="00522AF6" w:rsidRPr="003C0B43" w:rsidRDefault="00522AF6" w:rsidP="0082619D">
            <w:pPr>
              <w:keepNext/>
              <w:keepLines/>
              <w:jc w:val="center"/>
              <w:rPr>
                <w:rFonts w:ascii="Calibri" w:hAnsi="Calibri"/>
                <w:szCs w:val="22"/>
              </w:rPr>
            </w:pPr>
            <w:r>
              <w:rPr>
                <w:rFonts w:ascii="Calibri" w:hAnsi="Calibri"/>
                <w:szCs w:val="22"/>
              </w:rPr>
              <w:t>123.79</w:t>
            </w:r>
          </w:p>
        </w:tc>
      </w:tr>
      <w:tr w:rsidR="00522AF6" w:rsidRPr="003C0B43" w:rsidTr="0082619D">
        <w:trPr>
          <w:trHeight w:val="454"/>
        </w:trPr>
        <w:tc>
          <w:tcPr>
            <w:tcW w:w="1857" w:type="dxa"/>
          </w:tcPr>
          <w:p w:rsidR="00522AF6" w:rsidRPr="003C0B43" w:rsidRDefault="00522AF6" w:rsidP="0082619D">
            <w:pPr>
              <w:keepNext/>
              <w:keepLines/>
              <w:spacing w:before="120" w:after="120"/>
              <w:ind w:left="323"/>
              <w:rPr>
                <w:szCs w:val="22"/>
              </w:rPr>
            </w:pPr>
            <w:r w:rsidRPr="003C0B43">
              <w:rPr>
                <w:szCs w:val="22"/>
              </w:rPr>
              <w:t>DHB 5</w:t>
            </w:r>
          </w:p>
        </w:tc>
        <w:tc>
          <w:tcPr>
            <w:tcW w:w="1952" w:type="dxa"/>
            <w:tcBorders>
              <w:right w:val="single" w:sz="4" w:space="0" w:color="auto"/>
            </w:tcBorders>
            <w:vAlign w:val="center"/>
          </w:tcPr>
          <w:p w:rsidR="00522AF6" w:rsidRPr="003C0B43" w:rsidRDefault="00522AF6" w:rsidP="0082619D">
            <w:pPr>
              <w:keepNext/>
              <w:keepLines/>
              <w:jc w:val="center"/>
              <w:rPr>
                <w:rFonts w:ascii="Calibri" w:hAnsi="Calibri"/>
                <w:szCs w:val="22"/>
              </w:rPr>
            </w:pPr>
            <w:r>
              <w:rPr>
                <w:rFonts w:ascii="Calibri" w:hAnsi="Calibri"/>
                <w:szCs w:val="22"/>
              </w:rPr>
              <w:t>72.47</w:t>
            </w:r>
          </w:p>
        </w:tc>
        <w:tc>
          <w:tcPr>
            <w:tcW w:w="268" w:type="dxa"/>
            <w:tcBorders>
              <w:top w:val="nil"/>
              <w:left w:val="single" w:sz="4" w:space="0" w:color="auto"/>
              <w:bottom w:val="nil"/>
              <w:right w:val="single" w:sz="4" w:space="0" w:color="auto"/>
            </w:tcBorders>
          </w:tcPr>
          <w:p w:rsidR="00522AF6" w:rsidRPr="003C0B43" w:rsidRDefault="00522AF6" w:rsidP="0082619D">
            <w:pPr>
              <w:keepNext/>
              <w:keepLines/>
              <w:spacing w:before="120" w:after="120"/>
              <w:rPr>
                <w:szCs w:val="22"/>
              </w:rPr>
            </w:pPr>
          </w:p>
        </w:tc>
        <w:tc>
          <w:tcPr>
            <w:tcW w:w="1857" w:type="dxa"/>
            <w:tcBorders>
              <w:left w:val="single" w:sz="4" w:space="0" w:color="auto"/>
            </w:tcBorders>
          </w:tcPr>
          <w:p w:rsidR="00522AF6" w:rsidRPr="003C0B43" w:rsidRDefault="00522AF6" w:rsidP="0082619D">
            <w:pPr>
              <w:keepNext/>
              <w:keepLines/>
              <w:spacing w:before="120" w:after="120"/>
              <w:ind w:left="323"/>
              <w:rPr>
                <w:szCs w:val="22"/>
              </w:rPr>
            </w:pPr>
            <w:r w:rsidRPr="003C0B43">
              <w:rPr>
                <w:szCs w:val="22"/>
              </w:rPr>
              <w:t>DHB 15</w:t>
            </w:r>
          </w:p>
        </w:tc>
        <w:tc>
          <w:tcPr>
            <w:tcW w:w="1953" w:type="dxa"/>
            <w:vAlign w:val="center"/>
          </w:tcPr>
          <w:p w:rsidR="00522AF6" w:rsidRPr="003C0B43" w:rsidRDefault="00522AF6" w:rsidP="0082619D">
            <w:pPr>
              <w:keepNext/>
              <w:keepLines/>
              <w:jc w:val="center"/>
              <w:rPr>
                <w:rFonts w:ascii="Calibri" w:hAnsi="Calibri"/>
                <w:szCs w:val="22"/>
              </w:rPr>
            </w:pPr>
            <w:r>
              <w:rPr>
                <w:rFonts w:ascii="Calibri" w:hAnsi="Calibri"/>
                <w:szCs w:val="22"/>
              </w:rPr>
              <w:t>124.07</w:t>
            </w:r>
          </w:p>
        </w:tc>
      </w:tr>
      <w:tr w:rsidR="00522AF6" w:rsidRPr="003C0B43" w:rsidTr="0082619D">
        <w:trPr>
          <w:trHeight w:val="454"/>
        </w:trPr>
        <w:tc>
          <w:tcPr>
            <w:tcW w:w="1857" w:type="dxa"/>
          </w:tcPr>
          <w:p w:rsidR="00522AF6" w:rsidRPr="003C0B43" w:rsidRDefault="00522AF6" w:rsidP="0082619D">
            <w:pPr>
              <w:keepNext/>
              <w:keepLines/>
              <w:spacing w:before="120" w:after="120"/>
              <w:ind w:left="323"/>
              <w:rPr>
                <w:szCs w:val="22"/>
              </w:rPr>
            </w:pPr>
            <w:r w:rsidRPr="003C0B43">
              <w:rPr>
                <w:szCs w:val="22"/>
              </w:rPr>
              <w:t>DHB 6</w:t>
            </w:r>
          </w:p>
        </w:tc>
        <w:tc>
          <w:tcPr>
            <w:tcW w:w="1952" w:type="dxa"/>
            <w:tcBorders>
              <w:right w:val="single" w:sz="4" w:space="0" w:color="auto"/>
            </w:tcBorders>
            <w:vAlign w:val="center"/>
          </w:tcPr>
          <w:p w:rsidR="00522AF6" w:rsidRPr="003C0B43" w:rsidRDefault="00522AF6" w:rsidP="0082619D">
            <w:pPr>
              <w:keepNext/>
              <w:keepLines/>
              <w:jc w:val="center"/>
              <w:rPr>
                <w:rFonts w:ascii="Calibri" w:hAnsi="Calibri"/>
                <w:szCs w:val="22"/>
              </w:rPr>
            </w:pPr>
            <w:r>
              <w:rPr>
                <w:rFonts w:ascii="Calibri" w:hAnsi="Calibri"/>
                <w:szCs w:val="22"/>
              </w:rPr>
              <w:t>72.97</w:t>
            </w:r>
          </w:p>
        </w:tc>
        <w:tc>
          <w:tcPr>
            <w:tcW w:w="268" w:type="dxa"/>
            <w:tcBorders>
              <w:top w:val="nil"/>
              <w:left w:val="single" w:sz="4" w:space="0" w:color="auto"/>
              <w:bottom w:val="nil"/>
              <w:right w:val="single" w:sz="4" w:space="0" w:color="auto"/>
            </w:tcBorders>
          </w:tcPr>
          <w:p w:rsidR="00522AF6" w:rsidRPr="003C0B43" w:rsidRDefault="00522AF6" w:rsidP="0082619D">
            <w:pPr>
              <w:keepNext/>
              <w:keepLines/>
              <w:spacing w:before="120" w:after="120"/>
              <w:rPr>
                <w:szCs w:val="22"/>
              </w:rPr>
            </w:pPr>
          </w:p>
        </w:tc>
        <w:tc>
          <w:tcPr>
            <w:tcW w:w="1857" w:type="dxa"/>
            <w:tcBorders>
              <w:left w:val="single" w:sz="4" w:space="0" w:color="auto"/>
            </w:tcBorders>
          </w:tcPr>
          <w:p w:rsidR="00522AF6" w:rsidRPr="003C0B43" w:rsidRDefault="00522AF6" w:rsidP="0082619D">
            <w:pPr>
              <w:keepNext/>
              <w:keepLines/>
              <w:spacing w:before="120" w:after="120"/>
              <w:ind w:left="323"/>
              <w:rPr>
                <w:szCs w:val="22"/>
              </w:rPr>
            </w:pPr>
            <w:r w:rsidRPr="003C0B43">
              <w:rPr>
                <w:szCs w:val="22"/>
              </w:rPr>
              <w:t>DHB 16</w:t>
            </w:r>
          </w:p>
        </w:tc>
        <w:tc>
          <w:tcPr>
            <w:tcW w:w="1953" w:type="dxa"/>
            <w:vAlign w:val="center"/>
          </w:tcPr>
          <w:p w:rsidR="00522AF6" w:rsidRPr="003C0B43" w:rsidRDefault="00522AF6" w:rsidP="0082619D">
            <w:pPr>
              <w:keepNext/>
              <w:keepLines/>
              <w:jc w:val="center"/>
              <w:rPr>
                <w:rFonts w:ascii="Calibri" w:hAnsi="Calibri"/>
                <w:szCs w:val="22"/>
              </w:rPr>
            </w:pPr>
            <w:r>
              <w:rPr>
                <w:rFonts w:ascii="Calibri" w:hAnsi="Calibri"/>
                <w:szCs w:val="22"/>
              </w:rPr>
              <w:t>124.15</w:t>
            </w:r>
          </w:p>
        </w:tc>
      </w:tr>
      <w:tr w:rsidR="00522AF6" w:rsidRPr="003C0B43" w:rsidTr="0082619D">
        <w:trPr>
          <w:trHeight w:val="454"/>
        </w:trPr>
        <w:tc>
          <w:tcPr>
            <w:tcW w:w="1857" w:type="dxa"/>
          </w:tcPr>
          <w:p w:rsidR="00522AF6" w:rsidRPr="003C0B43" w:rsidRDefault="00522AF6" w:rsidP="0082619D">
            <w:pPr>
              <w:keepNext/>
              <w:keepLines/>
              <w:spacing w:before="120" w:after="120"/>
              <w:ind w:left="323"/>
              <w:rPr>
                <w:szCs w:val="22"/>
              </w:rPr>
            </w:pPr>
            <w:r w:rsidRPr="003C0B43">
              <w:rPr>
                <w:szCs w:val="22"/>
              </w:rPr>
              <w:t>DHB 7</w:t>
            </w:r>
          </w:p>
        </w:tc>
        <w:tc>
          <w:tcPr>
            <w:tcW w:w="1952" w:type="dxa"/>
            <w:tcBorders>
              <w:right w:val="single" w:sz="4" w:space="0" w:color="auto"/>
            </w:tcBorders>
            <w:vAlign w:val="center"/>
          </w:tcPr>
          <w:p w:rsidR="00522AF6" w:rsidRPr="003C0B43" w:rsidRDefault="00522AF6" w:rsidP="0082619D">
            <w:pPr>
              <w:keepNext/>
              <w:keepLines/>
              <w:jc w:val="center"/>
              <w:rPr>
                <w:rFonts w:ascii="Calibri" w:hAnsi="Calibri"/>
                <w:szCs w:val="22"/>
              </w:rPr>
            </w:pPr>
            <w:r>
              <w:rPr>
                <w:rFonts w:ascii="Calibri" w:hAnsi="Calibri"/>
                <w:szCs w:val="22"/>
              </w:rPr>
              <w:t>77.01</w:t>
            </w:r>
          </w:p>
        </w:tc>
        <w:tc>
          <w:tcPr>
            <w:tcW w:w="268" w:type="dxa"/>
            <w:tcBorders>
              <w:top w:val="nil"/>
              <w:left w:val="single" w:sz="4" w:space="0" w:color="auto"/>
              <w:bottom w:val="nil"/>
              <w:right w:val="single" w:sz="4" w:space="0" w:color="auto"/>
            </w:tcBorders>
          </w:tcPr>
          <w:p w:rsidR="00522AF6" w:rsidRPr="003C0B43" w:rsidRDefault="00522AF6" w:rsidP="0082619D">
            <w:pPr>
              <w:keepNext/>
              <w:keepLines/>
              <w:spacing w:before="120" w:after="120"/>
              <w:rPr>
                <w:szCs w:val="22"/>
              </w:rPr>
            </w:pPr>
          </w:p>
        </w:tc>
        <w:tc>
          <w:tcPr>
            <w:tcW w:w="1857" w:type="dxa"/>
            <w:tcBorders>
              <w:left w:val="single" w:sz="4" w:space="0" w:color="auto"/>
            </w:tcBorders>
          </w:tcPr>
          <w:p w:rsidR="00522AF6" w:rsidRPr="003C0B43" w:rsidRDefault="00522AF6" w:rsidP="0082619D">
            <w:pPr>
              <w:keepNext/>
              <w:keepLines/>
              <w:spacing w:before="120" w:after="120"/>
              <w:ind w:left="323"/>
              <w:rPr>
                <w:szCs w:val="22"/>
              </w:rPr>
            </w:pPr>
            <w:r w:rsidRPr="003C0B43">
              <w:rPr>
                <w:szCs w:val="22"/>
              </w:rPr>
              <w:t>DHB 17</w:t>
            </w:r>
          </w:p>
        </w:tc>
        <w:tc>
          <w:tcPr>
            <w:tcW w:w="1953" w:type="dxa"/>
            <w:vAlign w:val="center"/>
          </w:tcPr>
          <w:p w:rsidR="00522AF6" w:rsidRPr="003C0B43" w:rsidRDefault="00522AF6" w:rsidP="0082619D">
            <w:pPr>
              <w:keepNext/>
              <w:keepLines/>
              <w:jc w:val="center"/>
              <w:rPr>
                <w:rFonts w:ascii="Calibri" w:hAnsi="Calibri"/>
                <w:szCs w:val="22"/>
              </w:rPr>
            </w:pPr>
            <w:r>
              <w:rPr>
                <w:rFonts w:ascii="Calibri" w:hAnsi="Calibri"/>
                <w:szCs w:val="22"/>
              </w:rPr>
              <w:t>137.65</w:t>
            </w:r>
          </w:p>
        </w:tc>
      </w:tr>
      <w:tr w:rsidR="00522AF6" w:rsidRPr="003C0B43" w:rsidTr="0082619D">
        <w:trPr>
          <w:trHeight w:val="454"/>
        </w:trPr>
        <w:tc>
          <w:tcPr>
            <w:tcW w:w="1857" w:type="dxa"/>
          </w:tcPr>
          <w:p w:rsidR="00522AF6" w:rsidRPr="003C0B43" w:rsidRDefault="00522AF6" w:rsidP="0082619D">
            <w:pPr>
              <w:keepNext/>
              <w:keepLines/>
              <w:spacing w:before="120" w:after="120"/>
              <w:ind w:left="323"/>
              <w:rPr>
                <w:szCs w:val="22"/>
              </w:rPr>
            </w:pPr>
            <w:r w:rsidRPr="003C0B43">
              <w:rPr>
                <w:szCs w:val="22"/>
              </w:rPr>
              <w:t>DHB 8</w:t>
            </w:r>
          </w:p>
        </w:tc>
        <w:tc>
          <w:tcPr>
            <w:tcW w:w="1952" w:type="dxa"/>
            <w:tcBorders>
              <w:right w:val="single" w:sz="4" w:space="0" w:color="auto"/>
            </w:tcBorders>
            <w:vAlign w:val="center"/>
          </w:tcPr>
          <w:p w:rsidR="00522AF6" w:rsidRPr="003C0B43" w:rsidRDefault="00522AF6" w:rsidP="0082619D">
            <w:pPr>
              <w:keepNext/>
              <w:keepLines/>
              <w:jc w:val="center"/>
              <w:rPr>
                <w:rFonts w:ascii="Calibri" w:hAnsi="Calibri"/>
                <w:szCs w:val="22"/>
              </w:rPr>
            </w:pPr>
            <w:r>
              <w:rPr>
                <w:rFonts w:ascii="Calibri" w:hAnsi="Calibri"/>
                <w:szCs w:val="22"/>
              </w:rPr>
              <w:t>86.38</w:t>
            </w:r>
          </w:p>
        </w:tc>
        <w:tc>
          <w:tcPr>
            <w:tcW w:w="268" w:type="dxa"/>
            <w:tcBorders>
              <w:top w:val="nil"/>
              <w:left w:val="single" w:sz="4" w:space="0" w:color="auto"/>
              <w:bottom w:val="nil"/>
              <w:right w:val="single" w:sz="4" w:space="0" w:color="auto"/>
            </w:tcBorders>
          </w:tcPr>
          <w:p w:rsidR="00522AF6" w:rsidRPr="003C0B43" w:rsidRDefault="00522AF6" w:rsidP="0082619D">
            <w:pPr>
              <w:keepNext/>
              <w:keepLines/>
              <w:spacing w:before="120" w:after="120"/>
              <w:rPr>
                <w:szCs w:val="22"/>
              </w:rPr>
            </w:pPr>
          </w:p>
        </w:tc>
        <w:tc>
          <w:tcPr>
            <w:tcW w:w="1857" w:type="dxa"/>
            <w:tcBorders>
              <w:left w:val="single" w:sz="4" w:space="0" w:color="auto"/>
            </w:tcBorders>
          </w:tcPr>
          <w:p w:rsidR="00522AF6" w:rsidRPr="003C0B43" w:rsidRDefault="00522AF6" w:rsidP="0082619D">
            <w:pPr>
              <w:keepNext/>
              <w:keepLines/>
              <w:spacing w:before="120" w:after="120"/>
              <w:ind w:left="323"/>
              <w:rPr>
                <w:szCs w:val="22"/>
              </w:rPr>
            </w:pPr>
            <w:r w:rsidRPr="003C0B43">
              <w:rPr>
                <w:szCs w:val="22"/>
              </w:rPr>
              <w:t>DHB 18</w:t>
            </w:r>
          </w:p>
        </w:tc>
        <w:tc>
          <w:tcPr>
            <w:tcW w:w="1953" w:type="dxa"/>
            <w:vAlign w:val="center"/>
          </w:tcPr>
          <w:p w:rsidR="00522AF6" w:rsidRPr="003C0B43" w:rsidRDefault="00522AF6" w:rsidP="0082619D">
            <w:pPr>
              <w:keepNext/>
              <w:keepLines/>
              <w:jc w:val="center"/>
              <w:rPr>
                <w:rFonts w:ascii="Calibri" w:hAnsi="Calibri"/>
                <w:szCs w:val="22"/>
              </w:rPr>
            </w:pPr>
            <w:r>
              <w:rPr>
                <w:rFonts w:ascii="Calibri" w:hAnsi="Calibri"/>
                <w:szCs w:val="22"/>
              </w:rPr>
              <w:t>138.79</w:t>
            </w:r>
          </w:p>
        </w:tc>
      </w:tr>
      <w:tr w:rsidR="00522AF6" w:rsidRPr="003C0B43" w:rsidTr="0082619D">
        <w:trPr>
          <w:trHeight w:val="454"/>
        </w:trPr>
        <w:tc>
          <w:tcPr>
            <w:tcW w:w="1857" w:type="dxa"/>
          </w:tcPr>
          <w:p w:rsidR="00522AF6" w:rsidRPr="003C0B43" w:rsidRDefault="00522AF6" w:rsidP="0082619D">
            <w:pPr>
              <w:keepNext/>
              <w:keepLines/>
              <w:spacing w:before="120" w:after="120"/>
              <w:ind w:left="323"/>
              <w:rPr>
                <w:szCs w:val="22"/>
              </w:rPr>
            </w:pPr>
            <w:r w:rsidRPr="003C0B43">
              <w:rPr>
                <w:szCs w:val="22"/>
              </w:rPr>
              <w:t>DHB 9</w:t>
            </w:r>
          </w:p>
        </w:tc>
        <w:tc>
          <w:tcPr>
            <w:tcW w:w="1952" w:type="dxa"/>
            <w:tcBorders>
              <w:right w:val="single" w:sz="4" w:space="0" w:color="auto"/>
            </w:tcBorders>
            <w:vAlign w:val="center"/>
          </w:tcPr>
          <w:p w:rsidR="00522AF6" w:rsidRPr="003C0B43" w:rsidRDefault="00522AF6" w:rsidP="0082619D">
            <w:pPr>
              <w:keepNext/>
              <w:keepLines/>
              <w:jc w:val="center"/>
              <w:rPr>
                <w:rFonts w:ascii="Calibri" w:hAnsi="Calibri"/>
                <w:szCs w:val="22"/>
              </w:rPr>
            </w:pPr>
            <w:r>
              <w:rPr>
                <w:rFonts w:ascii="Calibri" w:hAnsi="Calibri"/>
                <w:szCs w:val="22"/>
              </w:rPr>
              <w:t>93.65</w:t>
            </w:r>
          </w:p>
        </w:tc>
        <w:tc>
          <w:tcPr>
            <w:tcW w:w="268" w:type="dxa"/>
            <w:tcBorders>
              <w:top w:val="nil"/>
              <w:left w:val="single" w:sz="4" w:space="0" w:color="auto"/>
              <w:bottom w:val="nil"/>
              <w:right w:val="single" w:sz="4" w:space="0" w:color="auto"/>
            </w:tcBorders>
          </w:tcPr>
          <w:p w:rsidR="00522AF6" w:rsidRPr="003C0B43" w:rsidRDefault="00522AF6" w:rsidP="0082619D">
            <w:pPr>
              <w:keepNext/>
              <w:keepLines/>
              <w:spacing w:before="120" w:after="120"/>
              <w:rPr>
                <w:szCs w:val="22"/>
              </w:rPr>
            </w:pPr>
          </w:p>
        </w:tc>
        <w:tc>
          <w:tcPr>
            <w:tcW w:w="1857" w:type="dxa"/>
            <w:tcBorders>
              <w:left w:val="single" w:sz="4" w:space="0" w:color="auto"/>
            </w:tcBorders>
          </w:tcPr>
          <w:p w:rsidR="00522AF6" w:rsidRPr="003C0B43" w:rsidRDefault="00522AF6" w:rsidP="0082619D">
            <w:pPr>
              <w:keepNext/>
              <w:keepLines/>
              <w:spacing w:before="120" w:after="120"/>
              <w:ind w:left="323"/>
              <w:rPr>
                <w:szCs w:val="22"/>
              </w:rPr>
            </w:pPr>
            <w:r w:rsidRPr="003C0B43">
              <w:rPr>
                <w:szCs w:val="22"/>
              </w:rPr>
              <w:t>DHB 19</w:t>
            </w:r>
          </w:p>
        </w:tc>
        <w:tc>
          <w:tcPr>
            <w:tcW w:w="1953" w:type="dxa"/>
            <w:vAlign w:val="center"/>
          </w:tcPr>
          <w:p w:rsidR="00522AF6" w:rsidRPr="003C0B43" w:rsidRDefault="00522AF6" w:rsidP="0082619D">
            <w:pPr>
              <w:keepNext/>
              <w:keepLines/>
              <w:jc w:val="center"/>
              <w:rPr>
                <w:rFonts w:ascii="Calibri" w:hAnsi="Calibri"/>
                <w:szCs w:val="22"/>
              </w:rPr>
            </w:pPr>
            <w:r>
              <w:rPr>
                <w:rFonts w:ascii="Calibri" w:hAnsi="Calibri"/>
                <w:szCs w:val="22"/>
              </w:rPr>
              <w:t>144.74</w:t>
            </w:r>
          </w:p>
        </w:tc>
      </w:tr>
      <w:tr w:rsidR="00522AF6" w:rsidRPr="003C0B43" w:rsidTr="0082619D">
        <w:trPr>
          <w:trHeight w:val="454"/>
        </w:trPr>
        <w:tc>
          <w:tcPr>
            <w:tcW w:w="1857" w:type="dxa"/>
          </w:tcPr>
          <w:p w:rsidR="00522AF6" w:rsidRPr="003C0B43" w:rsidRDefault="00522AF6" w:rsidP="0082619D">
            <w:pPr>
              <w:keepNext/>
              <w:keepLines/>
              <w:spacing w:before="120" w:after="120"/>
              <w:ind w:left="323"/>
              <w:rPr>
                <w:szCs w:val="22"/>
              </w:rPr>
            </w:pPr>
            <w:r w:rsidRPr="003C0B43">
              <w:rPr>
                <w:szCs w:val="22"/>
              </w:rPr>
              <w:t>DHB 10</w:t>
            </w:r>
          </w:p>
        </w:tc>
        <w:tc>
          <w:tcPr>
            <w:tcW w:w="1952" w:type="dxa"/>
            <w:tcBorders>
              <w:right w:val="single" w:sz="4" w:space="0" w:color="auto"/>
            </w:tcBorders>
            <w:vAlign w:val="center"/>
          </w:tcPr>
          <w:p w:rsidR="00522AF6" w:rsidRPr="003C0B43" w:rsidRDefault="00522AF6" w:rsidP="0082619D">
            <w:pPr>
              <w:keepNext/>
              <w:keepLines/>
              <w:jc w:val="center"/>
              <w:rPr>
                <w:rFonts w:ascii="Calibri" w:hAnsi="Calibri"/>
                <w:szCs w:val="22"/>
              </w:rPr>
            </w:pPr>
            <w:r>
              <w:rPr>
                <w:rFonts w:ascii="Calibri" w:hAnsi="Calibri"/>
                <w:szCs w:val="22"/>
              </w:rPr>
              <w:t>97.09</w:t>
            </w:r>
          </w:p>
        </w:tc>
        <w:tc>
          <w:tcPr>
            <w:tcW w:w="268" w:type="dxa"/>
            <w:tcBorders>
              <w:top w:val="nil"/>
              <w:left w:val="single" w:sz="4" w:space="0" w:color="auto"/>
              <w:bottom w:val="nil"/>
              <w:right w:val="single" w:sz="4" w:space="0" w:color="auto"/>
            </w:tcBorders>
          </w:tcPr>
          <w:p w:rsidR="00522AF6" w:rsidRPr="003C0B43" w:rsidRDefault="00522AF6" w:rsidP="0082619D">
            <w:pPr>
              <w:keepNext/>
              <w:keepLines/>
              <w:spacing w:before="120" w:after="120"/>
              <w:rPr>
                <w:szCs w:val="22"/>
              </w:rPr>
            </w:pPr>
          </w:p>
        </w:tc>
        <w:tc>
          <w:tcPr>
            <w:tcW w:w="1857" w:type="dxa"/>
            <w:tcBorders>
              <w:left w:val="single" w:sz="4" w:space="0" w:color="auto"/>
            </w:tcBorders>
          </w:tcPr>
          <w:p w:rsidR="00522AF6" w:rsidRPr="003C0B43" w:rsidRDefault="00522AF6" w:rsidP="0082619D">
            <w:pPr>
              <w:keepNext/>
              <w:keepLines/>
              <w:spacing w:before="120" w:after="120"/>
              <w:ind w:left="323"/>
              <w:rPr>
                <w:szCs w:val="22"/>
              </w:rPr>
            </w:pPr>
            <w:r w:rsidRPr="003C0B43">
              <w:rPr>
                <w:szCs w:val="22"/>
              </w:rPr>
              <w:t>DHB 20</w:t>
            </w:r>
          </w:p>
        </w:tc>
        <w:tc>
          <w:tcPr>
            <w:tcW w:w="1953" w:type="dxa"/>
            <w:vAlign w:val="center"/>
          </w:tcPr>
          <w:p w:rsidR="00522AF6" w:rsidRPr="003C0B43" w:rsidRDefault="00522AF6" w:rsidP="0082619D">
            <w:pPr>
              <w:keepNext/>
              <w:keepLines/>
              <w:jc w:val="center"/>
              <w:rPr>
                <w:rFonts w:ascii="Calibri" w:hAnsi="Calibri"/>
                <w:szCs w:val="22"/>
              </w:rPr>
            </w:pPr>
            <w:r>
              <w:rPr>
                <w:rFonts w:ascii="Calibri" w:hAnsi="Calibri"/>
                <w:szCs w:val="22"/>
              </w:rPr>
              <w:t>197.93</w:t>
            </w:r>
          </w:p>
        </w:tc>
      </w:tr>
      <w:tr w:rsidR="00522AF6" w:rsidRPr="009179EE" w:rsidTr="0082619D">
        <w:trPr>
          <w:trHeight w:val="454"/>
        </w:trPr>
        <w:tc>
          <w:tcPr>
            <w:tcW w:w="1857" w:type="dxa"/>
          </w:tcPr>
          <w:p w:rsidR="00522AF6" w:rsidRPr="003C0B43" w:rsidRDefault="00522AF6" w:rsidP="0082619D">
            <w:pPr>
              <w:keepNext/>
              <w:keepLines/>
              <w:spacing w:before="120" w:after="120"/>
              <w:ind w:left="323"/>
              <w:rPr>
                <w:szCs w:val="22"/>
              </w:rPr>
            </w:pPr>
          </w:p>
        </w:tc>
        <w:tc>
          <w:tcPr>
            <w:tcW w:w="1952" w:type="dxa"/>
            <w:tcBorders>
              <w:right w:val="single" w:sz="4" w:space="0" w:color="auto"/>
            </w:tcBorders>
          </w:tcPr>
          <w:p w:rsidR="00522AF6" w:rsidRPr="003C0B43" w:rsidRDefault="00522AF6" w:rsidP="0082619D">
            <w:pPr>
              <w:keepNext/>
              <w:keepLines/>
              <w:spacing w:before="120" w:after="120"/>
              <w:jc w:val="center"/>
              <w:rPr>
                <w:szCs w:val="22"/>
              </w:rPr>
            </w:pPr>
          </w:p>
        </w:tc>
        <w:tc>
          <w:tcPr>
            <w:tcW w:w="268" w:type="dxa"/>
            <w:tcBorders>
              <w:top w:val="nil"/>
              <w:left w:val="single" w:sz="4" w:space="0" w:color="auto"/>
              <w:bottom w:val="nil"/>
              <w:right w:val="single" w:sz="4" w:space="0" w:color="auto"/>
            </w:tcBorders>
          </w:tcPr>
          <w:p w:rsidR="00522AF6" w:rsidRPr="003C0B43" w:rsidRDefault="00522AF6" w:rsidP="0082619D">
            <w:pPr>
              <w:keepNext/>
              <w:keepLines/>
              <w:spacing w:before="120" w:after="120"/>
              <w:rPr>
                <w:szCs w:val="22"/>
              </w:rPr>
            </w:pPr>
          </w:p>
        </w:tc>
        <w:tc>
          <w:tcPr>
            <w:tcW w:w="1857" w:type="dxa"/>
            <w:tcBorders>
              <w:left w:val="single" w:sz="4" w:space="0" w:color="auto"/>
            </w:tcBorders>
          </w:tcPr>
          <w:p w:rsidR="00522AF6" w:rsidRPr="009179EE" w:rsidRDefault="00522AF6" w:rsidP="0082619D">
            <w:pPr>
              <w:keepNext/>
              <w:keepLines/>
              <w:spacing w:before="120" w:after="120"/>
              <w:ind w:left="321"/>
              <w:jc w:val="left"/>
              <w:rPr>
                <w:b/>
                <w:szCs w:val="22"/>
              </w:rPr>
            </w:pPr>
            <w:r w:rsidRPr="003C0B43">
              <w:rPr>
                <w:b/>
                <w:szCs w:val="22"/>
              </w:rPr>
              <w:t>All DHBs</w:t>
            </w:r>
          </w:p>
        </w:tc>
        <w:tc>
          <w:tcPr>
            <w:tcW w:w="1953" w:type="dxa"/>
          </w:tcPr>
          <w:p w:rsidR="00522AF6" w:rsidRPr="009179EE" w:rsidRDefault="00522AF6" w:rsidP="0082619D">
            <w:pPr>
              <w:keepNext/>
              <w:keepLines/>
              <w:spacing w:before="120" w:after="120"/>
              <w:jc w:val="center"/>
              <w:rPr>
                <w:b/>
                <w:szCs w:val="22"/>
              </w:rPr>
            </w:pPr>
            <w:r>
              <w:rPr>
                <w:b/>
                <w:szCs w:val="22"/>
              </w:rPr>
              <w:t>84.67</w:t>
            </w:r>
          </w:p>
        </w:tc>
      </w:tr>
    </w:tbl>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Pr>
        <w:rPr>
          <w:lang w:bidi="ar-SA"/>
        </w:rPr>
      </w:pPr>
    </w:p>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Pr>
        <w:rPr>
          <w:lang w:bidi="ar-SA"/>
        </w:rPr>
      </w:pPr>
    </w:p>
    <w:p w:rsidR="00522AF6" w:rsidRPr="009179EE" w:rsidRDefault="00522AF6" w:rsidP="00522AF6">
      <w:pPr>
        <w:pStyle w:val="Heading2"/>
        <w:spacing w:before="120"/>
        <w:rPr>
          <w:lang w:val="en-NZ"/>
        </w:rPr>
      </w:pPr>
      <w:bookmarkStart w:id="14" w:name="_Toc426462630"/>
      <w:bookmarkStart w:id="15" w:name="_Toc431224711"/>
      <w:r w:rsidRPr="009179EE">
        <w:rPr>
          <w:lang w:val="en-NZ"/>
        </w:rPr>
        <w:t>2.0</w:t>
      </w:r>
      <w:r w:rsidRPr="009179EE">
        <w:rPr>
          <w:lang w:val="en-NZ"/>
        </w:rPr>
        <w:tab/>
        <w:t>Service types complained about</w:t>
      </w:r>
      <w:bookmarkEnd w:id="14"/>
      <w:bookmarkEnd w:id="15"/>
      <w:r w:rsidRPr="009179EE">
        <w:rPr>
          <w:lang w:val="en-NZ"/>
        </w:rPr>
        <w:t xml:space="preserve"> </w:t>
      </w:r>
    </w:p>
    <w:p w:rsidR="00522AF6" w:rsidRPr="009179EE" w:rsidRDefault="00522AF6" w:rsidP="00522AF6">
      <w:pPr>
        <w:pStyle w:val="Heading3"/>
      </w:pPr>
      <w:bookmarkStart w:id="16" w:name="_Toc426462631"/>
      <w:bookmarkStart w:id="17" w:name="_Toc431224712"/>
      <w:r w:rsidRPr="009179EE">
        <w:t>2.1</w:t>
      </w:r>
      <w:r w:rsidRPr="009179EE">
        <w:tab/>
        <w:t>Service type category</w:t>
      </w:r>
      <w:bookmarkEnd w:id="16"/>
      <w:bookmarkEnd w:id="17"/>
    </w:p>
    <w:p w:rsidR="00522AF6" w:rsidRPr="009179EE" w:rsidRDefault="00522AF6" w:rsidP="00522AF6">
      <w:pPr>
        <w:rPr>
          <w:i/>
        </w:rPr>
      </w:pPr>
      <w:r w:rsidRPr="009179EE">
        <w:t>Complaints to HDC are shown by service type in Table 5. Please note that some complaints involve more than one DHB and/or more than one hospital, therefore, although there were 389 complaints about DHBs, 394 services were complained about.</w:t>
      </w:r>
    </w:p>
    <w:p w:rsidR="00522AF6" w:rsidRPr="009179EE" w:rsidRDefault="00522AF6" w:rsidP="00522AF6"/>
    <w:p w:rsidR="00522AF6" w:rsidRPr="009179EE" w:rsidRDefault="00522AF6" w:rsidP="00522AF6">
      <w:r w:rsidRPr="009179EE">
        <w:t>The five service types with the greatest number of complaints were surgery (25.9%), mental health (19.0%), accident and emergency (17.3%) general medicine (15.0%), and maternity (7.4%). This is broadly similar to what was seen last period, with the exception of accident and emergency services, which saw an increase in complaints</w:t>
      </w:r>
      <w:r>
        <w:t xml:space="preserve"> from 9.5% in Jul-Dec 2014 to 17.3%</w:t>
      </w:r>
      <w:r w:rsidRPr="009179EE">
        <w:t xml:space="preserve"> in Jan-J</w:t>
      </w:r>
      <w:r>
        <w:t>un 2015.</w:t>
      </w:r>
    </w:p>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Default="00522AF6" w:rsidP="00522AF6"/>
    <w:p w:rsidR="00522AF6" w:rsidRPr="009179EE" w:rsidRDefault="00522AF6" w:rsidP="00522AF6"/>
    <w:p w:rsidR="00522AF6" w:rsidRPr="009179EE" w:rsidRDefault="00522AF6" w:rsidP="00522AF6"/>
    <w:p w:rsidR="00522AF6" w:rsidRPr="009179EE" w:rsidRDefault="00522AF6" w:rsidP="00522AF6">
      <w:pPr>
        <w:spacing w:after="120"/>
        <w:rPr>
          <w:b/>
        </w:rPr>
      </w:pPr>
      <w:r w:rsidRPr="009179EE">
        <w:rPr>
          <w:b/>
        </w:rPr>
        <w:t xml:space="preserve">Table 5. </w:t>
      </w:r>
      <w:r w:rsidRPr="009179EE">
        <w:t>Service types complained about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701"/>
        <w:gridCol w:w="1985"/>
      </w:tblGrid>
      <w:tr w:rsidR="00522AF6" w:rsidRPr="009179EE" w:rsidTr="0082619D">
        <w:trPr>
          <w:trHeight w:val="624"/>
          <w:tblHeader/>
        </w:trPr>
        <w:tc>
          <w:tcPr>
            <w:tcW w:w="4678" w:type="dxa"/>
          </w:tcPr>
          <w:p w:rsidR="00522AF6" w:rsidRPr="009179EE" w:rsidRDefault="00522AF6" w:rsidP="0082619D">
            <w:pPr>
              <w:tabs>
                <w:tab w:val="left" w:pos="1440"/>
                <w:tab w:val="decimal" w:pos="4320"/>
              </w:tabs>
              <w:spacing w:before="120" w:after="120"/>
              <w:jc w:val="center"/>
              <w:outlineLvl w:val="0"/>
              <w:rPr>
                <w:rFonts w:ascii="Calibri" w:hAnsi="Calibri"/>
                <w:b/>
                <w:szCs w:val="22"/>
                <w:vertAlign w:val="superscript"/>
              </w:rPr>
            </w:pPr>
            <w:r w:rsidRPr="009179EE">
              <w:rPr>
                <w:rFonts w:ascii="Calibri" w:hAnsi="Calibri"/>
                <w:b/>
                <w:szCs w:val="22"/>
              </w:rPr>
              <w:t>Service type</w:t>
            </w:r>
          </w:p>
        </w:tc>
        <w:tc>
          <w:tcPr>
            <w:tcW w:w="1701" w:type="dxa"/>
          </w:tcPr>
          <w:p w:rsidR="00522AF6" w:rsidRPr="009179EE" w:rsidRDefault="00522AF6" w:rsidP="0082619D">
            <w:pPr>
              <w:tabs>
                <w:tab w:val="left" w:pos="1440"/>
                <w:tab w:val="decimal" w:pos="4320"/>
              </w:tabs>
              <w:spacing w:before="120" w:after="120"/>
              <w:jc w:val="center"/>
              <w:outlineLvl w:val="0"/>
              <w:rPr>
                <w:rFonts w:ascii="Calibri" w:hAnsi="Calibri"/>
                <w:b/>
                <w:szCs w:val="22"/>
              </w:rPr>
            </w:pPr>
            <w:r w:rsidRPr="009179EE">
              <w:rPr>
                <w:rFonts w:ascii="Calibri" w:hAnsi="Calibri"/>
                <w:b/>
                <w:szCs w:val="22"/>
              </w:rPr>
              <w:t>Number of complaints</w:t>
            </w:r>
          </w:p>
        </w:tc>
        <w:tc>
          <w:tcPr>
            <w:tcW w:w="1985" w:type="dxa"/>
          </w:tcPr>
          <w:p w:rsidR="00522AF6" w:rsidRPr="009179EE" w:rsidRDefault="00522AF6" w:rsidP="0082619D">
            <w:pPr>
              <w:tabs>
                <w:tab w:val="left" w:pos="1440"/>
                <w:tab w:val="decimal" w:pos="4320"/>
              </w:tabs>
              <w:spacing w:before="120" w:after="120"/>
              <w:jc w:val="center"/>
              <w:outlineLvl w:val="0"/>
              <w:rPr>
                <w:rFonts w:ascii="Calibri" w:hAnsi="Calibri"/>
                <w:b/>
                <w:szCs w:val="22"/>
              </w:rPr>
            </w:pPr>
            <w:r w:rsidRPr="009179EE">
              <w:rPr>
                <w:rFonts w:ascii="Calibri" w:hAnsi="Calibri"/>
                <w:b/>
                <w:szCs w:val="22"/>
              </w:rPr>
              <w:t>Percentage</w:t>
            </w:r>
          </w:p>
        </w:tc>
      </w:tr>
      <w:tr w:rsidR="00522AF6" w:rsidRPr="009179EE" w:rsidTr="0082619D">
        <w:trPr>
          <w:trHeight w:val="337"/>
        </w:trPr>
        <w:tc>
          <w:tcPr>
            <w:tcW w:w="4678" w:type="dxa"/>
            <w:vAlign w:val="bottom"/>
          </w:tcPr>
          <w:p w:rsidR="00522AF6" w:rsidRPr="009179EE" w:rsidRDefault="00522AF6" w:rsidP="0082619D">
            <w:pPr>
              <w:jc w:val="left"/>
              <w:rPr>
                <w:rFonts w:ascii="Calibri" w:hAnsi="Calibri" w:cs="Calibri"/>
                <w:b/>
                <w:color w:val="000000"/>
                <w:szCs w:val="22"/>
              </w:rPr>
            </w:pPr>
            <w:r w:rsidRPr="009179EE">
              <w:rPr>
                <w:rFonts w:ascii="Calibri" w:hAnsi="Calibri" w:cs="Calibri"/>
                <w:b/>
                <w:color w:val="000000"/>
                <w:szCs w:val="22"/>
              </w:rPr>
              <w:t>Accident and emergency (including paramedics)</w:t>
            </w:r>
          </w:p>
        </w:tc>
        <w:tc>
          <w:tcPr>
            <w:tcW w:w="1701"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68</w:t>
            </w:r>
          </w:p>
        </w:tc>
        <w:tc>
          <w:tcPr>
            <w:tcW w:w="1985"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17.3%</w:t>
            </w:r>
          </w:p>
        </w:tc>
      </w:tr>
      <w:tr w:rsidR="00522AF6" w:rsidRPr="009179EE" w:rsidTr="0082619D">
        <w:trPr>
          <w:trHeight w:val="337"/>
        </w:trPr>
        <w:tc>
          <w:tcPr>
            <w:tcW w:w="4678" w:type="dxa"/>
            <w:vAlign w:val="bottom"/>
          </w:tcPr>
          <w:p w:rsidR="00522AF6" w:rsidRPr="009179EE" w:rsidRDefault="00522AF6" w:rsidP="0082619D">
            <w:pPr>
              <w:rPr>
                <w:rFonts w:ascii="Calibri" w:hAnsi="Calibri" w:cs="Calibri"/>
                <w:b/>
                <w:color w:val="000000"/>
                <w:szCs w:val="22"/>
              </w:rPr>
            </w:pPr>
            <w:r w:rsidRPr="009179EE">
              <w:rPr>
                <w:rFonts w:ascii="Calibri" w:hAnsi="Calibri" w:cs="Calibri"/>
                <w:b/>
                <w:color w:val="000000"/>
                <w:szCs w:val="22"/>
              </w:rPr>
              <w:t>Aged care (long-term care facility)</w:t>
            </w:r>
          </w:p>
        </w:tc>
        <w:tc>
          <w:tcPr>
            <w:tcW w:w="1701"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5</w:t>
            </w:r>
          </w:p>
        </w:tc>
        <w:tc>
          <w:tcPr>
            <w:tcW w:w="1985"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1.3%</w:t>
            </w:r>
          </w:p>
        </w:tc>
      </w:tr>
      <w:tr w:rsidR="00522AF6" w:rsidRPr="009179EE" w:rsidTr="0082619D">
        <w:trPr>
          <w:trHeight w:val="337"/>
        </w:trPr>
        <w:tc>
          <w:tcPr>
            <w:tcW w:w="4678" w:type="dxa"/>
            <w:vAlign w:val="bottom"/>
          </w:tcPr>
          <w:p w:rsidR="00522AF6" w:rsidRPr="009179EE" w:rsidRDefault="00522AF6" w:rsidP="0082619D">
            <w:pPr>
              <w:rPr>
                <w:rFonts w:ascii="Calibri" w:hAnsi="Calibri" w:cs="Calibri"/>
                <w:b/>
                <w:color w:val="000000"/>
                <w:szCs w:val="22"/>
              </w:rPr>
            </w:pPr>
            <w:r w:rsidRPr="009179EE">
              <w:rPr>
                <w:rFonts w:ascii="Calibri" w:hAnsi="Calibri" w:cs="Calibri"/>
                <w:b/>
                <w:color w:val="000000"/>
                <w:szCs w:val="22"/>
              </w:rPr>
              <w:t>Alcohol and drug</w:t>
            </w:r>
          </w:p>
        </w:tc>
        <w:tc>
          <w:tcPr>
            <w:tcW w:w="1701"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5</w:t>
            </w:r>
          </w:p>
        </w:tc>
        <w:tc>
          <w:tcPr>
            <w:tcW w:w="1985"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1.3%</w:t>
            </w:r>
          </w:p>
        </w:tc>
      </w:tr>
      <w:tr w:rsidR="00522AF6" w:rsidRPr="009179EE" w:rsidTr="0082619D">
        <w:trPr>
          <w:trHeight w:val="337"/>
        </w:trPr>
        <w:tc>
          <w:tcPr>
            <w:tcW w:w="4678" w:type="dxa"/>
            <w:vAlign w:val="bottom"/>
          </w:tcPr>
          <w:p w:rsidR="00522AF6" w:rsidRPr="009179EE" w:rsidRDefault="00522AF6" w:rsidP="0082619D">
            <w:pPr>
              <w:rPr>
                <w:rFonts w:ascii="Calibri" w:hAnsi="Calibri" w:cs="Calibri"/>
                <w:b/>
                <w:color w:val="000000"/>
                <w:szCs w:val="22"/>
              </w:rPr>
            </w:pPr>
            <w:r w:rsidRPr="009179EE">
              <w:rPr>
                <w:rFonts w:ascii="Calibri" w:hAnsi="Calibri" w:cs="Calibri"/>
                <w:b/>
                <w:color w:val="000000"/>
                <w:szCs w:val="22"/>
              </w:rPr>
              <w:t>Anaesthetics/pain medicine</w:t>
            </w:r>
          </w:p>
        </w:tc>
        <w:tc>
          <w:tcPr>
            <w:tcW w:w="1701"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8</w:t>
            </w:r>
          </w:p>
        </w:tc>
        <w:tc>
          <w:tcPr>
            <w:tcW w:w="1985"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2.0%</w:t>
            </w:r>
          </w:p>
        </w:tc>
      </w:tr>
      <w:tr w:rsidR="00522AF6" w:rsidRPr="009179EE" w:rsidTr="0082619D">
        <w:trPr>
          <w:trHeight w:val="337"/>
        </w:trPr>
        <w:tc>
          <w:tcPr>
            <w:tcW w:w="4678" w:type="dxa"/>
            <w:vAlign w:val="bottom"/>
          </w:tcPr>
          <w:p w:rsidR="00522AF6" w:rsidRPr="009179EE" w:rsidRDefault="00522AF6" w:rsidP="0082619D">
            <w:pPr>
              <w:rPr>
                <w:rFonts w:ascii="Calibri" w:hAnsi="Calibri" w:cs="Calibri"/>
                <w:b/>
                <w:color w:val="000000"/>
                <w:szCs w:val="22"/>
              </w:rPr>
            </w:pPr>
            <w:r w:rsidRPr="009179EE">
              <w:rPr>
                <w:rFonts w:ascii="Calibri" w:hAnsi="Calibri" w:cs="Calibri"/>
                <w:b/>
                <w:color w:val="000000"/>
                <w:szCs w:val="22"/>
              </w:rPr>
              <w:t xml:space="preserve">Dental </w:t>
            </w:r>
          </w:p>
        </w:tc>
        <w:tc>
          <w:tcPr>
            <w:tcW w:w="1701"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4</w:t>
            </w:r>
          </w:p>
        </w:tc>
        <w:tc>
          <w:tcPr>
            <w:tcW w:w="1985"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1.0%</w:t>
            </w:r>
          </w:p>
        </w:tc>
      </w:tr>
      <w:tr w:rsidR="00522AF6" w:rsidRPr="009179EE" w:rsidTr="0082619D">
        <w:trPr>
          <w:trHeight w:val="337"/>
        </w:trPr>
        <w:tc>
          <w:tcPr>
            <w:tcW w:w="4678" w:type="dxa"/>
            <w:vAlign w:val="bottom"/>
          </w:tcPr>
          <w:p w:rsidR="00522AF6" w:rsidRPr="009179EE" w:rsidRDefault="00522AF6" w:rsidP="0082619D">
            <w:pPr>
              <w:rPr>
                <w:rFonts w:cs="Arial"/>
                <w:b/>
                <w:szCs w:val="22"/>
              </w:rPr>
            </w:pPr>
            <w:r w:rsidRPr="009179EE">
              <w:rPr>
                <w:rFonts w:cs="Arial"/>
                <w:b/>
                <w:szCs w:val="22"/>
              </w:rPr>
              <w:t>Diagnostics</w:t>
            </w:r>
          </w:p>
        </w:tc>
        <w:tc>
          <w:tcPr>
            <w:tcW w:w="1701"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13</w:t>
            </w:r>
          </w:p>
        </w:tc>
        <w:tc>
          <w:tcPr>
            <w:tcW w:w="1985"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3.3%</w:t>
            </w:r>
          </w:p>
        </w:tc>
      </w:tr>
      <w:tr w:rsidR="00522AF6" w:rsidRPr="009179EE" w:rsidTr="0082619D">
        <w:trPr>
          <w:trHeight w:val="337"/>
        </w:trPr>
        <w:tc>
          <w:tcPr>
            <w:tcW w:w="4678" w:type="dxa"/>
            <w:vAlign w:val="bottom"/>
          </w:tcPr>
          <w:p w:rsidR="00522AF6" w:rsidRPr="009179EE" w:rsidRDefault="00522AF6" w:rsidP="0082619D">
            <w:pPr>
              <w:rPr>
                <w:rFonts w:cs="Arial"/>
                <w:b/>
                <w:szCs w:val="22"/>
              </w:rPr>
            </w:pPr>
            <w:r w:rsidRPr="009179EE">
              <w:rPr>
                <w:rFonts w:cs="Arial"/>
                <w:b/>
                <w:szCs w:val="22"/>
              </w:rPr>
              <w:t>Disability services</w:t>
            </w:r>
          </w:p>
        </w:tc>
        <w:tc>
          <w:tcPr>
            <w:tcW w:w="1701"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3</w:t>
            </w:r>
          </w:p>
        </w:tc>
        <w:tc>
          <w:tcPr>
            <w:tcW w:w="1985"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0.8%</w:t>
            </w:r>
          </w:p>
        </w:tc>
      </w:tr>
      <w:tr w:rsidR="00522AF6" w:rsidRPr="009179EE" w:rsidTr="0082619D">
        <w:trPr>
          <w:trHeight w:val="337"/>
        </w:trPr>
        <w:tc>
          <w:tcPr>
            <w:tcW w:w="4678" w:type="dxa"/>
            <w:vAlign w:val="bottom"/>
          </w:tcPr>
          <w:p w:rsidR="00522AF6" w:rsidRPr="009179EE" w:rsidRDefault="00522AF6" w:rsidP="0082619D">
            <w:pPr>
              <w:rPr>
                <w:rFonts w:cs="Arial"/>
                <w:b/>
                <w:szCs w:val="22"/>
              </w:rPr>
            </w:pPr>
            <w:r w:rsidRPr="009179EE">
              <w:rPr>
                <w:rFonts w:cs="Arial"/>
                <w:b/>
                <w:szCs w:val="22"/>
              </w:rPr>
              <w:t xml:space="preserve">District nursing </w:t>
            </w:r>
          </w:p>
        </w:tc>
        <w:tc>
          <w:tcPr>
            <w:tcW w:w="1701"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3</w:t>
            </w:r>
          </w:p>
        </w:tc>
        <w:tc>
          <w:tcPr>
            <w:tcW w:w="1985"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0.8%</w:t>
            </w:r>
          </w:p>
        </w:tc>
      </w:tr>
      <w:tr w:rsidR="00522AF6" w:rsidRPr="009179EE" w:rsidTr="0082619D">
        <w:trPr>
          <w:trHeight w:val="337"/>
        </w:trPr>
        <w:tc>
          <w:tcPr>
            <w:tcW w:w="4678" w:type="dxa"/>
          </w:tcPr>
          <w:p w:rsidR="00522AF6" w:rsidRPr="009179EE" w:rsidRDefault="00522AF6" w:rsidP="0082619D">
            <w:pPr>
              <w:jc w:val="left"/>
              <w:rPr>
                <w:rFonts w:ascii="Calibri" w:hAnsi="Calibri" w:cs="Calibri"/>
                <w:b/>
                <w:color w:val="000000"/>
                <w:szCs w:val="22"/>
              </w:rPr>
            </w:pPr>
            <w:r w:rsidRPr="009179EE">
              <w:rPr>
                <w:rFonts w:ascii="Calibri" w:hAnsi="Calibri" w:cs="Calibri"/>
                <w:b/>
                <w:color w:val="000000"/>
                <w:szCs w:val="22"/>
              </w:rPr>
              <w:t>General medicine</w:t>
            </w:r>
          </w:p>
          <w:p w:rsidR="00522AF6" w:rsidRPr="009179EE" w:rsidRDefault="00522AF6" w:rsidP="0082619D">
            <w:pPr>
              <w:jc w:val="left"/>
              <w:rPr>
                <w:rFonts w:ascii="Calibri" w:hAnsi="Calibri" w:cs="Calibri"/>
                <w:color w:val="000000"/>
                <w:szCs w:val="22"/>
              </w:rPr>
            </w:pPr>
            <w:r w:rsidRPr="009179EE">
              <w:rPr>
                <w:rFonts w:ascii="Calibri" w:hAnsi="Calibri" w:cs="Calibri"/>
                <w:color w:val="000000"/>
                <w:szCs w:val="22"/>
              </w:rPr>
              <w:t xml:space="preserve">  Cardiology</w:t>
            </w:r>
          </w:p>
          <w:p w:rsidR="00522AF6" w:rsidRPr="009179EE" w:rsidRDefault="00522AF6" w:rsidP="0082619D">
            <w:pPr>
              <w:jc w:val="left"/>
              <w:rPr>
                <w:rFonts w:ascii="Calibri" w:hAnsi="Calibri" w:cs="Calibri"/>
                <w:color w:val="000000"/>
                <w:szCs w:val="22"/>
              </w:rPr>
            </w:pPr>
            <w:r w:rsidRPr="009179EE">
              <w:rPr>
                <w:rFonts w:ascii="Calibri" w:hAnsi="Calibri" w:cs="Calibri"/>
                <w:color w:val="000000"/>
                <w:szCs w:val="22"/>
              </w:rPr>
              <w:t xml:space="preserve">  Gastroenterology</w:t>
            </w:r>
          </w:p>
          <w:p w:rsidR="00522AF6" w:rsidRPr="009179EE" w:rsidRDefault="00522AF6" w:rsidP="0082619D">
            <w:pPr>
              <w:jc w:val="left"/>
              <w:rPr>
                <w:rFonts w:ascii="Calibri" w:hAnsi="Calibri" w:cs="Calibri"/>
                <w:color w:val="000000"/>
                <w:szCs w:val="22"/>
              </w:rPr>
            </w:pPr>
            <w:r w:rsidRPr="009179EE">
              <w:rPr>
                <w:rFonts w:ascii="Calibri" w:hAnsi="Calibri" w:cs="Calibri"/>
                <w:color w:val="000000"/>
                <w:szCs w:val="22"/>
              </w:rPr>
              <w:t xml:space="preserve">  Geriatric medicine</w:t>
            </w:r>
          </w:p>
          <w:p w:rsidR="00522AF6" w:rsidRPr="009179EE" w:rsidRDefault="00522AF6" w:rsidP="0082619D">
            <w:pPr>
              <w:jc w:val="left"/>
              <w:rPr>
                <w:rFonts w:ascii="Calibri" w:hAnsi="Calibri" w:cs="Calibri"/>
                <w:color w:val="000000"/>
                <w:szCs w:val="22"/>
              </w:rPr>
            </w:pPr>
            <w:r w:rsidRPr="009179EE">
              <w:rPr>
                <w:rFonts w:ascii="Calibri" w:hAnsi="Calibri" w:cs="Calibri"/>
                <w:color w:val="000000"/>
                <w:szCs w:val="22"/>
              </w:rPr>
              <w:t xml:space="preserve">  Neurology</w:t>
            </w:r>
          </w:p>
          <w:p w:rsidR="00522AF6" w:rsidRPr="009179EE" w:rsidRDefault="00522AF6" w:rsidP="0082619D">
            <w:pPr>
              <w:jc w:val="left"/>
              <w:rPr>
                <w:rFonts w:ascii="Calibri" w:hAnsi="Calibri" w:cs="Calibri"/>
                <w:color w:val="000000"/>
                <w:szCs w:val="22"/>
              </w:rPr>
            </w:pPr>
            <w:r w:rsidRPr="009179EE">
              <w:rPr>
                <w:rFonts w:ascii="Calibri" w:hAnsi="Calibri" w:cs="Calibri"/>
                <w:color w:val="000000"/>
                <w:szCs w:val="22"/>
              </w:rPr>
              <w:t xml:space="preserve">  Oncology</w:t>
            </w:r>
          </w:p>
          <w:p w:rsidR="00522AF6" w:rsidRPr="009179EE" w:rsidRDefault="00522AF6" w:rsidP="0082619D">
            <w:pPr>
              <w:jc w:val="left"/>
              <w:rPr>
                <w:rFonts w:ascii="Calibri" w:hAnsi="Calibri" w:cs="Calibri"/>
                <w:color w:val="000000"/>
                <w:szCs w:val="22"/>
              </w:rPr>
            </w:pPr>
            <w:r w:rsidRPr="009179EE">
              <w:rPr>
                <w:rFonts w:ascii="Calibri" w:hAnsi="Calibri" w:cs="Calibri"/>
                <w:color w:val="000000"/>
                <w:szCs w:val="22"/>
              </w:rPr>
              <w:t xml:space="preserve">  Palliative care</w:t>
            </w:r>
          </w:p>
          <w:p w:rsidR="00522AF6" w:rsidRPr="009179EE" w:rsidRDefault="00522AF6" w:rsidP="0082619D">
            <w:pPr>
              <w:jc w:val="left"/>
              <w:rPr>
                <w:rFonts w:ascii="Calibri" w:hAnsi="Calibri" w:cs="Calibri"/>
                <w:color w:val="000000"/>
                <w:szCs w:val="22"/>
              </w:rPr>
            </w:pPr>
            <w:r w:rsidRPr="009179EE">
              <w:rPr>
                <w:rFonts w:ascii="Calibri" w:hAnsi="Calibri" w:cs="Calibri"/>
                <w:color w:val="000000"/>
                <w:szCs w:val="22"/>
              </w:rPr>
              <w:t xml:space="preserve">  Renal/nephrology</w:t>
            </w:r>
          </w:p>
          <w:p w:rsidR="00522AF6" w:rsidRPr="009179EE" w:rsidRDefault="00522AF6" w:rsidP="0082619D">
            <w:pPr>
              <w:jc w:val="left"/>
              <w:rPr>
                <w:rFonts w:ascii="Calibri" w:hAnsi="Calibri" w:cs="Calibri"/>
                <w:color w:val="000000"/>
                <w:szCs w:val="22"/>
              </w:rPr>
            </w:pPr>
            <w:r w:rsidRPr="009179EE">
              <w:rPr>
                <w:rFonts w:ascii="Calibri" w:hAnsi="Calibri" w:cs="Calibri"/>
                <w:color w:val="000000"/>
                <w:szCs w:val="22"/>
              </w:rPr>
              <w:t xml:space="preserve">  Respiratory</w:t>
            </w:r>
          </w:p>
          <w:p w:rsidR="00522AF6" w:rsidRPr="009179EE" w:rsidRDefault="00522AF6" w:rsidP="0082619D">
            <w:pPr>
              <w:jc w:val="left"/>
              <w:rPr>
                <w:rFonts w:ascii="Calibri" w:hAnsi="Calibri" w:cs="Calibri"/>
                <w:color w:val="000000"/>
                <w:szCs w:val="22"/>
              </w:rPr>
            </w:pPr>
            <w:r w:rsidRPr="009179EE">
              <w:rPr>
                <w:rFonts w:ascii="Calibri" w:hAnsi="Calibri" w:cs="Calibri"/>
                <w:color w:val="000000"/>
                <w:szCs w:val="22"/>
              </w:rPr>
              <w:t xml:space="preserve">  Rheumatology</w:t>
            </w:r>
          </w:p>
          <w:p w:rsidR="00522AF6" w:rsidRPr="009179EE" w:rsidRDefault="00522AF6" w:rsidP="0082619D">
            <w:pPr>
              <w:jc w:val="left"/>
              <w:rPr>
                <w:rFonts w:ascii="Calibri" w:hAnsi="Calibri" w:cs="Calibri"/>
                <w:color w:val="000000"/>
                <w:szCs w:val="22"/>
              </w:rPr>
            </w:pPr>
            <w:r w:rsidRPr="009179EE">
              <w:rPr>
                <w:rFonts w:ascii="Calibri" w:hAnsi="Calibri" w:cs="Calibri"/>
                <w:color w:val="000000"/>
                <w:szCs w:val="22"/>
              </w:rPr>
              <w:t xml:space="preserve">  Other/unspecified</w:t>
            </w:r>
          </w:p>
        </w:tc>
        <w:tc>
          <w:tcPr>
            <w:tcW w:w="1701" w:type="dxa"/>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59</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3</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3</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6</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9</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10</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1</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5</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4</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4</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14</w:t>
            </w:r>
          </w:p>
        </w:tc>
        <w:tc>
          <w:tcPr>
            <w:tcW w:w="1985" w:type="dxa"/>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15.0%</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0.8%</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0.8%</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1.5%</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2.3%</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2.5%</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0.3%</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1.3%</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1.0%</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1.0%</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3.6%</w:t>
            </w:r>
          </w:p>
        </w:tc>
      </w:tr>
      <w:tr w:rsidR="00522AF6" w:rsidRPr="009179EE" w:rsidTr="0082619D">
        <w:tc>
          <w:tcPr>
            <w:tcW w:w="4678" w:type="dxa"/>
            <w:vAlign w:val="bottom"/>
          </w:tcPr>
          <w:p w:rsidR="00522AF6" w:rsidRPr="009179EE" w:rsidRDefault="00522AF6" w:rsidP="0082619D">
            <w:pPr>
              <w:jc w:val="left"/>
              <w:rPr>
                <w:rFonts w:ascii="Calibri" w:hAnsi="Calibri" w:cs="Calibri"/>
                <w:b/>
                <w:color w:val="000000"/>
                <w:szCs w:val="22"/>
              </w:rPr>
            </w:pPr>
            <w:r w:rsidRPr="009179EE">
              <w:rPr>
                <w:rFonts w:ascii="Calibri" w:hAnsi="Calibri" w:cs="Calibri"/>
                <w:b/>
                <w:color w:val="000000"/>
                <w:szCs w:val="22"/>
              </w:rPr>
              <w:t>Hearing services</w:t>
            </w:r>
          </w:p>
        </w:tc>
        <w:tc>
          <w:tcPr>
            <w:tcW w:w="1701"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1</w:t>
            </w:r>
          </w:p>
        </w:tc>
        <w:tc>
          <w:tcPr>
            <w:tcW w:w="1985"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0.3%</w:t>
            </w:r>
          </w:p>
        </w:tc>
      </w:tr>
      <w:tr w:rsidR="00522AF6" w:rsidRPr="009179EE" w:rsidTr="0082619D">
        <w:tc>
          <w:tcPr>
            <w:tcW w:w="4678" w:type="dxa"/>
            <w:vAlign w:val="bottom"/>
          </w:tcPr>
          <w:p w:rsidR="00522AF6" w:rsidRPr="009179EE" w:rsidRDefault="00522AF6" w:rsidP="0082619D">
            <w:pPr>
              <w:rPr>
                <w:rFonts w:ascii="Calibri" w:hAnsi="Calibri" w:cs="Calibri"/>
                <w:b/>
                <w:color w:val="000000"/>
                <w:szCs w:val="22"/>
              </w:rPr>
            </w:pPr>
            <w:r w:rsidRPr="009179EE">
              <w:rPr>
                <w:rFonts w:ascii="Calibri" w:hAnsi="Calibri" w:cs="Calibri"/>
                <w:b/>
                <w:color w:val="000000"/>
                <w:szCs w:val="22"/>
              </w:rPr>
              <w:t>Intensive care/critical care</w:t>
            </w:r>
          </w:p>
        </w:tc>
        <w:tc>
          <w:tcPr>
            <w:tcW w:w="1701"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8</w:t>
            </w:r>
          </w:p>
        </w:tc>
        <w:tc>
          <w:tcPr>
            <w:tcW w:w="1985"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2.0%</w:t>
            </w:r>
          </w:p>
        </w:tc>
      </w:tr>
      <w:tr w:rsidR="00522AF6" w:rsidRPr="009179EE" w:rsidTr="0082619D">
        <w:tc>
          <w:tcPr>
            <w:tcW w:w="4678" w:type="dxa"/>
            <w:vAlign w:val="bottom"/>
          </w:tcPr>
          <w:p w:rsidR="00522AF6" w:rsidRPr="009179EE" w:rsidRDefault="00522AF6" w:rsidP="0082619D">
            <w:pPr>
              <w:rPr>
                <w:rFonts w:ascii="Calibri" w:hAnsi="Calibri" w:cs="Calibri"/>
                <w:b/>
                <w:color w:val="000000"/>
                <w:szCs w:val="22"/>
              </w:rPr>
            </w:pPr>
            <w:r w:rsidRPr="009179EE">
              <w:rPr>
                <w:rFonts w:ascii="Calibri" w:hAnsi="Calibri" w:cs="Calibri"/>
                <w:b/>
                <w:color w:val="000000"/>
                <w:szCs w:val="22"/>
              </w:rPr>
              <w:t>Maternity</w:t>
            </w:r>
          </w:p>
        </w:tc>
        <w:tc>
          <w:tcPr>
            <w:tcW w:w="1701"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29</w:t>
            </w:r>
          </w:p>
        </w:tc>
        <w:tc>
          <w:tcPr>
            <w:tcW w:w="1985"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7.4%</w:t>
            </w:r>
          </w:p>
        </w:tc>
      </w:tr>
      <w:tr w:rsidR="00522AF6" w:rsidRPr="009179EE" w:rsidTr="0082619D">
        <w:tc>
          <w:tcPr>
            <w:tcW w:w="4678" w:type="dxa"/>
            <w:vAlign w:val="bottom"/>
          </w:tcPr>
          <w:p w:rsidR="00522AF6" w:rsidRPr="009179EE" w:rsidRDefault="00522AF6" w:rsidP="0082619D">
            <w:pPr>
              <w:rPr>
                <w:rFonts w:ascii="Calibri" w:hAnsi="Calibri" w:cs="Calibri"/>
                <w:b/>
                <w:color w:val="000000"/>
                <w:szCs w:val="22"/>
              </w:rPr>
            </w:pPr>
            <w:r w:rsidRPr="009179EE">
              <w:rPr>
                <w:rFonts w:ascii="Calibri" w:hAnsi="Calibri" w:cs="Calibri"/>
                <w:b/>
                <w:color w:val="000000"/>
                <w:szCs w:val="22"/>
              </w:rPr>
              <w:t xml:space="preserve">Mental health </w:t>
            </w:r>
          </w:p>
        </w:tc>
        <w:tc>
          <w:tcPr>
            <w:tcW w:w="1701"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75</w:t>
            </w:r>
          </w:p>
        </w:tc>
        <w:tc>
          <w:tcPr>
            <w:tcW w:w="1985"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19.0%</w:t>
            </w:r>
          </w:p>
        </w:tc>
      </w:tr>
      <w:tr w:rsidR="00522AF6" w:rsidRPr="009179EE" w:rsidTr="0082619D">
        <w:tc>
          <w:tcPr>
            <w:tcW w:w="4678" w:type="dxa"/>
            <w:vAlign w:val="bottom"/>
          </w:tcPr>
          <w:p w:rsidR="00522AF6" w:rsidRPr="009179EE" w:rsidRDefault="00522AF6" w:rsidP="0082619D">
            <w:pPr>
              <w:rPr>
                <w:rFonts w:cs="Arial"/>
                <w:b/>
                <w:szCs w:val="22"/>
              </w:rPr>
            </w:pPr>
            <w:r w:rsidRPr="009179EE">
              <w:rPr>
                <w:rFonts w:cs="Arial"/>
                <w:b/>
                <w:szCs w:val="22"/>
              </w:rPr>
              <w:t>Paediatrics (not surgical)</w:t>
            </w:r>
          </w:p>
        </w:tc>
        <w:tc>
          <w:tcPr>
            <w:tcW w:w="1701"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7</w:t>
            </w:r>
          </w:p>
        </w:tc>
        <w:tc>
          <w:tcPr>
            <w:tcW w:w="1985"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1.8%</w:t>
            </w:r>
          </w:p>
        </w:tc>
      </w:tr>
      <w:tr w:rsidR="00522AF6" w:rsidRPr="009179EE" w:rsidTr="0082619D">
        <w:tc>
          <w:tcPr>
            <w:tcW w:w="4678" w:type="dxa"/>
            <w:vAlign w:val="bottom"/>
          </w:tcPr>
          <w:p w:rsidR="00522AF6" w:rsidRPr="009179EE" w:rsidRDefault="00522AF6" w:rsidP="0082619D">
            <w:pPr>
              <w:rPr>
                <w:rFonts w:ascii="Calibri" w:hAnsi="Calibri" w:cs="Calibri"/>
                <w:b/>
                <w:color w:val="000000"/>
                <w:szCs w:val="22"/>
              </w:rPr>
            </w:pPr>
            <w:r w:rsidRPr="009179EE">
              <w:rPr>
                <w:rFonts w:ascii="Calibri" w:hAnsi="Calibri" w:cs="Calibri"/>
                <w:b/>
                <w:color w:val="000000"/>
                <w:szCs w:val="22"/>
              </w:rPr>
              <w:t xml:space="preserve">Rehabilitation services </w:t>
            </w:r>
          </w:p>
        </w:tc>
        <w:tc>
          <w:tcPr>
            <w:tcW w:w="1701"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3</w:t>
            </w:r>
          </w:p>
        </w:tc>
        <w:tc>
          <w:tcPr>
            <w:tcW w:w="1985"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0.8%</w:t>
            </w:r>
          </w:p>
        </w:tc>
      </w:tr>
      <w:tr w:rsidR="00522AF6" w:rsidRPr="009179EE" w:rsidTr="0082619D">
        <w:tc>
          <w:tcPr>
            <w:tcW w:w="4678" w:type="dxa"/>
            <w:vAlign w:val="bottom"/>
          </w:tcPr>
          <w:p w:rsidR="00522AF6" w:rsidRPr="009179EE" w:rsidRDefault="00522AF6" w:rsidP="0082619D">
            <w:pPr>
              <w:rPr>
                <w:rFonts w:ascii="Calibri" w:hAnsi="Calibri" w:cs="Calibri"/>
                <w:b/>
                <w:color w:val="000000"/>
                <w:szCs w:val="22"/>
              </w:rPr>
            </w:pPr>
            <w:r w:rsidRPr="009179EE">
              <w:rPr>
                <w:rFonts w:ascii="Calibri" w:hAnsi="Calibri" w:cs="Calibri"/>
                <w:b/>
                <w:color w:val="000000"/>
                <w:szCs w:val="22"/>
              </w:rPr>
              <w:t>Surgery</w:t>
            </w:r>
          </w:p>
          <w:p w:rsidR="00522AF6" w:rsidRPr="009179EE" w:rsidRDefault="00522AF6" w:rsidP="0082619D">
            <w:pPr>
              <w:rPr>
                <w:rFonts w:ascii="Calibri" w:hAnsi="Calibri" w:cs="Calibri"/>
                <w:color w:val="000000"/>
                <w:szCs w:val="22"/>
              </w:rPr>
            </w:pPr>
            <w:r w:rsidRPr="009179EE">
              <w:rPr>
                <w:rFonts w:ascii="Calibri" w:hAnsi="Calibri" w:cs="Calibri"/>
                <w:b/>
                <w:color w:val="000000"/>
                <w:szCs w:val="22"/>
              </w:rPr>
              <w:t xml:space="preserve">  </w:t>
            </w:r>
            <w:r w:rsidRPr="009179EE">
              <w:rPr>
                <w:rFonts w:ascii="Calibri" w:hAnsi="Calibri" w:cs="Calibri"/>
                <w:color w:val="000000"/>
                <w:szCs w:val="22"/>
              </w:rPr>
              <w:t>Cardiothoracic</w:t>
            </w:r>
          </w:p>
          <w:p w:rsidR="00522AF6" w:rsidRPr="009179EE" w:rsidRDefault="00522AF6" w:rsidP="0082619D">
            <w:pPr>
              <w:rPr>
                <w:rFonts w:ascii="Calibri" w:hAnsi="Calibri" w:cs="Calibri"/>
                <w:color w:val="000000"/>
                <w:szCs w:val="22"/>
              </w:rPr>
            </w:pPr>
            <w:r w:rsidRPr="009179EE">
              <w:rPr>
                <w:rFonts w:ascii="Calibri" w:hAnsi="Calibri" w:cs="Calibri"/>
                <w:color w:val="000000"/>
                <w:szCs w:val="22"/>
              </w:rPr>
              <w:t xml:space="preserve">  General</w:t>
            </w:r>
          </w:p>
          <w:p w:rsidR="00522AF6" w:rsidRPr="009179EE" w:rsidRDefault="00522AF6" w:rsidP="0082619D">
            <w:pPr>
              <w:rPr>
                <w:rFonts w:ascii="Calibri" w:hAnsi="Calibri" w:cs="Calibri"/>
                <w:color w:val="000000"/>
                <w:szCs w:val="22"/>
              </w:rPr>
            </w:pPr>
            <w:r w:rsidRPr="009179EE">
              <w:rPr>
                <w:rFonts w:ascii="Calibri" w:hAnsi="Calibri" w:cs="Calibri"/>
                <w:color w:val="000000"/>
                <w:szCs w:val="22"/>
              </w:rPr>
              <w:t xml:space="preserve">  Gynaecology</w:t>
            </w:r>
          </w:p>
          <w:p w:rsidR="00522AF6" w:rsidRPr="009179EE" w:rsidRDefault="00522AF6" w:rsidP="0082619D">
            <w:pPr>
              <w:rPr>
                <w:rFonts w:ascii="Calibri" w:hAnsi="Calibri" w:cs="Calibri"/>
                <w:color w:val="000000"/>
                <w:szCs w:val="22"/>
              </w:rPr>
            </w:pPr>
            <w:r w:rsidRPr="009179EE">
              <w:rPr>
                <w:rFonts w:ascii="Calibri" w:hAnsi="Calibri" w:cs="Calibri"/>
                <w:color w:val="000000"/>
                <w:szCs w:val="22"/>
              </w:rPr>
              <w:t xml:space="preserve">  Neurosurgery</w:t>
            </w:r>
          </w:p>
          <w:p w:rsidR="00522AF6" w:rsidRPr="009179EE" w:rsidRDefault="00522AF6" w:rsidP="0082619D">
            <w:pPr>
              <w:rPr>
                <w:rFonts w:ascii="Calibri" w:hAnsi="Calibri" w:cs="Calibri"/>
                <w:color w:val="000000"/>
                <w:szCs w:val="22"/>
              </w:rPr>
            </w:pPr>
            <w:r w:rsidRPr="009179EE">
              <w:rPr>
                <w:rFonts w:ascii="Calibri" w:hAnsi="Calibri" w:cs="Calibri"/>
                <w:color w:val="000000"/>
                <w:szCs w:val="22"/>
              </w:rPr>
              <w:t xml:space="preserve">  Ophthalmology</w:t>
            </w:r>
          </w:p>
          <w:p w:rsidR="00522AF6" w:rsidRPr="009179EE" w:rsidRDefault="00522AF6" w:rsidP="0082619D">
            <w:pPr>
              <w:rPr>
                <w:rFonts w:ascii="Calibri" w:hAnsi="Calibri" w:cs="Calibri"/>
                <w:color w:val="000000"/>
                <w:szCs w:val="22"/>
              </w:rPr>
            </w:pPr>
            <w:r w:rsidRPr="009179EE">
              <w:rPr>
                <w:rFonts w:ascii="Calibri" w:hAnsi="Calibri" w:cs="Calibri"/>
                <w:color w:val="000000"/>
                <w:szCs w:val="22"/>
              </w:rPr>
              <w:t xml:space="preserve">  Oral/Maxillofacial</w:t>
            </w:r>
          </w:p>
          <w:p w:rsidR="00522AF6" w:rsidRPr="009179EE" w:rsidRDefault="00522AF6" w:rsidP="0082619D">
            <w:pPr>
              <w:rPr>
                <w:rFonts w:ascii="Calibri" w:hAnsi="Calibri" w:cs="Calibri"/>
                <w:color w:val="000000"/>
                <w:szCs w:val="22"/>
              </w:rPr>
            </w:pPr>
            <w:r w:rsidRPr="009179EE">
              <w:rPr>
                <w:rFonts w:ascii="Calibri" w:hAnsi="Calibri" w:cs="Calibri"/>
                <w:color w:val="000000"/>
                <w:szCs w:val="22"/>
              </w:rPr>
              <w:t xml:space="preserve">  Orthopaedics</w:t>
            </w:r>
          </w:p>
          <w:p w:rsidR="00522AF6" w:rsidRPr="009179EE" w:rsidRDefault="00522AF6" w:rsidP="0082619D">
            <w:pPr>
              <w:rPr>
                <w:rFonts w:ascii="Calibri" w:hAnsi="Calibri" w:cs="Calibri"/>
                <w:color w:val="000000"/>
                <w:szCs w:val="22"/>
              </w:rPr>
            </w:pPr>
            <w:r w:rsidRPr="009179EE">
              <w:rPr>
                <w:rFonts w:ascii="Calibri" w:hAnsi="Calibri" w:cs="Calibri"/>
                <w:color w:val="000000"/>
                <w:szCs w:val="22"/>
              </w:rPr>
              <w:t xml:space="preserve">  Otolaryngology</w:t>
            </w:r>
          </w:p>
          <w:p w:rsidR="00522AF6" w:rsidRPr="009179EE" w:rsidRDefault="00522AF6" w:rsidP="0082619D">
            <w:pPr>
              <w:rPr>
                <w:rFonts w:ascii="Calibri" w:hAnsi="Calibri" w:cs="Calibri"/>
                <w:color w:val="000000"/>
                <w:szCs w:val="22"/>
              </w:rPr>
            </w:pPr>
            <w:r w:rsidRPr="009179EE">
              <w:rPr>
                <w:rFonts w:ascii="Calibri" w:hAnsi="Calibri" w:cs="Calibri"/>
                <w:color w:val="000000"/>
                <w:szCs w:val="22"/>
              </w:rPr>
              <w:t xml:space="preserve">  Paediatric</w:t>
            </w:r>
          </w:p>
          <w:p w:rsidR="00522AF6" w:rsidRPr="009179EE" w:rsidRDefault="00522AF6" w:rsidP="0082619D">
            <w:pPr>
              <w:rPr>
                <w:rFonts w:ascii="Calibri" w:hAnsi="Calibri" w:cs="Calibri"/>
                <w:color w:val="000000"/>
                <w:szCs w:val="22"/>
              </w:rPr>
            </w:pPr>
            <w:r w:rsidRPr="009179EE">
              <w:rPr>
                <w:rFonts w:ascii="Calibri" w:hAnsi="Calibri" w:cs="Calibri"/>
                <w:color w:val="000000"/>
                <w:szCs w:val="22"/>
              </w:rPr>
              <w:t xml:space="preserve">  Plastic and Reconstructive</w:t>
            </w:r>
          </w:p>
          <w:p w:rsidR="00522AF6" w:rsidRPr="009179EE" w:rsidRDefault="00522AF6" w:rsidP="0082619D">
            <w:pPr>
              <w:rPr>
                <w:rFonts w:ascii="Calibri" w:hAnsi="Calibri" w:cs="Calibri"/>
                <w:color w:val="000000"/>
                <w:szCs w:val="22"/>
              </w:rPr>
            </w:pPr>
            <w:r w:rsidRPr="009179EE">
              <w:rPr>
                <w:rFonts w:ascii="Calibri" w:hAnsi="Calibri" w:cs="Calibri"/>
                <w:color w:val="000000"/>
                <w:szCs w:val="22"/>
              </w:rPr>
              <w:t xml:space="preserve">  Urology</w:t>
            </w:r>
          </w:p>
          <w:p w:rsidR="00522AF6" w:rsidRPr="009179EE" w:rsidRDefault="00522AF6" w:rsidP="0082619D">
            <w:pPr>
              <w:rPr>
                <w:rFonts w:ascii="Calibri" w:hAnsi="Calibri" w:cs="Calibri"/>
                <w:color w:val="000000"/>
                <w:szCs w:val="22"/>
              </w:rPr>
            </w:pPr>
            <w:r w:rsidRPr="009179EE">
              <w:rPr>
                <w:rFonts w:ascii="Calibri" w:hAnsi="Calibri" w:cs="Calibri"/>
                <w:color w:val="000000"/>
                <w:szCs w:val="22"/>
              </w:rPr>
              <w:t xml:space="preserve">  Vascular</w:t>
            </w:r>
          </w:p>
          <w:p w:rsidR="00522AF6" w:rsidRPr="009179EE" w:rsidRDefault="00522AF6" w:rsidP="0082619D">
            <w:pPr>
              <w:rPr>
                <w:rFonts w:ascii="Calibri" w:hAnsi="Calibri" w:cs="Calibri"/>
                <w:color w:val="000000"/>
                <w:szCs w:val="22"/>
              </w:rPr>
            </w:pPr>
            <w:r w:rsidRPr="009179EE">
              <w:rPr>
                <w:rFonts w:ascii="Calibri" w:hAnsi="Calibri" w:cs="Calibri"/>
                <w:color w:val="000000"/>
                <w:szCs w:val="22"/>
              </w:rPr>
              <w:t xml:space="preserve">  Unknown</w:t>
            </w:r>
          </w:p>
        </w:tc>
        <w:tc>
          <w:tcPr>
            <w:tcW w:w="1701" w:type="dxa"/>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102</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3</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21</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16</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1</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2</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1</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36</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3</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3</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1</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10</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1</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4</w:t>
            </w:r>
          </w:p>
        </w:tc>
        <w:tc>
          <w:tcPr>
            <w:tcW w:w="1985" w:type="dxa"/>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25.9%</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0.8%</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5.3%</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4.1%</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0.3%</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0.5%</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0.3%</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9.1%</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0.8%</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0.8%</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0.3%</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2.5%</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0.3%</w:t>
            </w:r>
          </w:p>
          <w:p w:rsidR="00522AF6" w:rsidRPr="009179EE" w:rsidRDefault="00522AF6" w:rsidP="0082619D">
            <w:pPr>
              <w:jc w:val="center"/>
              <w:rPr>
                <w:rFonts w:ascii="Calibri" w:hAnsi="Calibri"/>
                <w:color w:val="000000"/>
                <w:szCs w:val="22"/>
              </w:rPr>
            </w:pPr>
            <w:r w:rsidRPr="009179EE">
              <w:rPr>
                <w:rFonts w:ascii="Calibri" w:hAnsi="Calibri"/>
                <w:color w:val="000000"/>
                <w:szCs w:val="22"/>
              </w:rPr>
              <w:t>1.0%</w:t>
            </w:r>
          </w:p>
        </w:tc>
      </w:tr>
      <w:tr w:rsidR="00522AF6" w:rsidRPr="009179EE" w:rsidTr="0082619D">
        <w:tc>
          <w:tcPr>
            <w:tcW w:w="4678" w:type="dxa"/>
            <w:vAlign w:val="bottom"/>
          </w:tcPr>
          <w:p w:rsidR="00522AF6" w:rsidRPr="009179EE" w:rsidRDefault="00522AF6" w:rsidP="0082619D">
            <w:pPr>
              <w:rPr>
                <w:rFonts w:cs="Arial"/>
                <w:b/>
                <w:szCs w:val="22"/>
              </w:rPr>
            </w:pPr>
            <w:r w:rsidRPr="009179EE">
              <w:rPr>
                <w:rFonts w:cs="Arial"/>
                <w:b/>
                <w:szCs w:val="22"/>
              </w:rPr>
              <w:t>Other health service</w:t>
            </w:r>
          </w:p>
        </w:tc>
        <w:tc>
          <w:tcPr>
            <w:tcW w:w="1701"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1</w:t>
            </w:r>
          </w:p>
        </w:tc>
        <w:tc>
          <w:tcPr>
            <w:tcW w:w="1985" w:type="dxa"/>
            <w:vAlign w:val="center"/>
          </w:tcPr>
          <w:p w:rsidR="00522AF6" w:rsidRPr="009179EE" w:rsidRDefault="00522AF6" w:rsidP="0082619D">
            <w:pPr>
              <w:jc w:val="center"/>
              <w:rPr>
                <w:rFonts w:ascii="Calibri" w:hAnsi="Calibri"/>
                <w:b/>
                <w:color w:val="000000"/>
                <w:szCs w:val="22"/>
              </w:rPr>
            </w:pPr>
            <w:r w:rsidRPr="009179EE">
              <w:rPr>
                <w:rFonts w:ascii="Calibri" w:hAnsi="Calibri"/>
                <w:b/>
                <w:color w:val="000000"/>
                <w:szCs w:val="22"/>
              </w:rPr>
              <w:t>0.3%</w:t>
            </w:r>
          </w:p>
        </w:tc>
      </w:tr>
      <w:tr w:rsidR="00522AF6" w:rsidRPr="009179EE" w:rsidTr="0082619D">
        <w:tc>
          <w:tcPr>
            <w:tcW w:w="4678" w:type="dxa"/>
            <w:shd w:val="clear" w:color="auto" w:fill="D9D9D9" w:themeFill="background1" w:themeFillShade="D9"/>
          </w:tcPr>
          <w:p w:rsidR="00522AF6" w:rsidRPr="009179EE" w:rsidRDefault="00522AF6" w:rsidP="0082619D">
            <w:pPr>
              <w:tabs>
                <w:tab w:val="left" w:pos="1440"/>
                <w:tab w:val="decimal" w:pos="4320"/>
              </w:tabs>
              <w:spacing w:before="100" w:beforeAutospacing="1" w:after="100" w:afterAutospacing="1"/>
              <w:jc w:val="left"/>
              <w:outlineLvl w:val="0"/>
              <w:rPr>
                <w:rFonts w:ascii="Calibri" w:hAnsi="Calibri"/>
                <w:b/>
                <w:szCs w:val="22"/>
              </w:rPr>
            </w:pPr>
            <w:r w:rsidRPr="009179EE">
              <w:rPr>
                <w:rFonts w:ascii="Calibri" w:hAnsi="Calibri"/>
                <w:b/>
                <w:szCs w:val="22"/>
              </w:rPr>
              <w:t>TOTAL</w:t>
            </w:r>
          </w:p>
        </w:tc>
        <w:tc>
          <w:tcPr>
            <w:tcW w:w="1701" w:type="dxa"/>
            <w:shd w:val="clear" w:color="auto" w:fill="D9D9D9" w:themeFill="background1" w:themeFillShade="D9"/>
            <w:vAlign w:val="center"/>
          </w:tcPr>
          <w:p w:rsidR="00522AF6" w:rsidRPr="009179EE" w:rsidRDefault="00522AF6" w:rsidP="0082619D">
            <w:pPr>
              <w:jc w:val="center"/>
              <w:rPr>
                <w:rFonts w:ascii="Calibri" w:hAnsi="Calibri" w:cs="Calibri"/>
                <w:b/>
                <w:color w:val="000000"/>
                <w:szCs w:val="22"/>
              </w:rPr>
            </w:pPr>
            <w:r w:rsidRPr="009179EE">
              <w:rPr>
                <w:rFonts w:ascii="Calibri" w:hAnsi="Calibri" w:cs="Calibri"/>
                <w:b/>
                <w:color w:val="000000"/>
                <w:szCs w:val="22"/>
              </w:rPr>
              <w:t>394</w:t>
            </w:r>
          </w:p>
        </w:tc>
        <w:tc>
          <w:tcPr>
            <w:tcW w:w="1985" w:type="dxa"/>
            <w:shd w:val="clear" w:color="auto" w:fill="D9D9D9" w:themeFill="background1" w:themeFillShade="D9"/>
            <w:vAlign w:val="center"/>
          </w:tcPr>
          <w:p w:rsidR="00522AF6" w:rsidRPr="009179EE" w:rsidRDefault="00522AF6" w:rsidP="0082619D">
            <w:pPr>
              <w:jc w:val="center"/>
              <w:rPr>
                <w:rFonts w:ascii="Calibri" w:hAnsi="Calibri" w:cs="Calibri"/>
                <w:color w:val="000000"/>
                <w:szCs w:val="22"/>
              </w:rPr>
            </w:pPr>
          </w:p>
        </w:tc>
      </w:tr>
    </w:tbl>
    <w:p w:rsidR="00522AF6" w:rsidRPr="009179EE" w:rsidRDefault="00522AF6" w:rsidP="00522AF6">
      <w:pPr>
        <w:pStyle w:val="Heading2"/>
        <w:rPr>
          <w:lang w:val="en-NZ"/>
        </w:rPr>
      </w:pPr>
      <w:bookmarkStart w:id="18" w:name="_Toc426462632"/>
      <w:bookmarkStart w:id="19" w:name="_Toc431224713"/>
      <w:r w:rsidRPr="009179EE">
        <w:rPr>
          <w:lang w:val="en-NZ"/>
        </w:rPr>
        <w:t>3.0</w:t>
      </w:r>
      <w:r w:rsidRPr="009179EE">
        <w:rPr>
          <w:lang w:val="en-NZ"/>
        </w:rPr>
        <w:tab/>
        <w:t>Issues complained about</w:t>
      </w:r>
      <w:bookmarkEnd w:id="18"/>
      <w:bookmarkEnd w:id="19"/>
      <w:r w:rsidRPr="009179EE">
        <w:rPr>
          <w:lang w:val="en-NZ"/>
        </w:rPr>
        <w:t xml:space="preserve"> </w:t>
      </w:r>
    </w:p>
    <w:p w:rsidR="00522AF6" w:rsidRPr="009179EE" w:rsidRDefault="00522AF6" w:rsidP="00522AF6">
      <w:pPr>
        <w:pStyle w:val="Heading3"/>
        <w:spacing w:before="120" w:after="120"/>
      </w:pPr>
      <w:bookmarkStart w:id="20" w:name="_Toc426462633"/>
      <w:bookmarkStart w:id="21" w:name="_Toc431224714"/>
      <w:r w:rsidRPr="009179EE">
        <w:t>3.1</w:t>
      </w:r>
      <w:r w:rsidRPr="009179EE">
        <w:tab/>
        <w:t>Primary complaint issues</w:t>
      </w:r>
      <w:bookmarkEnd w:id="20"/>
      <w:bookmarkEnd w:id="21"/>
    </w:p>
    <w:p w:rsidR="00522AF6" w:rsidRPr="009179EE" w:rsidRDefault="00522AF6" w:rsidP="00522AF6">
      <w:r w:rsidRPr="009179EE">
        <w:t xml:space="preserve">For each complaint received by HDC, one primary complaint issue is identified. Those complaint issues listed in only one complaint are classified as ‘other’. The primary issues identified in complaints received in </w:t>
      </w:r>
      <w:r w:rsidRPr="009179EE">
        <w:rPr>
          <w:lang w:eastAsia="en-NZ" w:bidi="ar-SA"/>
        </w:rPr>
        <w:t xml:space="preserve">Jan–Jun 2015 </w:t>
      </w:r>
      <w:r w:rsidRPr="009179EE">
        <w:t xml:space="preserve">are listed in Table 6. </w:t>
      </w:r>
    </w:p>
    <w:p w:rsidR="00522AF6" w:rsidRPr="009179EE" w:rsidRDefault="00522AF6" w:rsidP="00522AF6"/>
    <w:p w:rsidR="00522AF6" w:rsidRPr="009179EE" w:rsidRDefault="00522AF6" w:rsidP="00522AF6">
      <w:pPr>
        <w:spacing w:after="120"/>
        <w:rPr>
          <w:b/>
        </w:rPr>
      </w:pPr>
      <w:r w:rsidRPr="009179EE">
        <w:rPr>
          <w:b/>
        </w:rPr>
        <w:t xml:space="preserve">Table 6. </w:t>
      </w:r>
      <w:r w:rsidRPr="009179EE">
        <w:t>Primary issues complained about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522AF6" w:rsidRPr="009179EE" w:rsidTr="0082619D">
        <w:trPr>
          <w:tblHeader/>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keepNext/>
              <w:keepLines/>
              <w:tabs>
                <w:tab w:val="left" w:pos="1440"/>
                <w:tab w:val="decimal" w:pos="4320"/>
              </w:tabs>
              <w:spacing w:before="120"/>
              <w:jc w:val="left"/>
              <w:outlineLvl w:val="0"/>
              <w:rPr>
                <w:rFonts w:ascii="Calibri" w:hAnsi="Calibri"/>
                <w:b/>
                <w:szCs w:val="22"/>
              </w:rPr>
            </w:pPr>
            <w:r w:rsidRPr="009179EE">
              <w:rPr>
                <w:rFonts w:ascii="Calibri" w:hAnsi="Calibri"/>
                <w:b/>
                <w:szCs w:val="22"/>
              </w:rPr>
              <w:t xml:space="preserve">Primary issue in complaints </w:t>
            </w:r>
          </w:p>
        </w:tc>
        <w:tc>
          <w:tcPr>
            <w:tcW w:w="1701"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keepNext/>
              <w:keepLines/>
              <w:tabs>
                <w:tab w:val="left" w:pos="1440"/>
                <w:tab w:val="decimal" w:pos="4320"/>
              </w:tabs>
              <w:spacing w:before="120"/>
              <w:jc w:val="center"/>
              <w:outlineLvl w:val="0"/>
              <w:rPr>
                <w:rFonts w:ascii="Calibri" w:hAnsi="Calibri"/>
                <w:b/>
                <w:szCs w:val="22"/>
              </w:rPr>
            </w:pPr>
            <w:r w:rsidRPr="009179EE">
              <w:rPr>
                <w:rFonts w:ascii="Calibri" w:hAnsi="Calibri"/>
                <w:b/>
                <w:szCs w:val="22"/>
              </w:rPr>
              <w:t xml:space="preserve">Number of complaints </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keepNext/>
              <w:keepLines/>
              <w:tabs>
                <w:tab w:val="left" w:pos="1440"/>
                <w:tab w:val="decimal" w:pos="4320"/>
              </w:tabs>
              <w:spacing w:before="120"/>
              <w:jc w:val="center"/>
              <w:outlineLvl w:val="0"/>
              <w:rPr>
                <w:rFonts w:ascii="Calibri" w:hAnsi="Calibri"/>
                <w:b/>
                <w:szCs w:val="22"/>
              </w:rPr>
            </w:pPr>
            <w:r w:rsidRPr="009179EE">
              <w:rPr>
                <w:rFonts w:ascii="Calibri" w:hAnsi="Calibri"/>
                <w:b/>
                <w:szCs w:val="22"/>
              </w:rPr>
              <w:t>Percentage</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22AF6" w:rsidRPr="009179EE" w:rsidRDefault="00522AF6" w:rsidP="0082619D">
            <w:pPr>
              <w:keepNext/>
              <w:keepLines/>
              <w:rPr>
                <w:rFonts w:ascii="Calibri" w:hAnsi="Calibri" w:cs="Calibri"/>
                <w:b/>
                <w:i/>
                <w:color w:val="000000"/>
                <w:szCs w:val="22"/>
              </w:rPr>
            </w:pPr>
            <w:r w:rsidRPr="009179EE">
              <w:rPr>
                <w:rFonts w:ascii="Calibri" w:hAnsi="Calibri" w:cs="Calibri"/>
                <w:b/>
                <w:i/>
                <w:color w:val="000000"/>
                <w:szCs w:val="22"/>
              </w:rPr>
              <w:t>Access/Funding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keepNext/>
              <w:keepLines/>
              <w:jc w:val="center"/>
              <w:rPr>
                <w:rFonts w:ascii="Calibri" w:hAnsi="Calibri" w:cs="Calibri"/>
                <w:b/>
                <w:i/>
                <w:color w:val="000000"/>
                <w:szCs w:val="22"/>
              </w:rPr>
            </w:pPr>
            <w:r w:rsidRPr="009179EE">
              <w:rPr>
                <w:rFonts w:ascii="Calibri" w:hAnsi="Calibri" w:cs="Calibri"/>
                <w:b/>
                <w:i/>
                <w:color w:val="000000"/>
                <w:szCs w:val="22"/>
              </w:rPr>
              <w:t>32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keepNext/>
              <w:keepLines/>
              <w:jc w:val="center"/>
              <w:rPr>
                <w:rFonts w:ascii="Calibri" w:hAnsi="Calibri" w:cs="Calibri"/>
                <w:b/>
                <w:i/>
                <w:color w:val="000000"/>
                <w:szCs w:val="22"/>
              </w:rPr>
            </w:pPr>
            <w:r w:rsidRPr="009179EE">
              <w:rPr>
                <w:rFonts w:ascii="Calibri" w:hAnsi="Calibri" w:cs="Calibri"/>
                <w:b/>
                <w:i/>
                <w:color w:val="000000"/>
                <w:szCs w:val="22"/>
              </w:rPr>
              <w:t>8.2%</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keepNext/>
              <w:keepLines/>
              <w:tabs>
                <w:tab w:val="left" w:pos="176"/>
              </w:tabs>
              <w:ind w:left="176"/>
              <w:jc w:val="left"/>
              <w:rPr>
                <w:rFonts w:ascii="Calibri" w:hAnsi="Calibri" w:cs="Calibri"/>
                <w:color w:val="000000"/>
                <w:szCs w:val="22"/>
              </w:rPr>
            </w:pPr>
            <w:r w:rsidRPr="009179EE">
              <w:rPr>
                <w:rFonts w:ascii="Calibri" w:hAnsi="Calibri" w:cs="Calibri"/>
                <w:color w:val="000000"/>
                <w:szCs w:val="22"/>
              </w:rPr>
              <w:t>Lack of access to services</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4.4%</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keepNext/>
              <w:keepLines/>
              <w:ind w:left="720" w:hanging="544"/>
              <w:rPr>
                <w:rFonts w:ascii="Calibri" w:hAnsi="Calibri" w:cs="Calibri"/>
                <w:color w:val="000000"/>
                <w:szCs w:val="22"/>
              </w:rPr>
            </w:pPr>
            <w:r w:rsidRPr="009179EE">
              <w:rPr>
                <w:rFonts w:ascii="Calibri" w:hAnsi="Calibri" w:cs="Calibri"/>
                <w:color w:val="000000"/>
                <w:szCs w:val="22"/>
              </w:rPr>
              <w:t>Lack of access to subsidies/funding</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0.5%</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keepNext/>
              <w:keepLines/>
              <w:tabs>
                <w:tab w:val="left" w:pos="176"/>
              </w:tabs>
              <w:ind w:left="176"/>
              <w:rPr>
                <w:rFonts w:ascii="Calibri" w:hAnsi="Calibri" w:cs="Calibri"/>
                <w:color w:val="000000"/>
                <w:szCs w:val="22"/>
              </w:rPr>
            </w:pPr>
            <w:r w:rsidRPr="009179EE">
              <w:rPr>
                <w:rFonts w:ascii="Calibri" w:hAnsi="Calibri" w:cs="Calibri"/>
                <w:color w:val="000000"/>
                <w:szCs w:val="22"/>
              </w:rPr>
              <w:t>Waiting list/prioritisation issue</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13</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3.3%</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22AF6" w:rsidRPr="009179EE" w:rsidRDefault="00522AF6" w:rsidP="0082619D">
            <w:pPr>
              <w:keepNext/>
              <w:keepLines/>
              <w:rPr>
                <w:rFonts w:ascii="Calibri" w:hAnsi="Calibri" w:cs="Calibri"/>
                <w:b/>
                <w:i/>
                <w:color w:val="000000"/>
                <w:szCs w:val="22"/>
              </w:rPr>
            </w:pPr>
            <w:r w:rsidRPr="009179EE">
              <w:rPr>
                <w:rFonts w:ascii="Calibri" w:hAnsi="Calibri" w:cs="Calibri"/>
                <w:b/>
                <w:i/>
                <w:color w:val="000000"/>
                <w:szCs w:val="22"/>
              </w:rPr>
              <w:t>Boundary violation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keepNext/>
              <w:keepLines/>
              <w:jc w:val="center"/>
              <w:rPr>
                <w:rFonts w:ascii="Calibri" w:hAnsi="Calibri" w:cs="Calibri"/>
                <w:b/>
                <w:i/>
                <w:color w:val="000000"/>
                <w:szCs w:val="22"/>
              </w:rPr>
            </w:pPr>
            <w:r w:rsidRPr="009179EE">
              <w:rPr>
                <w:rFonts w:ascii="Calibri" w:hAnsi="Calibri" w:cs="Calibri"/>
                <w:b/>
                <w:i/>
                <w:color w:val="000000"/>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keepNext/>
              <w:keepLines/>
              <w:jc w:val="center"/>
              <w:rPr>
                <w:rFonts w:ascii="Calibri" w:hAnsi="Calibri" w:cs="Calibri"/>
                <w:b/>
                <w:i/>
                <w:color w:val="000000"/>
                <w:szCs w:val="22"/>
              </w:rPr>
            </w:pPr>
            <w:r w:rsidRPr="009179EE">
              <w:rPr>
                <w:rFonts w:ascii="Calibri" w:hAnsi="Calibri" w:cs="Calibri"/>
                <w:b/>
                <w:i/>
                <w:color w:val="000000"/>
                <w:szCs w:val="22"/>
              </w:rPr>
              <w:t>0.3%</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keepNext/>
              <w:keepLines/>
              <w:tabs>
                <w:tab w:val="left" w:pos="176"/>
              </w:tabs>
              <w:ind w:left="176"/>
              <w:rPr>
                <w:rFonts w:ascii="Calibri" w:hAnsi="Calibri" w:cs="Calibri"/>
                <w:color w:val="000000"/>
                <w:szCs w:val="22"/>
              </w:rPr>
            </w:pPr>
            <w:r w:rsidRPr="009179EE">
              <w:rPr>
                <w:rFonts w:ascii="Calibri" w:hAnsi="Calibri" w:cs="Calibri"/>
                <w:color w:val="000000"/>
                <w:szCs w:val="22"/>
              </w:rPr>
              <w:t>Inappropriate sexual communication</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0.3%</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22AF6" w:rsidRPr="009179EE" w:rsidRDefault="00522AF6" w:rsidP="0082619D">
            <w:pPr>
              <w:keepNext/>
              <w:keepLines/>
              <w:tabs>
                <w:tab w:val="left" w:pos="176"/>
              </w:tabs>
              <w:jc w:val="left"/>
              <w:rPr>
                <w:rFonts w:ascii="Calibri" w:hAnsi="Calibri" w:cs="Calibri"/>
                <w:b/>
                <w:i/>
                <w:color w:val="000000"/>
                <w:szCs w:val="22"/>
              </w:rPr>
            </w:pPr>
            <w:r w:rsidRPr="009179EE">
              <w:rPr>
                <w:rFonts w:ascii="Calibri" w:hAnsi="Calibri" w:cs="Calibri"/>
                <w:b/>
                <w:i/>
                <w:color w:val="000000"/>
                <w:szCs w:val="22"/>
              </w:rPr>
              <w:t>Care/Treatment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keepNext/>
              <w:keepLines/>
              <w:jc w:val="center"/>
              <w:rPr>
                <w:rFonts w:ascii="Calibri" w:hAnsi="Calibri" w:cs="Calibri"/>
                <w:b/>
                <w:i/>
                <w:color w:val="000000"/>
                <w:szCs w:val="22"/>
              </w:rPr>
            </w:pPr>
            <w:r w:rsidRPr="009179EE">
              <w:rPr>
                <w:rFonts w:ascii="Calibri" w:hAnsi="Calibri" w:cs="Calibri"/>
                <w:b/>
                <w:i/>
                <w:color w:val="000000"/>
                <w:szCs w:val="22"/>
              </w:rPr>
              <w:t>227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keepNext/>
              <w:keepLines/>
              <w:jc w:val="center"/>
              <w:rPr>
                <w:rFonts w:ascii="Calibri" w:hAnsi="Calibri" w:cs="Calibri"/>
                <w:b/>
                <w:i/>
                <w:color w:val="000000"/>
                <w:szCs w:val="22"/>
              </w:rPr>
            </w:pPr>
            <w:r w:rsidRPr="009179EE">
              <w:rPr>
                <w:rFonts w:ascii="Calibri" w:hAnsi="Calibri" w:cs="Calibri"/>
                <w:b/>
                <w:i/>
                <w:color w:val="000000"/>
                <w:szCs w:val="22"/>
              </w:rPr>
              <w:t>58.4%</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keepNext/>
              <w:keepLines/>
              <w:tabs>
                <w:tab w:val="left" w:pos="176"/>
              </w:tabs>
              <w:ind w:left="176"/>
              <w:rPr>
                <w:rFonts w:ascii="Calibri" w:hAnsi="Calibri" w:cs="Calibri"/>
                <w:color w:val="000000"/>
                <w:szCs w:val="22"/>
              </w:rPr>
            </w:pPr>
            <w:r w:rsidRPr="009179EE">
              <w:rPr>
                <w:rFonts w:ascii="Calibri" w:hAnsi="Calibri" w:cs="Calibri"/>
                <w:color w:val="000000"/>
                <w:szCs w:val="22"/>
              </w:rPr>
              <w:t>Delay in treatment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2.1%</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keepNext/>
              <w:keepLines/>
              <w:tabs>
                <w:tab w:val="left" w:pos="176"/>
              </w:tabs>
              <w:ind w:left="176"/>
              <w:rPr>
                <w:rFonts w:ascii="Calibri" w:hAnsi="Calibri" w:cs="Calibri"/>
                <w:color w:val="000000"/>
                <w:szCs w:val="22"/>
              </w:rPr>
            </w:pPr>
            <w:r w:rsidRPr="009179EE">
              <w:rPr>
                <w:rFonts w:ascii="Calibri" w:hAnsi="Calibri" w:cs="Calibri"/>
                <w:color w:val="000000"/>
                <w:szCs w:val="22"/>
              </w:rPr>
              <w:t>Delayed/inadequate/inappropriate referral</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1.5%</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tabs>
                <w:tab w:val="left" w:pos="204"/>
              </w:tabs>
              <w:ind w:firstLine="176"/>
              <w:rPr>
                <w:rFonts w:ascii="Calibri" w:hAnsi="Calibri" w:cs="Calibri"/>
                <w:color w:val="000000"/>
                <w:szCs w:val="22"/>
              </w:rPr>
            </w:pPr>
            <w:r w:rsidRPr="009179EE">
              <w:rPr>
                <w:rFonts w:ascii="Calibri" w:hAnsi="Calibri" w:cs="Calibri"/>
                <w:color w:val="000000"/>
                <w:szCs w:val="22"/>
              </w:rPr>
              <w:t>Inadequate coordination of care/treatment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0.5%</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keepNext/>
              <w:keepLines/>
              <w:tabs>
                <w:tab w:val="left" w:pos="176"/>
                <w:tab w:val="left" w:pos="1440"/>
                <w:tab w:val="decimal" w:pos="4320"/>
              </w:tabs>
              <w:ind w:left="176"/>
              <w:jc w:val="left"/>
              <w:outlineLvl w:val="0"/>
              <w:rPr>
                <w:rFonts w:ascii="Calibri" w:hAnsi="Calibri"/>
                <w:szCs w:val="22"/>
              </w:rPr>
            </w:pPr>
            <w:r w:rsidRPr="009179EE">
              <w:rPr>
                <w:rFonts w:ascii="Calibri" w:hAnsi="Calibri"/>
                <w:szCs w:val="22"/>
              </w:rPr>
              <w:t>Inadequate/inappropriate clinical treatment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47</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12.1%</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keepNext/>
              <w:keepLines/>
              <w:tabs>
                <w:tab w:val="left" w:pos="176"/>
                <w:tab w:val="left" w:pos="1440"/>
                <w:tab w:val="decimal" w:pos="4320"/>
              </w:tabs>
              <w:ind w:left="176"/>
              <w:jc w:val="left"/>
              <w:outlineLvl w:val="0"/>
              <w:rPr>
                <w:rFonts w:ascii="Calibri" w:hAnsi="Calibri"/>
                <w:szCs w:val="22"/>
              </w:rPr>
            </w:pPr>
            <w:r w:rsidRPr="009179EE">
              <w:rPr>
                <w:rFonts w:ascii="Calibri" w:hAnsi="Calibri"/>
                <w:szCs w:val="22"/>
              </w:rPr>
              <w:t>Inadequate/inappropriate examination/assessment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3.1%</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tabs>
                <w:tab w:val="left" w:pos="176"/>
              </w:tabs>
              <w:ind w:left="176"/>
              <w:rPr>
                <w:rFonts w:ascii="Calibri" w:hAnsi="Calibri" w:cs="Calibri"/>
                <w:color w:val="000000"/>
                <w:szCs w:val="22"/>
              </w:rPr>
            </w:pPr>
            <w:r w:rsidRPr="009179EE">
              <w:rPr>
                <w:rFonts w:ascii="Calibri" w:hAnsi="Calibri" w:cs="Calibri"/>
                <w:color w:val="000000"/>
                <w:szCs w:val="22"/>
              </w:rPr>
              <w:t>Inadequate/inappropriate follow-up</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2.8%</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tabs>
                <w:tab w:val="left" w:pos="176"/>
              </w:tabs>
              <w:ind w:left="176"/>
              <w:rPr>
                <w:rFonts w:ascii="Calibri" w:hAnsi="Calibri" w:cs="Calibri"/>
                <w:color w:val="000000"/>
                <w:szCs w:val="22"/>
              </w:rPr>
            </w:pPr>
            <w:r w:rsidRPr="009179EE">
              <w:rPr>
                <w:rFonts w:ascii="Calibri" w:hAnsi="Calibri" w:cs="Calibri"/>
                <w:color w:val="000000"/>
                <w:szCs w:val="22"/>
              </w:rPr>
              <w:t>Inadequate/inappropriate monitoring</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1.8%</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tabs>
                <w:tab w:val="left" w:pos="176"/>
              </w:tabs>
              <w:ind w:left="176"/>
              <w:rPr>
                <w:rFonts w:ascii="Calibri" w:hAnsi="Calibri" w:cs="Calibri"/>
                <w:color w:val="000000"/>
                <w:szCs w:val="22"/>
              </w:rPr>
            </w:pPr>
            <w:r w:rsidRPr="009179EE">
              <w:rPr>
                <w:rFonts w:ascii="Calibri" w:hAnsi="Calibri" w:cs="Calibri"/>
                <w:color w:val="000000"/>
                <w:szCs w:val="22"/>
              </w:rPr>
              <w:t>Inadequate/inappropriate non-clinical care</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1.0%</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keepNext/>
              <w:keepLines/>
              <w:tabs>
                <w:tab w:val="left" w:pos="176"/>
                <w:tab w:val="left" w:pos="1440"/>
                <w:tab w:val="decimal" w:pos="4320"/>
              </w:tabs>
              <w:ind w:firstLine="176"/>
              <w:jc w:val="left"/>
              <w:outlineLvl w:val="0"/>
              <w:rPr>
                <w:rFonts w:ascii="Calibri" w:hAnsi="Calibri"/>
                <w:szCs w:val="22"/>
              </w:rPr>
            </w:pPr>
            <w:r w:rsidRPr="009179EE">
              <w:rPr>
                <w:rFonts w:ascii="Calibri" w:hAnsi="Calibri"/>
                <w:szCs w:val="22"/>
              </w:rPr>
              <w:t>Inappropriate admission/failure to admit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0.5%</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Inappropriate/delayed discharge/transfer</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3.1%</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tabs>
                <w:tab w:val="left" w:pos="176"/>
              </w:tabs>
              <w:ind w:left="176"/>
              <w:rPr>
                <w:rFonts w:ascii="Calibri" w:hAnsi="Calibri" w:cs="Calibri"/>
                <w:color w:val="000000"/>
                <w:szCs w:val="22"/>
              </w:rPr>
            </w:pPr>
            <w:r w:rsidRPr="009179EE">
              <w:rPr>
                <w:rFonts w:ascii="Calibri" w:hAnsi="Calibri" w:cs="Calibri"/>
                <w:color w:val="000000"/>
                <w:szCs w:val="22"/>
              </w:rPr>
              <w:t>Inappropriate withdrawal of treatment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1.3%</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Missed/incorrect/delayed diagnosis</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76</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19.5%</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Rough/painful care or treatment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1.8%</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Unexpected treatment outcome</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25</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6.4%</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Unnecessary treatment/over-servicing</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0.5%</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0.3%</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ind w:left="176" w:hanging="176"/>
              <w:jc w:val="left"/>
              <w:outlineLvl w:val="0"/>
              <w:rPr>
                <w:rFonts w:ascii="Calibri" w:hAnsi="Calibri"/>
                <w:b/>
                <w:i/>
                <w:szCs w:val="22"/>
              </w:rPr>
            </w:pPr>
            <w:r w:rsidRPr="009179EE">
              <w:rPr>
                <w:rFonts w:ascii="Calibri" w:hAnsi="Calibri"/>
                <w:b/>
                <w:i/>
                <w:szCs w:val="22"/>
              </w:rPr>
              <w:t>Communication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40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10.3%</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Disrespectful manner/attitude</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4.4%</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Failure to communicate openly/honestly/effectively with consumer</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2.1%</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Failure to communicate openly/honestly/effectively with family</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3.1%</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Insensitive/inappropriate comments</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0.5%</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0.3%</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jc w:val="left"/>
              <w:outlineLvl w:val="0"/>
              <w:rPr>
                <w:rFonts w:ascii="Calibri" w:hAnsi="Calibri"/>
                <w:b/>
                <w:i/>
                <w:szCs w:val="22"/>
              </w:rPr>
            </w:pPr>
            <w:r w:rsidRPr="009179EE">
              <w:rPr>
                <w:rFonts w:ascii="Calibri" w:hAnsi="Calibri"/>
                <w:b/>
                <w:i/>
                <w:szCs w:val="22"/>
              </w:rPr>
              <w:t>Complaints process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1.0%</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Inadequate response to complaint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1.0%</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jc w:val="left"/>
              <w:outlineLvl w:val="0"/>
              <w:rPr>
                <w:rFonts w:ascii="Calibri" w:hAnsi="Calibri"/>
                <w:b/>
                <w:i/>
                <w:szCs w:val="22"/>
              </w:rPr>
            </w:pPr>
            <w:r w:rsidRPr="009179EE">
              <w:rPr>
                <w:rFonts w:ascii="Calibri" w:hAnsi="Calibri"/>
                <w:b/>
                <w:i/>
                <w:szCs w:val="22"/>
              </w:rPr>
              <w:t>Consent/Information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35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9.0%</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Consent not obtained/adequate</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13</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3.3%</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Inadequate information provided regarding adverse event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0.5%</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Inadequate information provided regarding fees/costs</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rPr>
                <w:rFonts w:ascii="Calibri" w:hAnsi="Calibri" w:cs="Calibri"/>
                <w:color w:val="000000"/>
                <w:szCs w:val="22"/>
              </w:rPr>
              <w:t>0.5%</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Inadequate information provided regarding results</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rPr>
                <w:rFonts w:ascii="Calibri" w:hAnsi="Calibri" w:cs="Calibri"/>
                <w:color w:val="000000"/>
                <w:szCs w:val="22"/>
              </w:rPr>
              <w:t>0.5%</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Incorrect/misleading information provided</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rPr>
                <w:rFonts w:ascii="Calibri" w:hAnsi="Calibri" w:cs="Calibri"/>
                <w:color w:val="000000"/>
                <w:szCs w:val="22"/>
              </w:rPr>
              <w:t>0.5%</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Issues with involuntary admission/treatment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2.6%</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1.0%</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jc w:val="left"/>
              <w:outlineLvl w:val="0"/>
              <w:rPr>
                <w:rFonts w:ascii="Calibri" w:hAnsi="Calibri"/>
                <w:b/>
                <w:i/>
                <w:szCs w:val="22"/>
              </w:rPr>
            </w:pPr>
            <w:r w:rsidRPr="009179EE">
              <w:rPr>
                <w:rFonts w:ascii="Calibri" w:hAnsi="Calibri"/>
                <w:b/>
                <w:i/>
                <w:szCs w:val="22"/>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1.5%</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 xml:space="preserve">Inadequate/inaccurate documentation </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1.0%</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Inappropriate maintenance/disposal of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0.5%</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jc w:val="left"/>
              <w:outlineLvl w:val="0"/>
              <w:rPr>
                <w:rFonts w:ascii="Calibri" w:hAnsi="Calibri"/>
                <w:b/>
                <w:i/>
                <w:szCs w:val="22"/>
              </w:rPr>
            </w:pPr>
            <w:r w:rsidRPr="009179EE">
              <w:rPr>
                <w:rFonts w:ascii="Calibri" w:hAnsi="Calibri"/>
                <w:b/>
                <w:i/>
                <w:szCs w:val="22"/>
              </w:rPr>
              <w:t>Facility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12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3.1%</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General safety issue for consumer in facility</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t>1.3%</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Waiting times</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t>0.8%</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t>1.0%</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jc w:val="left"/>
              <w:outlineLvl w:val="0"/>
              <w:rPr>
                <w:rFonts w:ascii="Calibri" w:hAnsi="Calibri"/>
                <w:b/>
                <w:i/>
                <w:szCs w:val="22"/>
              </w:rPr>
            </w:pPr>
            <w:r w:rsidRPr="009179EE">
              <w:rPr>
                <w:rFonts w:ascii="Calibri" w:hAnsi="Calibri"/>
                <w:b/>
                <w:i/>
                <w:szCs w:val="22"/>
              </w:rPr>
              <w:t>Medication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15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3.9%</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Inappropriate prescribing</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2.1%</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Prescribing error</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t>0.5%</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Refusal to prescribe/dispense/supply</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t>0.5%</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0.8%</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jc w:val="left"/>
              <w:outlineLvl w:val="0"/>
              <w:rPr>
                <w:rFonts w:ascii="Calibri" w:hAnsi="Calibri"/>
                <w:b/>
                <w:i/>
                <w:szCs w:val="22"/>
              </w:rPr>
            </w:pPr>
            <w:r w:rsidRPr="009179EE">
              <w:rPr>
                <w:rFonts w:ascii="Calibri" w:hAnsi="Calibri"/>
                <w:b/>
                <w:i/>
                <w:szCs w:val="22"/>
              </w:rPr>
              <w:t>Reports/Certificates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0.8%</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Inaccurate report/certificate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0.8%</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jc w:val="left"/>
              <w:outlineLvl w:val="0"/>
              <w:rPr>
                <w:rFonts w:ascii="Calibri" w:hAnsi="Calibri"/>
                <w:b/>
                <w:i/>
                <w:szCs w:val="22"/>
              </w:rPr>
            </w:pPr>
            <w:r w:rsidRPr="009179EE">
              <w:rPr>
                <w:rFonts w:ascii="Calibri" w:hAnsi="Calibri"/>
                <w:b/>
                <w:i/>
                <w:szCs w:val="22"/>
              </w:rPr>
              <w:t>Other professional conduct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2.1%</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Inappropriate collection/use/disclosure of information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0.8%</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Threatening/bullying/harassing behaviour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0.8%</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0.5%</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jc w:val="left"/>
              <w:outlineLvl w:val="0"/>
              <w:rPr>
                <w:rFonts w:ascii="Calibri" w:hAnsi="Calibri"/>
                <w:b/>
                <w:i/>
                <w:szCs w:val="22"/>
              </w:rPr>
            </w:pPr>
            <w:r w:rsidRPr="009179EE">
              <w:rPr>
                <w:rFonts w:ascii="Calibri" w:hAnsi="Calibri"/>
                <w:b/>
                <w:i/>
                <w:szCs w:val="22"/>
              </w:rPr>
              <w:t>Disability-specific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0.8%</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jc w:val="left"/>
              <w:outlineLvl w:val="0"/>
              <w:rPr>
                <w:rFonts w:ascii="Calibri" w:hAnsi="Calibri"/>
                <w:b/>
                <w:i/>
                <w:szCs w:val="22"/>
              </w:rPr>
            </w:pPr>
            <w:r w:rsidRPr="009179EE">
              <w:rPr>
                <w:rFonts w:ascii="Calibri" w:hAnsi="Calibri"/>
                <w:b/>
                <w:i/>
                <w:szCs w:val="22"/>
              </w:rPr>
              <w:t>Other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0.8%</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jc w:val="left"/>
              <w:outlineLvl w:val="0"/>
              <w:rPr>
                <w:rFonts w:ascii="Calibri" w:hAnsi="Calibri"/>
                <w:b/>
                <w:i/>
                <w:szCs w:val="22"/>
              </w:rPr>
            </w:pPr>
            <w:r w:rsidRPr="009179EE">
              <w:rPr>
                <w:rFonts w:ascii="Calibri" w:hAnsi="Calibri"/>
                <w:b/>
                <w:i/>
                <w:szCs w:val="22"/>
              </w:rPr>
              <w:t>TOTAL</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389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p>
        </w:tc>
      </w:tr>
    </w:tbl>
    <w:p w:rsidR="00522AF6" w:rsidRPr="009179EE" w:rsidRDefault="00522AF6" w:rsidP="00522AF6">
      <w:pPr>
        <w:spacing w:before="120"/>
      </w:pPr>
      <w:r w:rsidRPr="009179EE">
        <w:t>The most common primary issue categories concerned care/treatment (58.4%), communication (10.3%), consent/information (9.0%) and access/funding (8.2%). Among these, the most common specific primary issues in complaints about DHBs were ‘missed/incorrect/delayed diagnosis’ (76 complaints), ‘inadequate/inappropriate clinical treatment’ (47 complaints), ‘unexpected treatment outcome’ (25 complaints), ‘disrespectful m</w:t>
      </w:r>
      <w:r>
        <w:t>anner/attitude’ (17 complaints) and</w:t>
      </w:r>
      <w:r w:rsidRPr="009179EE">
        <w:t xml:space="preserve"> ‘lack of access to services</w:t>
      </w:r>
      <w:r>
        <w:t>’</w:t>
      </w:r>
      <w:r w:rsidRPr="009179EE">
        <w:t xml:space="preserve"> (17 complaints). This is broadly similar to what was seen in </w:t>
      </w:r>
      <w:r>
        <w:t>Jul-Dec 2014.</w:t>
      </w:r>
    </w:p>
    <w:p w:rsidR="00522AF6" w:rsidRPr="009179EE" w:rsidRDefault="00522AF6" w:rsidP="00522AF6"/>
    <w:p w:rsidR="00522AF6" w:rsidRPr="009179EE" w:rsidRDefault="00522AF6" w:rsidP="00522AF6">
      <w:r w:rsidRPr="009179EE">
        <w:t xml:space="preserve">Table 7 shows a comparison over time for the top five primary issues complained about. </w:t>
      </w:r>
    </w:p>
    <w:p w:rsidR="00522AF6" w:rsidRPr="009179EE" w:rsidRDefault="00522AF6" w:rsidP="00522AF6">
      <w:pPr>
        <w:spacing w:after="120"/>
        <w:rPr>
          <w:b/>
        </w:rPr>
      </w:pPr>
    </w:p>
    <w:p w:rsidR="00522AF6" w:rsidRPr="009179EE" w:rsidRDefault="00522AF6" w:rsidP="00522AF6">
      <w:pPr>
        <w:spacing w:after="120"/>
        <w:rPr>
          <w:b/>
        </w:rPr>
      </w:pPr>
      <w:r w:rsidRPr="009179EE">
        <w:rPr>
          <w:b/>
        </w:rPr>
        <w:t xml:space="preserve">Table 7. </w:t>
      </w:r>
      <w:r w:rsidRPr="009179EE">
        <w:t>Top five primary issues in complaints received over last four six month periods</w:t>
      </w:r>
    </w:p>
    <w:tbl>
      <w:tblPr>
        <w:tblW w:w="49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566"/>
        <w:gridCol w:w="1686"/>
        <w:gridCol w:w="566"/>
        <w:gridCol w:w="1692"/>
        <w:gridCol w:w="564"/>
        <w:gridCol w:w="1740"/>
        <w:gridCol w:w="709"/>
      </w:tblGrid>
      <w:tr w:rsidR="00522AF6" w:rsidRPr="009179EE" w:rsidTr="0082619D">
        <w:trPr>
          <w:tblHeader/>
        </w:trPr>
        <w:tc>
          <w:tcPr>
            <w:tcW w:w="5000" w:type="pct"/>
            <w:gridSpan w:val="8"/>
            <w:vAlign w:val="center"/>
          </w:tcPr>
          <w:p w:rsidR="00522AF6" w:rsidRPr="009179EE" w:rsidRDefault="00522AF6" w:rsidP="0082619D">
            <w:pPr>
              <w:keepNext/>
              <w:keepLines/>
              <w:tabs>
                <w:tab w:val="left" w:pos="1440"/>
                <w:tab w:val="decimal" w:pos="4320"/>
              </w:tabs>
              <w:spacing w:before="120" w:after="120"/>
              <w:jc w:val="center"/>
              <w:outlineLvl w:val="0"/>
              <w:rPr>
                <w:rFonts w:ascii="Calibri" w:hAnsi="Calibri"/>
                <w:b/>
              </w:rPr>
            </w:pPr>
            <w:r w:rsidRPr="009179EE">
              <w:rPr>
                <w:rFonts w:ascii="Calibri" w:hAnsi="Calibri"/>
                <w:b/>
                <w:szCs w:val="22"/>
              </w:rPr>
              <w:t xml:space="preserve">Top five primary issues in all complaints </w:t>
            </w:r>
            <w:r w:rsidRPr="009179EE">
              <w:rPr>
                <w:rFonts w:ascii="Calibri" w:hAnsi="Calibri"/>
                <w:szCs w:val="22"/>
              </w:rPr>
              <w:t>(%)</w:t>
            </w:r>
          </w:p>
        </w:tc>
      </w:tr>
      <w:tr w:rsidR="00522AF6" w:rsidRPr="009179EE" w:rsidTr="0082619D">
        <w:tc>
          <w:tcPr>
            <w:tcW w:w="1225" w:type="pct"/>
            <w:gridSpan w:val="2"/>
          </w:tcPr>
          <w:p w:rsidR="00522AF6" w:rsidRPr="009179EE" w:rsidRDefault="00522AF6" w:rsidP="0082619D">
            <w:pPr>
              <w:keepNext/>
              <w:keepLines/>
              <w:tabs>
                <w:tab w:val="left" w:pos="1440"/>
                <w:tab w:val="decimal" w:pos="4320"/>
              </w:tabs>
              <w:ind w:firstLine="152"/>
              <w:jc w:val="center"/>
              <w:outlineLvl w:val="0"/>
              <w:rPr>
                <w:rFonts w:ascii="Calibri" w:hAnsi="Calibri"/>
                <w:b/>
              </w:rPr>
            </w:pPr>
            <w:r w:rsidRPr="009179EE">
              <w:rPr>
                <w:rFonts w:ascii="Calibri" w:hAnsi="Calibri"/>
                <w:b/>
                <w:szCs w:val="22"/>
              </w:rPr>
              <w:t>Jul–Dec 13</w:t>
            </w:r>
          </w:p>
          <w:p w:rsidR="00522AF6" w:rsidRPr="009179EE" w:rsidRDefault="00522AF6" w:rsidP="0082619D">
            <w:pPr>
              <w:keepNext/>
              <w:keepLines/>
              <w:tabs>
                <w:tab w:val="left" w:pos="1440"/>
                <w:tab w:val="decimal" w:pos="4320"/>
              </w:tabs>
              <w:ind w:left="139" w:right="10" w:firstLine="13"/>
              <w:jc w:val="center"/>
              <w:outlineLvl w:val="0"/>
              <w:rPr>
                <w:rFonts w:ascii="Calibri" w:hAnsi="Calibri"/>
                <w:b/>
                <w:szCs w:val="22"/>
              </w:rPr>
            </w:pPr>
            <w:r w:rsidRPr="009179EE">
              <w:rPr>
                <w:rFonts w:ascii="Calibri" w:hAnsi="Calibri"/>
                <w:b/>
                <w:szCs w:val="22"/>
              </w:rPr>
              <w:t>n=330</w:t>
            </w:r>
          </w:p>
        </w:tc>
        <w:tc>
          <w:tcPr>
            <w:tcW w:w="1222" w:type="pct"/>
            <w:gridSpan w:val="2"/>
          </w:tcPr>
          <w:p w:rsidR="00522AF6" w:rsidRPr="009179EE" w:rsidRDefault="00522AF6" w:rsidP="0082619D">
            <w:pPr>
              <w:keepNext/>
              <w:keepLines/>
              <w:tabs>
                <w:tab w:val="left" w:pos="1440"/>
                <w:tab w:val="decimal" w:pos="4320"/>
              </w:tabs>
              <w:ind w:firstLine="152"/>
              <w:jc w:val="center"/>
              <w:outlineLvl w:val="0"/>
              <w:rPr>
                <w:rFonts w:ascii="Calibri" w:hAnsi="Calibri"/>
                <w:b/>
              </w:rPr>
            </w:pPr>
            <w:r w:rsidRPr="009179EE">
              <w:rPr>
                <w:rFonts w:ascii="Calibri" w:hAnsi="Calibri"/>
                <w:b/>
                <w:szCs w:val="22"/>
              </w:rPr>
              <w:t>Jan–Jun 14</w:t>
            </w:r>
          </w:p>
          <w:p w:rsidR="00522AF6" w:rsidRPr="009179EE" w:rsidRDefault="00522AF6" w:rsidP="0082619D">
            <w:pPr>
              <w:keepNext/>
              <w:keepLines/>
              <w:tabs>
                <w:tab w:val="left" w:pos="1440"/>
                <w:tab w:val="decimal" w:pos="4320"/>
              </w:tabs>
              <w:ind w:left="139" w:right="10" w:firstLine="13"/>
              <w:jc w:val="center"/>
              <w:outlineLvl w:val="0"/>
              <w:rPr>
                <w:rFonts w:ascii="Calibri" w:hAnsi="Calibri"/>
                <w:b/>
                <w:szCs w:val="22"/>
              </w:rPr>
            </w:pPr>
            <w:r w:rsidRPr="009179EE">
              <w:rPr>
                <w:rFonts w:ascii="Calibri" w:hAnsi="Calibri"/>
                <w:b/>
                <w:szCs w:val="22"/>
              </w:rPr>
              <w:t>n=330</w:t>
            </w:r>
          </w:p>
        </w:tc>
        <w:tc>
          <w:tcPr>
            <w:tcW w:w="1224" w:type="pct"/>
            <w:gridSpan w:val="2"/>
          </w:tcPr>
          <w:p w:rsidR="00522AF6" w:rsidRPr="009179EE" w:rsidRDefault="00522AF6" w:rsidP="0082619D">
            <w:pPr>
              <w:jc w:val="center"/>
              <w:rPr>
                <w:rFonts w:ascii="Calibri" w:hAnsi="Calibri"/>
                <w:b/>
                <w:szCs w:val="22"/>
              </w:rPr>
            </w:pPr>
            <w:r w:rsidRPr="009179EE">
              <w:rPr>
                <w:rFonts w:ascii="Calibri" w:hAnsi="Calibri"/>
                <w:b/>
                <w:szCs w:val="22"/>
              </w:rPr>
              <w:t>Jul–Dec 14</w:t>
            </w:r>
          </w:p>
          <w:p w:rsidR="00522AF6" w:rsidRPr="009179EE" w:rsidRDefault="00522AF6" w:rsidP="0082619D">
            <w:pPr>
              <w:keepNext/>
              <w:keepLines/>
              <w:tabs>
                <w:tab w:val="left" w:pos="1440"/>
                <w:tab w:val="decimal" w:pos="4320"/>
              </w:tabs>
              <w:ind w:left="139" w:right="10" w:firstLine="13"/>
              <w:jc w:val="center"/>
              <w:outlineLvl w:val="0"/>
              <w:rPr>
                <w:rFonts w:ascii="Calibri" w:hAnsi="Calibri"/>
                <w:b/>
                <w:szCs w:val="22"/>
              </w:rPr>
            </w:pPr>
            <w:r w:rsidRPr="009179EE">
              <w:rPr>
                <w:rFonts w:ascii="Calibri" w:hAnsi="Calibri"/>
                <w:b/>
                <w:szCs w:val="22"/>
              </w:rPr>
              <w:t>n=368</w:t>
            </w:r>
          </w:p>
        </w:tc>
        <w:tc>
          <w:tcPr>
            <w:tcW w:w="1329" w:type="pct"/>
            <w:gridSpan w:val="2"/>
            <w:shd w:val="clear" w:color="auto" w:fill="auto"/>
          </w:tcPr>
          <w:p w:rsidR="00522AF6" w:rsidRPr="009179EE" w:rsidRDefault="00522AF6" w:rsidP="0082619D">
            <w:pPr>
              <w:keepNext/>
              <w:keepLines/>
              <w:tabs>
                <w:tab w:val="left" w:pos="1440"/>
                <w:tab w:val="decimal" w:pos="4320"/>
              </w:tabs>
              <w:ind w:firstLine="152"/>
              <w:jc w:val="center"/>
              <w:outlineLvl w:val="0"/>
              <w:rPr>
                <w:rFonts w:ascii="Calibri" w:hAnsi="Calibri"/>
                <w:b/>
              </w:rPr>
            </w:pPr>
            <w:r w:rsidRPr="009179EE">
              <w:rPr>
                <w:rFonts w:ascii="Calibri" w:hAnsi="Calibri"/>
                <w:b/>
                <w:szCs w:val="22"/>
              </w:rPr>
              <w:t>Jan–Jun 15</w:t>
            </w:r>
          </w:p>
          <w:p w:rsidR="00522AF6" w:rsidRPr="009179EE" w:rsidRDefault="00522AF6" w:rsidP="0082619D">
            <w:pPr>
              <w:jc w:val="center"/>
              <w:rPr>
                <w:rFonts w:ascii="Calibri" w:hAnsi="Calibri"/>
                <w:b/>
                <w:szCs w:val="22"/>
              </w:rPr>
            </w:pPr>
            <w:r w:rsidRPr="009179EE">
              <w:rPr>
                <w:rFonts w:ascii="Calibri" w:hAnsi="Calibri"/>
                <w:b/>
                <w:szCs w:val="22"/>
              </w:rPr>
              <w:t>n=389</w:t>
            </w:r>
          </w:p>
        </w:tc>
      </w:tr>
      <w:tr w:rsidR="00522AF6" w:rsidRPr="009179EE" w:rsidTr="0082619D">
        <w:trPr>
          <w:trHeight w:val="450"/>
        </w:trPr>
        <w:tc>
          <w:tcPr>
            <w:tcW w:w="918" w:type="pct"/>
            <w:vAlign w:val="center"/>
          </w:tcPr>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Misdiagnosis</w:t>
            </w:r>
          </w:p>
        </w:tc>
        <w:tc>
          <w:tcPr>
            <w:tcW w:w="307"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17%</w:t>
            </w:r>
          </w:p>
        </w:tc>
        <w:tc>
          <w:tcPr>
            <w:tcW w:w="915" w:type="pct"/>
            <w:vAlign w:val="center"/>
          </w:tcPr>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Misdiagnosis</w:t>
            </w:r>
          </w:p>
        </w:tc>
        <w:tc>
          <w:tcPr>
            <w:tcW w:w="307"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17%</w:t>
            </w:r>
          </w:p>
        </w:tc>
        <w:tc>
          <w:tcPr>
            <w:tcW w:w="918" w:type="pct"/>
            <w:vAlign w:val="center"/>
          </w:tcPr>
          <w:p w:rsidR="00522AF6" w:rsidRPr="009179EE" w:rsidRDefault="00522AF6" w:rsidP="0082619D">
            <w:pPr>
              <w:jc w:val="left"/>
              <w:rPr>
                <w:rFonts w:ascii="Calibri" w:hAnsi="Calibri"/>
                <w:sz w:val="20"/>
                <w:szCs w:val="20"/>
              </w:rPr>
            </w:pPr>
            <w:r w:rsidRPr="009179EE">
              <w:rPr>
                <w:rFonts w:ascii="Calibri" w:hAnsi="Calibri"/>
                <w:sz w:val="20"/>
                <w:szCs w:val="20"/>
              </w:rPr>
              <w:t>Misdiagnosis</w:t>
            </w:r>
          </w:p>
        </w:tc>
        <w:tc>
          <w:tcPr>
            <w:tcW w:w="306" w:type="pct"/>
            <w:vAlign w:val="center"/>
          </w:tcPr>
          <w:p w:rsidR="00522AF6" w:rsidRPr="009179EE" w:rsidRDefault="00522AF6" w:rsidP="0082619D">
            <w:pPr>
              <w:jc w:val="center"/>
              <w:rPr>
                <w:rFonts w:ascii="Calibri" w:hAnsi="Calibri"/>
                <w:sz w:val="20"/>
                <w:szCs w:val="20"/>
              </w:rPr>
            </w:pPr>
            <w:r w:rsidRPr="009179EE">
              <w:rPr>
                <w:rFonts w:ascii="Calibri" w:hAnsi="Calibri"/>
                <w:sz w:val="20"/>
                <w:szCs w:val="20"/>
              </w:rPr>
              <w:t>15%</w:t>
            </w:r>
          </w:p>
        </w:tc>
        <w:tc>
          <w:tcPr>
            <w:tcW w:w="944" w:type="pct"/>
            <w:shd w:val="clear" w:color="auto" w:fill="auto"/>
            <w:vAlign w:val="center"/>
          </w:tcPr>
          <w:p w:rsidR="00522AF6" w:rsidRPr="009179EE" w:rsidRDefault="00522AF6" w:rsidP="0082619D">
            <w:pPr>
              <w:jc w:val="left"/>
              <w:rPr>
                <w:rFonts w:ascii="Calibri" w:hAnsi="Calibri"/>
                <w:sz w:val="20"/>
                <w:szCs w:val="20"/>
              </w:rPr>
            </w:pPr>
            <w:r w:rsidRPr="009179EE">
              <w:rPr>
                <w:rFonts w:ascii="Calibri" w:hAnsi="Calibri"/>
                <w:sz w:val="20"/>
                <w:szCs w:val="20"/>
              </w:rPr>
              <w:t>Misdiagnosis</w:t>
            </w:r>
          </w:p>
        </w:tc>
        <w:tc>
          <w:tcPr>
            <w:tcW w:w="385" w:type="pct"/>
            <w:shd w:val="clear" w:color="auto" w:fill="auto"/>
            <w:vAlign w:val="center"/>
          </w:tcPr>
          <w:p w:rsidR="00522AF6" w:rsidRPr="009179EE" w:rsidRDefault="00522AF6" w:rsidP="0082619D">
            <w:pPr>
              <w:jc w:val="center"/>
              <w:rPr>
                <w:rFonts w:ascii="Calibri" w:hAnsi="Calibri"/>
                <w:sz w:val="20"/>
                <w:szCs w:val="20"/>
              </w:rPr>
            </w:pPr>
            <w:r w:rsidRPr="009179EE">
              <w:rPr>
                <w:rFonts w:ascii="Calibri" w:hAnsi="Calibri"/>
                <w:sz w:val="20"/>
                <w:szCs w:val="20"/>
              </w:rPr>
              <w:t>20%</w:t>
            </w:r>
          </w:p>
        </w:tc>
      </w:tr>
      <w:tr w:rsidR="00522AF6" w:rsidRPr="009179EE" w:rsidTr="0082619D">
        <w:trPr>
          <w:trHeight w:val="400"/>
        </w:trPr>
        <w:tc>
          <w:tcPr>
            <w:tcW w:w="918" w:type="pct"/>
            <w:vAlign w:val="center"/>
          </w:tcPr>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Inadequate treatment</w:t>
            </w:r>
          </w:p>
        </w:tc>
        <w:tc>
          <w:tcPr>
            <w:tcW w:w="307"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17%</w:t>
            </w:r>
          </w:p>
        </w:tc>
        <w:tc>
          <w:tcPr>
            <w:tcW w:w="915" w:type="pct"/>
            <w:vAlign w:val="center"/>
          </w:tcPr>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Inadequate treatment</w:t>
            </w:r>
          </w:p>
        </w:tc>
        <w:tc>
          <w:tcPr>
            <w:tcW w:w="307"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11%</w:t>
            </w:r>
          </w:p>
        </w:tc>
        <w:tc>
          <w:tcPr>
            <w:tcW w:w="918" w:type="pct"/>
            <w:vAlign w:val="center"/>
          </w:tcPr>
          <w:p w:rsidR="00522AF6" w:rsidRPr="009179EE" w:rsidRDefault="00522AF6" w:rsidP="0082619D">
            <w:pPr>
              <w:jc w:val="left"/>
              <w:rPr>
                <w:rFonts w:ascii="Calibri" w:hAnsi="Calibri"/>
                <w:sz w:val="20"/>
                <w:szCs w:val="20"/>
              </w:rPr>
            </w:pPr>
            <w:r w:rsidRPr="009179EE">
              <w:rPr>
                <w:rFonts w:ascii="Calibri" w:hAnsi="Calibri"/>
                <w:sz w:val="20"/>
                <w:szCs w:val="20"/>
              </w:rPr>
              <w:t>Inadequate treatment</w:t>
            </w:r>
          </w:p>
        </w:tc>
        <w:tc>
          <w:tcPr>
            <w:tcW w:w="306" w:type="pct"/>
            <w:vAlign w:val="center"/>
          </w:tcPr>
          <w:p w:rsidR="00522AF6" w:rsidRPr="009179EE" w:rsidRDefault="00522AF6" w:rsidP="0082619D">
            <w:pPr>
              <w:jc w:val="center"/>
              <w:rPr>
                <w:rFonts w:ascii="Calibri" w:hAnsi="Calibri"/>
                <w:sz w:val="20"/>
                <w:szCs w:val="20"/>
              </w:rPr>
            </w:pPr>
            <w:r w:rsidRPr="009179EE">
              <w:rPr>
                <w:rFonts w:ascii="Calibri" w:hAnsi="Calibri"/>
                <w:sz w:val="20"/>
                <w:szCs w:val="20"/>
              </w:rPr>
              <w:t>11%</w:t>
            </w:r>
          </w:p>
        </w:tc>
        <w:tc>
          <w:tcPr>
            <w:tcW w:w="944" w:type="pct"/>
            <w:shd w:val="clear" w:color="auto" w:fill="auto"/>
            <w:vAlign w:val="center"/>
          </w:tcPr>
          <w:p w:rsidR="00522AF6" w:rsidRPr="009179EE" w:rsidRDefault="00522AF6" w:rsidP="0082619D">
            <w:pPr>
              <w:jc w:val="left"/>
              <w:rPr>
                <w:rFonts w:ascii="Calibri" w:hAnsi="Calibri"/>
                <w:sz w:val="20"/>
                <w:szCs w:val="20"/>
              </w:rPr>
            </w:pPr>
            <w:r w:rsidRPr="009179EE">
              <w:rPr>
                <w:rFonts w:ascii="Calibri" w:hAnsi="Calibri"/>
                <w:sz w:val="20"/>
                <w:szCs w:val="20"/>
              </w:rPr>
              <w:t>Inadequate treatment</w:t>
            </w:r>
          </w:p>
        </w:tc>
        <w:tc>
          <w:tcPr>
            <w:tcW w:w="385" w:type="pct"/>
            <w:shd w:val="clear" w:color="auto" w:fill="auto"/>
            <w:vAlign w:val="center"/>
          </w:tcPr>
          <w:p w:rsidR="00522AF6" w:rsidRPr="009179EE" w:rsidRDefault="00522AF6" w:rsidP="0082619D">
            <w:pPr>
              <w:jc w:val="center"/>
              <w:rPr>
                <w:rFonts w:ascii="Calibri" w:hAnsi="Calibri"/>
                <w:sz w:val="20"/>
                <w:szCs w:val="20"/>
              </w:rPr>
            </w:pPr>
            <w:r w:rsidRPr="009179EE">
              <w:rPr>
                <w:rFonts w:ascii="Calibri" w:hAnsi="Calibri"/>
                <w:sz w:val="20"/>
                <w:szCs w:val="20"/>
              </w:rPr>
              <w:t>12%</w:t>
            </w:r>
          </w:p>
        </w:tc>
      </w:tr>
      <w:tr w:rsidR="00522AF6" w:rsidRPr="009179EE" w:rsidTr="0082619D">
        <w:tc>
          <w:tcPr>
            <w:tcW w:w="918" w:type="pct"/>
            <w:vAlign w:val="center"/>
          </w:tcPr>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Disrespectful manner/attitude</w:t>
            </w:r>
          </w:p>
        </w:tc>
        <w:tc>
          <w:tcPr>
            <w:tcW w:w="307"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5%</w:t>
            </w:r>
          </w:p>
        </w:tc>
        <w:tc>
          <w:tcPr>
            <w:tcW w:w="915" w:type="pct"/>
            <w:vAlign w:val="center"/>
          </w:tcPr>
          <w:p w:rsidR="00522AF6" w:rsidRPr="009179EE" w:rsidRDefault="00522AF6" w:rsidP="0082619D">
            <w:pPr>
              <w:keepNext/>
              <w:keepLines/>
              <w:tabs>
                <w:tab w:val="left" w:pos="1440"/>
                <w:tab w:val="decimal" w:pos="4320"/>
              </w:tabs>
              <w:spacing w:before="100" w:beforeAutospacing="1"/>
              <w:jc w:val="left"/>
              <w:outlineLvl w:val="0"/>
              <w:rPr>
                <w:rFonts w:ascii="Calibri" w:hAnsi="Calibri"/>
                <w:sz w:val="20"/>
                <w:szCs w:val="20"/>
              </w:rPr>
            </w:pPr>
            <w:r w:rsidRPr="009179EE">
              <w:rPr>
                <w:rFonts w:ascii="Calibri" w:hAnsi="Calibri"/>
                <w:sz w:val="20"/>
                <w:szCs w:val="20"/>
              </w:rPr>
              <w:t>Disrespectful manner/attitude</w:t>
            </w:r>
          </w:p>
        </w:tc>
        <w:tc>
          <w:tcPr>
            <w:tcW w:w="307"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6%</w:t>
            </w:r>
          </w:p>
        </w:tc>
        <w:tc>
          <w:tcPr>
            <w:tcW w:w="918" w:type="pct"/>
            <w:vAlign w:val="center"/>
          </w:tcPr>
          <w:p w:rsidR="00522AF6" w:rsidRPr="009179EE" w:rsidRDefault="00522AF6" w:rsidP="0082619D">
            <w:pPr>
              <w:jc w:val="left"/>
              <w:rPr>
                <w:rFonts w:ascii="Calibri" w:hAnsi="Calibri"/>
                <w:sz w:val="20"/>
                <w:szCs w:val="20"/>
              </w:rPr>
            </w:pPr>
            <w:r w:rsidRPr="009179EE">
              <w:rPr>
                <w:rFonts w:ascii="Calibri" w:hAnsi="Calibri"/>
                <w:sz w:val="20"/>
                <w:szCs w:val="20"/>
              </w:rPr>
              <w:t>Unexpected treatment outcome</w:t>
            </w:r>
          </w:p>
        </w:tc>
        <w:tc>
          <w:tcPr>
            <w:tcW w:w="306" w:type="pct"/>
            <w:vAlign w:val="center"/>
          </w:tcPr>
          <w:p w:rsidR="00522AF6" w:rsidRPr="009179EE" w:rsidRDefault="00522AF6" w:rsidP="0082619D">
            <w:pPr>
              <w:jc w:val="center"/>
              <w:rPr>
                <w:rFonts w:ascii="Calibri" w:hAnsi="Calibri"/>
                <w:sz w:val="20"/>
                <w:szCs w:val="20"/>
              </w:rPr>
            </w:pPr>
            <w:r w:rsidRPr="009179EE">
              <w:rPr>
                <w:rFonts w:ascii="Calibri" w:hAnsi="Calibri"/>
                <w:sz w:val="20"/>
                <w:szCs w:val="20"/>
              </w:rPr>
              <w:t>7%</w:t>
            </w:r>
          </w:p>
        </w:tc>
        <w:tc>
          <w:tcPr>
            <w:tcW w:w="944" w:type="pct"/>
            <w:shd w:val="clear" w:color="auto" w:fill="auto"/>
            <w:vAlign w:val="center"/>
          </w:tcPr>
          <w:p w:rsidR="00522AF6" w:rsidRPr="009179EE" w:rsidRDefault="00522AF6" w:rsidP="0082619D">
            <w:pPr>
              <w:jc w:val="left"/>
              <w:rPr>
                <w:rFonts w:ascii="Calibri" w:hAnsi="Calibri"/>
                <w:sz w:val="20"/>
                <w:szCs w:val="20"/>
              </w:rPr>
            </w:pPr>
            <w:r w:rsidRPr="009179EE">
              <w:rPr>
                <w:rFonts w:ascii="Calibri" w:hAnsi="Calibri"/>
                <w:sz w:val="20"/>
                <w:szCs w:val="20"/>
              </w:rPr>
              <w:t>Unexpected treatment outcome</w:t>
            </w:r>
          </w:p>
        </w:tc>
        <w:tc>
          <w:tcPr>
            <w:tcW w:w="385" w:type="pct"/>
            <w:shd w:val="clear" w:color="auto" w:fill="auto"/>
            <w:vAlign w:val="center"/>
          </w:tcPr>
          <w:p w:rsidR="00522AF6" w:rsidRPr="009179EE" w:rsidRDefault="00522AF6" w:rsidP="0082619D">
            <w:pPr>
              <w:jc w:val="center"/>
              <w:rPr>
                <w:rFonts w:ascii="Calibri" w:hAnsi="Calibri"/>
                <w:sz w:val="20"/>
                <w:szCs w:val="20"/>
              </w:rPr>
            </w:pPr>
            <w:r w:rsidRPr="009179EE">
              <w:rPr>
                <w:rFonts w:ascii="Calibri" w:hAnsi="Calibri"/>
                <w:sz w:val="20"/>
                <w:szCs w:val="20"/>
              </w:rPr>
              <w:t>6%</w:t>
            </w:r>
          </w:p>
        </w:tc>
      </w:tr>
      <w:tr w:rsidR="00522AF6" w:rsidRPr="009179EE" w:rsidTr="0082619D">
        <w:trPr>
          <w:trHeight w:val="639"/>
        </w:trPr>
        <w:tc>
          <w:tcPr>
            <w:tcW w:w="918" w:type="pct"/>
            <w:vAlign w:val="center"/>
          </w:tcPr>
          <w:p w:rsidR="00522AF6" w:rsidRPr="009179EE" w:rsidRDefault="00522AF6" w:rsidP="0082619D">
            <w:pPr>
              <w:keepNext/>
              <w:keepLines/>
              <w:tabs>
                <w:tab w:val="left" w:pos="1440"/>
                <w:tab w:val="decimal" w:pos="4320"/>
              </w:tabs>
              <w:spacing w:before="100" w:beforeAutospacing="1"/>
              <w:jc w:val="left"/>
              <w:outlineLvl w:val="0"/>
              <w:rPr>
                <w:rFonts w:ascii="Calibri" w:hAnsi="Calibri"/>
                <w:sz w:val="20"/>
                <w:szCs w:val="20"/>
              </w:rPr>
            </w:pPr>
            <w:r w:rsidRPr="009179EE">
              <w:rPr>
                <w:rFonts w:ascii="Calibri" w:hAnsi="Calibri"/>
                <w:sz w:val="20"/>
                <w:szCs w:val="20"/>
              </w:rPr>
              <w:t>Inappropriate prescribing</w:t>
            </w:r>
          </w:p>
        </w:tc>
        <w:tc>
          <w:tcPr>
            <w:tcW w:w="307"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4%</w:t>
            </w:r>
          </w:p>
        </w:tc>
        <w:tc>
          <w:tcPr>
            <w:tcW w:w="915" w:type="pct"/>
            <w:vAlign w:val="center"/>
          </w:tcPr>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Unexpected treatment outcome</w:t>
            </w:r>
          </w:p>
        </w:tc>
        <w:tc>
          <w:tcPr>
            <w:tcW w:w="307"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6%</w:t>
            </w:r>
          </w:p>
        </w:tc>
        <w:tc>
          <w:tcPr>
            <w:tcW w:w="918" w:type="pct"/>
            <w:vAlign w:val="center"/>
          </w:tcPr>
          <w:p w:rsidR="00522AF6" w:rsidRPr="009179EE" w:rsidRDefault="00522AF6" w:rsidP="0082619D">
            <w:pPr>
              <w:jc w:val="left"/>
              <w:rPr>
                <w:rFonts w:ascii="Calibri" w:hAnsi="Calibri"/>
                <w:sz w:val="20"/>
                <w:szCs w:val="20"/>
              </w:rPr>
            </w:pPr>
            <w:r w:rsidRPr="009179EE">
              <w:rPr>
                <w:rFonts w:ascii="Calibri" w:hAnsi="Calibri"/>
                <w:sz w:val="20"/>
                <w:szCs w:val="20"/>
              </w:rPr>
              <w:t>Waiting list/</w:t>
            </w:r>
          </w:p>
          <w:p w:rsidR="00522AF6" w:rsidRPr="009179EE" w:rsidRDefault="00522AF6" w:rsidP="0082619D">
            <w:pPr>
              <w:jc w:val="left"/>
              <w:rPr>
                <w:rFonts w:ascii="Calibri" w:hAnsi="Calibri"/>
                <w:sz w:val="20"/>
                <w:szCs w:val="20"/>
              </w:rPr>
            </w:pPr>
            <w:r w:rsidRPr="009179EE">
              <w:rPr>
                <w:rFonts w:ascii="Calibri" w:hAnsi="Calibri"/>
                <w:sz w:val="20"/>
                <w:szCs w:val="20"/>
              </w:rPr>
              <w:t>prioritisation</w:t>
            </w:r>
          </w:p>
        </w:tc>
        <w:tc>
          <w:tcPr>
            <w:tcW w:w="306" w:type="pct"/>
            <w:vAlign w:val="center"/>
          </w:tcPr>
          <w:p w:rsidR="00522AF6" w:rsidRPr="009179EE" w:rsidRDefault="00522AF6" w:rsidP="0082619D">
            <w:pPr>
              <w:jc w:val="center"/>
              <w:rPr>
                <w:rFonts w:ascii="Calibri" w:hAnsi="Calibri"/>
                <w:sz w:val="20"/>
                <w:szCs w:val="20"/>
              </w:rPr>
            </w:pPr>
            <w:r w:rsidRPr="009179EE">
              <w:rPr>
                <w:rFonts w:ascii="Calibri" w:hAnsi="Calibri"/>
                <w:sz w:val="20"/>
                <w:szCs w:val="20"/>
              </w:rPr>
              <w:t>6%</w:t>
            </w:r>
          </w:p>
        </w:tc>
        <w:tc>
          <w:tcPr>
            <w:tcW w:w="944" w:type="pct"/>
            <w:shd w:val="clear" w:color="auto" w:fill="auto"/>
            <w:vAlign w:val="center"/>
          </w:tcPr>
          <w:p w:rsidR="00522AF6" w:rsidRPr="009179EE" w:rsidRDefault="00522AF6" w:rsidP="0082619D">
            <w:pPr>
              <w:jc w:val="left"/>
              <w:rPr>
                <w:rFonts w:ascii="Calibri" w:hAnsi="Calibri"/>
                <w:sz w:val="20"/>
                <w:szCs w:val="20"/>
              </w:rPr>
            </w:pPr>
            <w:r w:rsidRPr="009179EE">
              <w:rPr>
                <w:rFonts w:ascii="Calibri" w:hAnsi="Calibri"/>
                <w:sz w:val="20"/>
                <w:szCs w:val="20"/>
              </w:rPr>
              <w:t>Disrespectful manner/attitude</w:t>
            </w:r>
          </w:p>
        </w:tc>
        <w:tc>
          <w:tcPr>
            <w:tcW w:w="385" w:type="pct"/>
            <w:shd w:val="clear" w:color="auto" w:fill="auto"/>
            <w:vAlign w:val="center"/>
          </w:tcPr>
          <w:p w:rsidR="00522AF6" w:rsidRPr="009179EE" w:rsidRDefault="00522AF6" w:rsidP="0082619D">
            <w:pPr>
              <w:jc w:val="center"/>
              <w:rPr>
                <w:rFonts w:ascii="Calibri" w:hAnsi="Calibri"/>
                <w:sz w:val="20"/>
                <w:szCs w:val="20"/>
              </w:rPr>
            </w:pPr>
            <w:r w:rsidRPr="009179EE">
              <w:rPr>
                <w:rFonts w:ascii="Calibri" w:hAnsi="Calibri"/>
                <w:sz w:val="20"/>
                <w:szCs w:val="20"/>
              </w:rPr>
              <w:t>4%</w:t>
            </w:r>
          </w:p>
        </w:tc>
      </w:tr>
      <w:tr w:rsidR="00522AF6" w:rsidRPr="009179EE" w:rsidTr="0082619D">
        <w:trPr>
          <w:trHeight w:val="561"/>
        </w:trPr>
        <w:tc>
          <w:tcPr>
            <w:tcW w:w="918" w:type="pct"/>
            <w:vAlign w:val="center"/>
          </w:tcPr>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Lack of access to services</w:t>
            </w:r>
          </w:p>
        </w:tc>
        <w:tc>
          <w:tcPr>
            <w:tcW w:w="307"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4%</w:t>
            </w:r>
          </w:p>
        </w:tc>
        <w:tc>
          <w:tcPr>
            <w:tcW w:w="915" w:type="pct"/>
            <w:vAlign w:val="center"/>
          </w:tcPr>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Waiting list/</w:t>
            </w:r>
          </w:p>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prioritisation</w:t>
            </w:r>
          </w:p>
        </w:tc>
        <w:tc>
          <w:tcPr>
            <w:tcW w:w="307"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5%</w:t>
            </w:r>
          </w:p>
        </w:tc>
        <w:tc>
          <w:tcPr>
            <w:tcW w:w="918" w:type="pct"/>
            <w:shd w:val="clear" w:color="auto" w:fill="auto"/>
            <w:vAlign w:val="center"/>
          </w:tcPr>
          <w:p w:rsidR="00522AF6" w:rsidRPr="009179EE" w:rsidRDefault="00522AF6" w:rsidP="0082619D">
            <w:pPr>
              <w:jc w:val="left"/>
              <w:rPr>
                <w:rFonts w:ascii="Calibri" w:hAnsi="Calibri"/>
                <w:sz w:val="20"/>
                <w:szCs w:val="20"/>
              </w:rPr>
            </w:pPr>
            <w:r w:rsidRPr="009179EE">
              <w:rPr>
                <w:rFonts w:ascii="Calibri" w:hAnsi="Calibri"/>
                <w:sz w:val="20"/>
                <w:szCs w:val="20"/>
              </w:rPr>
              <w:t>Disrespectful manner/attitude</w:t>
            </w:r>
          </w:p>
        </w:tc>
        <w:tc>
          <w:tcPr>
            <w:tcW w:w="306" w:type="pct"/>
            <w:vAlign w:val="center"/>
          </w:tcPr>
          <w:p w:rsidR="00522AF6" w:rsidRPr="009179EE" w:rsidRDefault="00522AF6" w:rsidP="0082619D">
            <w:pPr>
              <w:jc w:val="center"/>
              <w:rPr>
                <w:rFonts w:ascii="Calibri" w:hAnsi="Calibri"/>
                <w:sz w:val="20"/>
                <w:szCs w:val="20"/>
              </w:rPr>
            </w:pPr>
            <w:r w:rsidRPr="009179EE">
              <w:rPr>
                <w:rFonts w:ascii="Calibri" w:hAnsi="Calibri"/>
                <w:sz w:val="20"/>
                <w:szCs w:val="20"/>
              </w:rPr>
              <w:t>5%</w:t>
            </w:r>
          </w:p>
        </w:tc>
        <w:tc>
          <w:tcPr>
            <w:tcW w:w="944" w:type="pct"/>
            <w:shd w:val="clear" w:color="auto" w:fill="auto"/>
            <w:vAlign w:val="center"/>
          </w:tcPr>
          <w:p w:rsidR="00522AF6" w:rsidRPr="009179EE" w:rsidRDefault="00522AF6" w:rsidP="0082619D">
            <w:pPr>
              <w:jc w:val="left"/>
              <w:rPr>
                <w:rFonts w:ascii="Calibri" w:hAnsi="Calibri"/>
                <w:sz w:val="20"/>
                <w:szCs w:val="20"/>
              </w:rPr>
            </w:pPr>
            <w:r w:rsidRPr="009179EE">
              <w:rPr>
                <w:rFonts w:ascii="Calibri" w:hAnsi="Calibri"/>
                <w:sz w:val="20"/>
                <w:szCs w:val="20"/>
              </w:rPr>
              <w:t>Lack of access to services</w:t>
            </w:r>
          </w:p>
        </w:tc>
        <w:tc>
          <w:tcPr>
            <w:tcW w:w="385" w:type="pct"/>
            <w:shd w:val="clear" w:color="auto" w:fill="auto"/>
            <w:vAlign w:val="center"/>
          </w:tcPr>
          <w:p w:rsidR="00522AF6" w:rsidRPr="009179EE" w:rsidRDefault="00522AF6" w:rsidP="0082619D">
            <w:pPr>
              <w:jc w:val="center"/>
              <w:rPr>
                <w:rFonts w:ascii="Calibri" w:hAnsi="Calibri"/>
                <w:sz w:val="20"/>
                <w:szCs w:val="20"/>
              </w:rPr>
            </w:pPr>
            <w:r w:rsidRPr="009179EE">
              <w:rPr>
                <w:rFonts w:ascii="Calibri" w:hAnsi="Calibri"/>
                <w:sz w:val="20"/>
                <w:szCs w:val="20"/>
              </w:rPr>
              <w:t xml:space="preserve">4% </w:t>
            </w:r>
          </w:p>
        </w:tc>
      </w:tr>
    </w:tbl>
    <w:p w:rsidR="00522AF6" w:rsidRPr="009179EE" w:rsidRDefault="00522AF6" w:rsidP="00522AF6"/>
    <w:p w:rsidR="00522AF6" w:rsidRPr="009179EE" w:rsidRDefault="00522AF6" w:rsidP="00522AF6">
      <w:r w:rsidRPr="009179EE">
        <w:t xml:space="preserve">The top five primary issues in </w:t>
      </w:r>
      <w:r w:rsidRPr="009179EE">
        <w:rPr>
          <w:lang w:eastAsia="en-NZ" w:bidi="ar-SA"/>
        </w:rPr>
        <w:t xml:space="preserve">Jan–Jun 2015 </w:t>
      </w:r>
      <w:r w:rsidRPr="009179EE">
        <w:t xml:space="preserve">are similar to primary issues reported in previous periods. </w:t>
      </w:r>
      <w:r>
        <w:t>‘M</w:t>
      </w:r>
      <w:r w:rsidRPr="009179EE">
        <w:t xml:space="preserve">issed/incorrect/delayed diagnosis’ and ‘inadequate/inappropriate clinical treatment’ are consistently the most common primary issues across all periods. </w:t>
      </w:r>
    </w:p>
    <w:p w:rsidR="00522AF6" w:rsidRPr="009179EE" w:rsidRDefault="00522AF6" w:rsidP="00522AF6"/>
    <w:p w:rsidR="00522AF6" w:rsidRPr="009179EE" w:rsidRDefault="00522AF6" w:rsidP="00522AF6">
      <w:pPr>
        <w:pStyle w:val="Heading3"/>
      </w:pPr>
      <w:bookmarkStart w:id="22" w:name="_Toc426462634"/>
      <w:bookmarkStart w:id="23" w:name="_Toc431224715"/>
      <w:r w:rsidRPr="009179EE">
        <w:t>3.2</w:t>
      </w:r>
      <w:r w:rsidRPr="009179EE">
        <w:tab/>
        <w:t>All complaint  issues</w:t>
      </w:r>
      <w:bookmarkEnd w:id="22"/>
      <w:bookmarkEnd w:id="23"/>
    </w:p>
    <w:p w:rsidR="00522AF6" w:rsidRPr="009179EE" w:rsidRDefault="00522AF6" w:rsidP="00522AF6">
      <w:pPr>
        <w:rPr>
          <w:rFonts w:ascii="Calibri" w:hAnsi="Calibri"/>
          <w:szCs w:val="22"/>
        </w:rPr>
      </w:pPr>
      <w:r w:rsidRPr="009179EE">
        <w:rPr>
          <w:rFonts w:ascii="Calibri" w:hAnsi="Calibri"/>
          <w:szCs w:val="22"/>
        </w:rPr>
        <w:t>As well as the primary complaint issue, up to six additional other complaint issues are identified for each complaint received by HDC. Table 8 includes these additional complaint issues as well as the primary complaint issues to show all issues identified in complaints received. Complaint issues listed in only one complaint are classified as ‘other’.</w:t>
      </w:r>
    </w:p>
    <w:p w:rsidR="00522AF6" w:rsidRPr="009179EE" w:rsidRDefault="00522AF6" w:rsidP="00522AF6">
      <w:pPr>
        <w:rPr>
          <w:rFonts w:ascii="Calibri" w:hAnsi="Calibri"/>
          <w:szCs w:val="22"/>
        </w:rPr>
      </w:pPr>
    </w:p>
    <w:p w:rsidR="00522AF6" w:rsidRPr="009179EE" w:rsidRDefault="00522AF6" w:rsidP="00522AF6">
      <w:pPr>
        <w:rPr>
          <w:rFonts w:ascii="Calibri" w:hAnsi="Calibri"/>
          <w:szCs w:val="22"/>
        </w:rPr>
      </w:pPr>
      <w:r w:rsidRPr="009179EE">
        <w:rPr>
          <w:rFonts w:ascii="Calibri" w:hAnsi="Calibri"/>
          <w:szCs w:val="22"/>
        </w:rPr>
        <w:t>On analysis of all issues identified in complaints about DHBs, the five most common issues were ‘inadequate/inappropriate clinical treatment’ (39.3%), ‘failure to communicate effectively with consumer’ (33.7%), ‘inadequate/inappropriate examination/assessment’ (27.8%),  ‘inadequate response to the consumer’s complaint by the DHB’ (26.7%), ‘missed/incorrect/delayed diagnosis’ (24.9%),  ‘disrespectful manner/attitude’ (23.9%), and ‘failure to communicate e</w:t>
      </w:r>
      <w:r>
        <w:rPr>
          <w:rFonts w:ascii="Calibri" w:hAnsi="Calibri"/>
          <w:szCs w:val="22"/>
        </w:rPr>
        <w:t>ffectively with family’ (21.9%).</w:t>
      </w:r>
      <w:r w:rsidRPr="009179EE">
        <w:rPr>
          <w:rFonts w:ascii="Calibri" w:hAnsi="Calibri"/>
          <w:szCs w:val="22"/>
        </w:rPr>
        <w:t xml:space="preserve"> This is broadly similar to what was seen in </w:t>
      </w:r>
      <w:r w:rsidRPr="009179EE">
        <w:rPr>
          <w:lang w:eastAsia="en-NZ" w:bidi="ar-SA"/>
        </w:rPr>
        <w:t>Jul–Dec 2014.</w:t>
      </w:r>
    </w:p>
    <w:p w:rsidR="00522AF6" w:rsidRPr="009179EE" w:rsidRDefault="00522AF6" w:rsidP="00522AF6">
      <w:pPr>
        <w:rPr>
          <w:rFonts w:ascii="Calibri" w:hAnsi="Calibri"/>
          <w:szCs w:val="22"/>
        </w:rPr>
      </w:pPr>
      <w:r w:rsidRPr="009179EE">
        <w:rPr>
          <w:rFonts w:ascii="Calibri" w:hAnsi="Calibri"/>
          <w:szCs w:val="22"/>
        </w:rPr>
        <w:t xml:space="preserve">  </w:t>
      </w:r>
    </w:p>
    <w:p w:rsidR="00522AF6" w:rsidRPr="009179EE" w:rsidRDefault="00522AF6" w:rsidP="00522AF6">
      <w:pPr>
        <w:jc w:val="left"/>
        <w:rPr>
          <w:rFonts w:ascii="Calibri" w:hAnsi="Calibri"/>
          <w:szCs w:val="22"/>
        </w:rPr>
      </w:pPr>
      <w:r w:rsidRPr="009179EE">
        <w:rPr>
          <w:rFonts w:ascii="Calibri" w:hAnsi="Calibri"/>
          <w:szCs w:val="22"/>
        </w:rPr>
        <w:t>Also similar to last period, many complaints involved issues with a consumer’s care/treatment, such as ‘inadequate coordination of care/treatment’ (18.3%), ‘unexpected treatment outcome’ (17.5%), ‘inadequate/inappropriate testing’ (17.0%), ‘inadequate/inappropriate follow-up’ (14.4%), ‘inadequate/delayed discharge/transfer</w:t>
      </w:r>
      <w:r>
        <w:rPr>
          <w:rFonts w:ascii="Calibri" w:hAnsi="Calibri"/>
          <w:szCs w:val="22"/>
        </w:rPr>
        <w:t>’</w:t>
      </w:r>
      <w:r w:rsidRPr="009179EE">
        <w:rPr>
          <w:rFonts w:ascii="Calibri" w:hAnsi="Calibri"/>
          <w:szCs w:val="22"/>
        </w:rPr>
        <w:t xml:space="preserve"> (13.9%) and ‘delay in treatment’ (13.9%).</w:t>
      </w: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b/>
          <w:szCs w:val="22"/>
        </w:rPr>
      </w:pPr>
    </w:p>
    <w:p w:rsidR="00522AF6" w:rsidRPr="009179EE" w:rsidRDefault="00522AF6" w:rsidP="00522AF6">
      <w:pPr>
        <w:widowControl w:val="0"/>
        <w:rPr>
          <w:rFonts w:ascii="Calibri" w:hAnsi="Calibri"/>
          <w:szCs w:val="22"/>
        </w:rPr>
      </w:pPr>
      <w:r w:rsidRPr="009179EE">
        <w:rPr>
          <w:rFonts w:ascii="Calibri" w:hAnsi="Calibri"/>
          <w:b/>
          <w:szCs w:val="22"/>
        </w:rPr>
        <w:t xml:space="preserve">Table 8. </w:t>
      </w:r>
      <w:r w:rsidRPr="009179EE">
        <w:rPr>
          <w:rFonts w:ascii="Calibri" w:hAnsi="Calibri"/>
          <w:szCs w:val="22"/>
        </w:rPr>
        <w:t>All issues identified in complaints</w:t>
      </w:r>
    </w:p>
    <w:p w:rsidR="00522AF6" w:rsidRPr="009179EE" w:rsidRDefault="00522AF6" w:rsidP="00522AF6">
      <w:pPr>
        <w:widowControl w:val="0"/>
        <w:rPr>
          <w:rFonts w:ascii="Calibri" w:hAnsi="Calibri"/>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522AF6" w:rsidRPr="009179EE" w:rsidTr="0082619D">
        <w:trPr>
          <w:tblHeader/>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keepNext/>
              <w:keepLines/>
              <w:tabs>
                <w:tab w:val="left" w:pos="1440"/>
                <w:tab w:val="decimal" w:pos="4320"/>
              </w:tabs>
              <w:spacing w:before="120"/>
              <w:jc w:val="left"/>
              <w:outlineLvl w:val="0"/>
              <w:rPr>
                <w:rFonts w:ascii="Calibri" w:hAnsi="Calibri"/>
                <w:b/>
                <w:szCs w:val="22"/>
              </w:rPr>
            </w:pPr>
            <w:r w:rsidRPr="009179EE">
              <w:rPr>
                <w:rFonts w:ascii="Calibri" w:hAnsi="Calibri"/>
                <w:b/>
                <w:szCs w:val="22"/>
              </w:rPr>
              <w:t xml:space="preserve">All issues in complaints </w:t>
            </w:r>
          </w:p>
        </w:tc>
        <w:tc>
          <w:tcPr>
            <w:tcW w:w="1701"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keepNext/>
              <w:keepLines/>
              <w:tabs>
                <w:tab w:val="left" w:pos="1440"/>
                <w:tab w:val="decimal" w:pos="4320"/>
              </w:tabs>
              <w:spacing w:before="120"/>
              <w:jc w:val="center"/>
              <w:outlineLvl w:val="0"/>
              <w:rPr>
                <w:rFonts w:ascii="Calibri" w:hAnsi="Calibri"/>
                <w:b/>
                <w:szCs w:val="22"/>
              </w:rPr>
            </w:pPr>
            <w:r w:rsidRPr="009179EE">
              <w:rPr>
                <w:rFonts w:ascii="Calibri" w:hAnsi="Calibri"/>
                <w:b/>
                <w:szCs w:val="22"/>
              </w:rPr>
              <w:t xml:space="preserve">Number of complaints </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keepNext/>
              <w:keepLines/>
              <w:tabs>
                <w:tab w:val="left" w:pos="1440"/>
                <w:tab w:val="decimal" w:pos="4320"/>
              </w:tabs>
              <w:spacing w:before="120"/>
              <w:jc w:val="center"/>
              <w:outlineLvl w:val="0"/>
              <w:rPr>
                <w:rFonts w:ascii="Calibri" w:hAnsi="Calibri"/>
                <w:b/>
                <w:szCs w:val="22"/>
              </w:rPr>
            </w:pPr>
            <w:r w:rsidRPr="009179EE">
              <w:rPr>
                <w:rFonts w:ascii="Calibri" w:hAnsi="Calibri"/>
                <w:b/>
                <w:szCs w:val="22"/>
              </w:rPr>
              <w:t>Percentage</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22AF6" w:rsidRPr="009179EE" w:rsidRDefault="00522AF6" w:rsidP="0082619D">
            <w:pPr>
              <w:keepNext/>
              <w:keepLines/>
              <w:rPr>
                <w:rFonts w:ascii="Calibri" w:hAnsi="Calibri" w:cs="Calibri"/>
                <w:b/>
                <w:i/>
                <w:color w:val="000000"/>
                <w:szCs w:val="22"/>
              </w:rPr>
            </w:pPr>
            <w:r w:rsidRPr="009179EE">
              <w:rPr>
                <w:rFonts w:ascii="Calibri" w:hAnsi="Calibri" w:cs="Calibri"/>
                <w:b/>
                <w:i/>
                <w:color w:val="000000"/>
                <w:szCs w:val="22"/>
              </w:rPr>
              <w:t>Access/Funding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keepNext/>
              <w:keepLines/>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keepNext/>
              <w:keepLines/>
              <w:jc w:val="center"/>
              <w:rPr>
                <w:rFonts w:ascii="Calibri" w:hAnsi="Calibri" w:cs="Calibri"/>
                <w:b/>
                <w:i/>
                <w:color w:val="000000"/>
                <w:szCs w:val="22"/>
              </w:rPr>
            </w:pP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keepNext/>
              <w:keepLines/>
              <w:tabs>
                <w:tab w:val="left" w:pos="176"/>
              </w:tabs>
              <w:ind w:left="176"/>
              <w:jc w:val="left"/>
              <w:rPr>
                <w:rFonts w:ascii="Calibri" w:hAnsi="Calibri" w:cs="Calibri"/>
                <w:color w:val="000000"/>
                <w:szCs w:val="22"/>
              </w:rPr>
            </w:pPr>
            <w:r w:rsidRPr="009179EE">
              <w:rPr>
                <w:rFonts w:ascii="Calibri" w:hAnsi="Calibri" w:cs="Calibri"/>
                <w:color w:val="000000"/>
                <w:szCs w:val="22"/>
              </w:rPr>
              <w:t>ACC compensation issue</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0.8%</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keepNext/>
              <w:keepLines/>
              <w:tabs>
                <w:tab w:val="left" w:pos="176"/>
              </w:tabs>
              <w:ind w:left="176"/>
              <w:jc w:val="left"/>
              <w:rPr>
                <w:rFonts w:ascii="Calibri" w:hAnsi="Calibri" w:cs="Calibri"/>
                <w:color w:val="000000"/>
                <w:szCs w:val="22"/>
              </w:rPr>
            </w:pPr>
            <w:r w:rsidRPr="009179EE">
              <w:rPr>
                <w:rFonts w:ascii="Calibri" w:hAnsi="Calibri" w:cs="Calibri"/>
                <w:color w:val="000000"/>
                <w:szCs w:val="22"/>
              </w:rPr>
              <w:t>Lack of access to services</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31</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8.0%</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keepNext/>
              <w:keepLines/>
              <w:ind w:left="720" w:hanging="544"/>
              <w:rPr>
                <w:rFonts w:ascii="Calibri" w:hAnsi="Calibri" w:cs="Calibri"/>
                <w:color w:val="000000"/>
                <w:szCs w:val="22"/>
              </w:rPr>
            </w:pPr>
            <w:r w:rsidRPr="009179EE">
              <w:rPr>
                <w:rFonts w:ascii="Calibri" w:hAnsi="Calibri" w:cs="Calibri"/>
                <w:color w:val="000000"/>
                <w:szCs w:val="22"/>
              </w:rPr>
              <w:t>Lack of access to subsidies/funding</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1.8%</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keepNext/>
              <w:keepLines/>
              <w:tabs>
                <w:tab w:val="left" w:pos="176"/>
              </w:tabs>
              <w:ind w:left="176"/>
              <w:rPr>
                <w:rFonts w:ascii="Calibri" w:hAnsi="Calibri" w:cs="Calibri"/>
                <w:color w:val="000000"/>
                <w:szCs w:val="22"/>
              </w:rPr>
            </w:pPr>
            <w:r w:rsidRPr="009179EE">
              <w:rPr>
                <w:rFonts w:ascii="Calibri" w:hAnsi="Calibri" w:cs="Calibri"/>
                <w:color w:val="000000"/>
                <w:szCs w:val="22"/>
              </w:rPr>
              <w:t>Waiting list/prioritisation issue</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28</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7.2%</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22AF6" w:rsidRPr="009179EE" w:rsidRDefault="00522AF6" w:rsidP="0082619D">
            <w:pPr>
              <w:keepNext/>
              <w:keepLines/>
              <w:rPr>
                <w:rFonts w:ascii="Calibri" w:hAnsi="Calibri" w:cs="Calibri"/>
                <w:b/>
                <w:i/>
                <w:color w:val="000000"/>
                <w:szCs w:val="22"/>
              </w:rPr>
            </w:pPr>
            <w:r w:rsidRPr="009179EE">
              <w:rPr>
                <w:rFonts w:ascii="Calibri" w:hAnsi="Calibri" w:cs="Calibri"/>
                <w:b/>
                <w:i/>
                <w:color w:val="000000"/>
                <w:szCs w:val="22"/>
              </w:rPr>
              <w:t>Boundary violation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keepNext/>
              <w:keepLines/>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keepNext/>
              <w:keepLines/>
              <w:jc w:val="center"/>
              <w:rPr>
                <w:rFonts w:ascii="Calibri" w:hAnsi="Calibri" w:cs="Calibri"/>
                <w:b/>
                <w:i/>
                <w:color w:val="000000"/>
                <w:szCs w:val="22"/>
              </w:rPr>
            </w:pP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keepNext/>
              <w:keepLines/>
              <w:tabs>
                <w:tab w:val="left" w:pos="176"/>
              </w:tabs>
              <w:ind w:left="176"/>
              <w:rPr>
                <w:rFonts w:ascii="Calibri" w:hAnsi="Calibri" w:cs="Calibri"/>
                <w:color w:val="000000"/>
                <w:szCs w:val="22"/>
              </w:rPr>
            </w:pPr>
            <w:r w:rsidRPr="009179EE">
              <w:rPr>
                <w:rFonts w:ascii="Calibri" w:hAnsi="Calibri" w:cs="Calibri"/>
                <w:color w:val="000000"/>
                <w:szCs w:val="22"/>
              </w:rPr>
              <w:t>Inappropriate sexual communication</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0.8%</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keepNext/>
              <w:keepLines/>
              <w:tabs>
                <w:tab w:val="left" w:pos="176"/>
              </w:tabs>
              <w:ind w:left="176"/>
              <w:rPr>
                <w:rFonts w:ascii="Calibri" w:hAnsi="Calibri" w:cs="Calibri"/>
                <w:color w:val="000000"/>
                <w:szCs w:val="22"/>
              </w:rPr>
            </w:pPr>
            <w:r w:rsidRPr="009179EE">
              <w:rPr>
                <w:rFonts w:ascii="Calibri" w:hAnsi="Calibri" w:cs="Calibri"/>
                <w:color w:val="000000"/>
                <w:szCs w:val="22"/>
              </w:rPr>
              <w:t>Inappropriate sexual physical contact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0.3%</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22AF6" w:rsidRPr="009179EE" w:rsidRDefault="00522AF6" w:rsidP="0082619D">
            <w:pPr>
              <w:keepNext/>
              <w:keepLines/>
              <w:tabs>
                <w:tab w:val="left" w:pos="176"/>
              </w:tabs>
              <w:jc w:val="left"/>
              <w:rPr>
                <w:rFonts w:ascii="Calibri" w:hAnsi="Calibri" w:cs="Calibri"/>
                <w:b/>
                <w:i/>
                <w:color w:val="000000"/>
                <w:szCs w:val="22"/>
              </w:rPr>
            </w:pPr>
            <w:r w:rsidRPr="009179EE">
              <w:rPr>
                <w:rFonts w:ascii="Calibri" w:hAnsi="Calibri" w:cs="Calibri"/>
                <w:b/>
                <w:i/>
                <w:color w:val="000000"/>
                <w:szCs w:val="22"/>
              </w:rPr>
              <w:t>Care/Treatment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keepNext/>
              <w:keepLines/>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keepNext/>
              <w:keepLines/>
              <w:jc w:val="center"/>
              <w:rPr>
                <w:rFonts w:ascii="Calibri" w:hAnsi="Calibri" w:cs="Calibri"/>
                <w:b/>
                <w:i/>
                <w:color w:val="000000"/>
                <w:szCs w:val="22"/>
              </w:rPr>
            </w:pP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keepNext/>
              <w:keepLines/>
              <w:tabs>
                <w:tab w:val="left" w:pos="176"/>
              </w:tabs>
              <w:ind w:left="176"/>
              <w:rPr>
                <w:rFonts w:ascii="Calibri" w:hAnsi="Calibri" w:cs="Calibri"/>
                <w:color w:val="000000"/>
                <w:szCs w:val="22"/>
              </w:rPr>
            </w:pPr>
            <w:r w:rsidRPr="009179EE">
              <w:rPr>
                <w:rFonts w:ascii="Calibri" w:hAnsi="Calibri" w:cs="Calibri"/>
                <w:color w:val="000000"/>
                <w:szCs w:val="22"/>
              </w:rPr>
              <w:t>Delay in treatment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54</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13.9%</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keepNext/>
              <w:keepLines/>
              <w:tabs>
                <w:tab w:val="left" w:pos="176"/>
              </w:tabs>
              <w:ind w:left="176"/>
              <w:rPr>
                <w:rFonts w:ascii="Calibri" w:hAnsi="Calibri" w:cs="Calibri"/>
                <w:color w:val="000000"/>
                <w:szCs w:val="22"/>
              </w:rPr>
            </w:pPr>
            <w:r w:rsidRPr="009179EE">
              <w:rPr>
                <w:rFonts w:ascii="Calibri" w:hAnsi="Calibri" w:cs="Calibri"/>
                <w:color w:val="000000"/>
                <w:szCs w:val="22"/>
              </w:rPr>
              <w:t>Delayed/inadequate/inappropriate referral</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43</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keepNext/>
              <w:keepLines/>
              <w:jc w:val="center"/>
              <w:rPr>
                <w:rFonts w:ascii="Calibri" w:hAnsi="Calibri" w:cs="Calibri"/>
                <w:color w:val="000000"/>
                <w:szCs w:val="22"/>
              </w:rPr>
            </w:pPr>
            <w:r w:rsidRPr="009179EE">
              <w:rPr>
                <w:rFonts w:ascii="Calibri" w:hAnsi="Calibri" w:cs="Calibri"/>
                <w:color w:val="000000"/>
                <w:szCs w:val="22"/>
              </w:rPr>
              <w:t>11.1%</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tabs>
                <w:tab w:val="left" w:pos="204"/>
              </w:tabs>
              <w:ind w:firstLine="176"/>
              <w:rPr>
                <w:rFonts w:ascii="Calibri" w:hAnsi="Calibri" w:cs="Calibri"/>
                <w:color w:val="000000"/>
                <w:szCs w:val="22"/>
              </w:rPr>
            </w:pPr>
            <w:r w:rsidRPr="009179EE">
              <w:rPr>
                <w:rFonts w:ascii="Calibri" w:hAnsi="Calibri" w:cs="Calibri"/>
                <w:color w:val="000000"/>
                <w:szCs w:val="22"/>
              </w:rPr>
              <w:t>Inadequate coordination of care/treatment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71</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18.3%</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keepNext/>
              <w:keepLines/>
              <w:tabs>
                <w:tab w:val="left" w:pos="176"/>
                <w:tab w:val="left" w:pos="1440"/>
                <w:tab w:val="decimal" w:pos="4320"/>
              </w:tabs>
              <w:ind w:left="176"/>
              <w:jc w:val="left"/>
              <w:outlineLvl w:val="0"/>
              <w:rPr>
                <w:rFonts w:ascii="Calibri" w:hAnsi="Calibri"/>
                <w:szCs w:val="22"/>
              </w:rPr>
            </w:pPr>
            <w:r w:rsidRPr="009179EE">
              <w:rPr>
                <w:rFonts w:ascii="Calibri" w:hAnsi="Calibri"/>
                <w:szCs w:val="22"/>
              </w:rPr>
              <w:t>Inadequate/inappropriate clinical treatment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153</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39.3%</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keepNext/>
              <w:keepLines/>
              <w:tabs>
                <w:tab w:val="left" w:pos="176"/>
                <w:tab w:val="left" w:pos="1440"/>
                <w:tab w:val="decimal" w:pos="4320"/>
              </w:tabs>
              <w:ind w:left="176"/>
              <w:jc w:val="left"/>
              <w:outlineLvl w:val="0"/>
              <w:rPr>
                <w:rFonts w:ascii="Calibri" w:hAnsi="Calibri"/>
                <w:szCs w:val="22"/>
              </w:rPr>
            </w:pPr>
            <w:r w:rsidRPr="009179EE">
              <w:rPr>
                <w:rFonts w:ascii="Calibri" w:hAnsi="Calibri"/>
                <w:szCs w:val="22"/>
              </w:rPr>
              <w:t>Inadequate/inappropriate examination/assessment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108</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27.8%</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tabs>
                <w:tab w:val="left" w:pos="176"/>
              </w:tabs>
              <w:ind w:left="176"/>
              <w:rPr>
                <w:rFonts w:ascii="Calibri" w:hAnsi="Calibri" w:cs="Calibri"/>
                <w:color w:val="000000"/>
                <w:szCs w:val="22"/>
              </w:rPr>
            </w:pPr>
            <w:r w:rsidRPr="009179EE">
              <w:rPr>
                <w:rFonts w:ascii="Calibri" w:hAnsi="Calibri" w:cs="Calibri"/>
                <w:color w:val="000000"/>
                <w:szCs w:val="22"/>
              </w:rPr>
              <w:t>Inadequate/inappropriate follow-up</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56</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14.4%</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tabs>
                <w:tab w:val="left" w:pos="176"/>
              </w:tabs>
              <w:ind w:left="176"/>
              <w:rPr>
                <w:rFonts w:ascii="Calibri" w:hAnsi="Calibri" w:cs="Calibri"/>
                <w:color w:val="000000"/>
                <w:szCs w:val="22"/>
              </w:rPr>
            </w:pPr>
            <w:r w:rsidRPr="009179EE">
              <w:rPr>
                <w:rFonts w:ascii="Calibri" w:hAnsi="Calibri" w:cs="Calibri"/>
                <w:color w:val="000000"/>
                <w:szCs w:val="22"/>
              </w:rPr>
              <w:t>Inadequate/inappropriate monitoring</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37</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9.5%</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tabs>
                <w:tab w:val="left" w:pos="176"/>
              </w:tabs>
              <w:ind w:left="176"/>
              <w:rPr>
                <w:rFonts w:ascii="Calibri" w:hAnsi="Calibri" w:cs="Calibri"/>
                <w:color w:val="000000"/>
                <w:szCs w:val="22"/>
              </w:rPr>
            </w:pPr>
            <w:r w:rsidRPr="009179EE">
              <w:rPr>
                <w:rFonts w:ascii="Calibri" w:hAnsi="Calibri" w:cs="Calibri"/>
                <w:color w:val="000000"/>
                <w:szCs w:val="22"/>
              </w:rPr>
              <w:t>Inadequate/inappropriate non-clinical care</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32</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8.2%</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tabs>
                <w:tab w:val="left" w:pos="176"/>
              </w:tabs>
              <w:ind w:left="176"/>
              <w:rPr>
                <w:rFonts w:ascii="Calibri" w:hAnsi="Calibri" w:cs="Calibri"/>
                <w:color w:val="000000"/>
                <w:szCs w:val="22"/>
              </w:rPr>
            </w:pPr>
            <w:r w:rsidRPr="009179EE">
              <w:rPr>
                <w:rFonts w:ascii="Calibri" w:hAnsi="Calibri" w:cs="Calibri"/>
                <w:color w:val="000000"/>
                <w:szCs w:val="22"/>
              </w:rPr>
              <w:t>Inadequate/inappropriate testing</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66</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17.0%</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keepNext/>
              <w:keepLines/>
              <w:tabs>
                <w:tab w:val="left" w:pos="176"/>
                <w:tab w:val="left" w:pos="1440"/>
                <w:tab w:val="decimal" w:pos="4320"/>
              </w:tabs>
              <w:ind w:firstLine="176"/>
              <w:jc w:val="left"/>
              <w:outlineLvl w:val="0"/>
              <w:rPr>
                <w:rFonts w:ascii="Calibri" w:hAnsi="Calibri"/>
                <w:szCs w:val="22"/>
              </w:rPr>
            </w:pPr>
            <w:r w:rsidRPr="009179EE">
              <w:rPr>
                <w:rFonts w:ascii="Calibri" w:hAnsi="Calibri"/>
                <w:szCs w:val="22"/>
              </w:rPr>
              <w:t>Inappropriate admission/failure to admit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2.8%</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Inappropriate/delayed discharge/transfer</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54</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13.9%</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vAlign w:val="bottom"/>
          </w:tcPr>
          <w:p w:rsidR="00522AF6" w:rsidRPr="009179EE" w:rsidRDefault="00522AF6" w:rsidP="0082619D">
            <w:pPr>
              <w:tabs>
                <w:tab w:val="left" w:pos="176"/>
              </w:tabs>
              <w:ind w:left="176"/>
              <w:rPr>
                <w:rFonts w:ascii="Calibri" w:hAnsi="Calibri" w:cs="Calibri"/>
                <w:color w:val="000000"/>
                <w:szCs w:val="22"/>
              </w:rPr>
            </w:pPr>
            <w:r w:rsidRPr="009179EE">
              <w:rPr>
                <w:rFonts w:ascii="Calibri" w:hAnsi="Calibri" w:cs="Calibri"/>
                <w:color w:val="000000"/>
                <w:szCs w:val="22"/>
              </w:rPr>
              <w:t>Inappropriate withdrawal of treatment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13</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3.3%</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Missed/incorrect/delayed diagnosis</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97</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24.9%</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Personal privacy not respected</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1.0%</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Refusal to assist/attend</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15</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3.9%</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Refusal to treat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2.1%</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Rough/painful care or treatment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25</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6.4%</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Unexpected treatment outcome</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68</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17.5%</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Unnecessary treatment/over-servicing</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2.1%</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ind w:left="176" w:hanging="176"/>
              <w:jc w:val="left"/>
              <w:outlineLvl w:val="0"/>
              <w:rPr>
                <w:rFonts w:ascii="Calibri" w:hAnsi="Calibri"/>
                <w:b/>
                <w:i/>
                <w:szCs w:val="22"/>
              </w:rPr>
            </w:pPr>
            <w:r w:rsidRPr="009179EE">
              <w:rPr>
                <w:rFonts w:ascii="Calibri" w:hAnsi="Calibri"/>
                <w:b/>
                <w:i/>
                <w:szCs w:val="22"/>
              </w:rPr>
              <w:t>Communication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Disrespectful manner/attitude</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93</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23.9%</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Failure to accommodate cultural/language needs</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1.5%</w:t>
            </w:r>
          </w:p>
        </w:tc>
      </w:tr>
      <w:tr w:rsidR="00522AF6" w:rsidRPr="009179EE" w:rsidTr="0082619D">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Failure to communicate openly/honestly/effectively with consumer</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131</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33.7%</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Failure to communicate openly/honestly/effectively with family</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85</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21.9%</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Insensitive/inappropriate comments</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19</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4.9%</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jc w:val="left"/>
              <w:outlineLvl w:val="0"/>
              <w:rPr>
                <w:rFonts w:ascii="Calibri" w:hAnsi="Calibri"/>
                <w:b/>
                <w:i/>
                <w:szCs w:val="22"/>
              </w:rPr>
            </w:pPr>
            <w:r w:rsidRPr="009179EE">
              <w:rPr>
                <w:rFonts w:ascii="Calibri" w:hAnsi="Calibri"/>
                <w:b/>
                <w:i/>
                <w:szCs w:val="22"/>
              </w:rPr>
              <w:t>Complaints process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Inadequate response to complaint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26.7%</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jc w:val="left"/>
              <w:outlineLvl w:val="0"/>
              <w:rPr>
                <w:rFonts w:ascii="Calibri" w:hAnsi="Calibri"/>
                <w:b/>
                <w:i/>
                <w:szCs w:val="22"/>
              </w:rPr>
            </w:pPr>
            <w:r w:rsidRPr="009179EE">
              <w:rPr>
                <w:rFonts w:ascii="Calibri" w:hAnsi="Calibri"/>
                <w:b/>
                <w:i/>
                <w:szCs w:val="22"/>
              </w:rPr>
              <w:t>Consent/Information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Consent not obtained/adequate</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27</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6.9%</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Failure to assess capacity to consent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1.8%</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Inadequate information provided regarding adverse event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2.8%</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Inadequate information provided regarding condition</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14</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t>3.6%</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Inadequate information provided regarding fees/costs</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t>0.8%</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Inadequate information provided regarding options</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t>1.5%</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Inadequate information provided regarding results</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24</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t>6.2%</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Inadequate information provided regarding treatment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28</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t>7.2%</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Incorrect/misleading information provided</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25</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t>6.4%</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Issues regarding consent when consumer not competent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1.3%</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Issues with involuntary admission/treatment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13</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3.3%</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jc w:val="left"/>
              <w:outlineLvl w:val="0"/>
              <w:rPr>
                <w:rFonts w:ascii="Calibri" w:hAnsi="Calibri"/>
                <w:b/>
                <w:i/>
                <w:szCs w:val="22"/>
              </w:rPr>
            </w:pPr>
            <w:r w:rsidRPr="009179EE">
              <w:rPr>
                <w:rFonts w:ascii="Calibri" w:hAnsi="Calibri"/>
                <w:b/>
                <w:i/>
                <w:szCs w:val="22"/>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Delay/failure to disclose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0.8%</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Delay/failure to transfer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0.8%</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 xml:space="preserve">Inadequate/inaccurate documentation </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36</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9.3%</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Inappropriate maintenance/disposal of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0.8%</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jc w:val="left"/>
              <w:outlineLvl w:val="0"/>
              <w:rPr>
                <w:rFonts w:ascii="Calibri" w:hAnsi="Calibri"/>
                <w:b/>
                <w:i/>
                <w:szCs w:val="22"/>
              </w:rPr>
            </w:pPr>
            <w:r w:rsidRPr="009179EE">
              <w:rPr>
                <w:rFonts w:ascii="Calibri" w:hAnsi="Calibri"/>
                <w:b/>
                <w:i/>
                <w:szCs w:val="22"/>
              </w:rPr>
              <w:t>Facility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Cleanliness/hygiene issue</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t>1.3%</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Failure to follow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13</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t>3.3%</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General safety issue for consumer in facility</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t>3.1%</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Inadequate/inappropriate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19</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t>4.9%</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Issue with quality of aids/equipment</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t>2.3%</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Staffing/rostering/other HR issue</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t>2.8%</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Waiting times</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15</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t>3.9%</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left="176"/>
              <w:jc w:val="left"/>
              <w:outlineLvl w:val="0"/>
              <w:rPr>
                <w:rFonts w:ascii="Calibri" w:hAnsi="Calibri"/>
                <w:szCs w:val="22"/>
              </w:rPr>
            </w:pPr>
            <w:r w:rsidRPr="009179EE">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jc w:val="left"/>
              <w:outlineLvl w:val="0"/>
              <w:rPr>
                <w:rFonts w:ascii="Calibri" w:hAnsi="Calibri"/>
                <w:b/>
                <w:i/>
                <w:szCs w:val="22"/>
              </w:rPr>
            </w:pPr>
            <w:r w:rsidRPr="009179EE">
              <w:rPr>
                <w:rFonts w:ascii="Calibri" w:hAnsi="Calibri"/>
                <w:b/>
                <w:i/>
                <w:szCs w:val="22"/>
              </w:rPr>
              <w:t>Medication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Administration error</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1.3%</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Inappropriate administration</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1.5%</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Inappropriate prescribing</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33</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8.5%</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Prescribing error</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t>1.0%</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Refusal to prescribe/dispense/supply</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jc w:val="center"/>
            </w:pPr>
            <w:r w:rsidRPr="009179EE">
              <w:t>2.1%</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522AF6" w:rsidRPr="009179EE" w:rsidRDefault="00522AF6" w:rsidP="0082619D">
            <w:pPr>
              <w:widowControl w:val="0"/>
              <w:jc w:val="center"/>
              <w:rPr>
                <w:rFonts w:ascii="Calibri" w:hAnsi="Calibri" w:cs="Calibri"/>
                <w:color w:val="000000"/>
                <w:szCs w:val="22"/>
              </w:rPr>
            </w:pP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jc w:val="left"/>
              <w:outlineLvl w:val="0"/>
              <w:rPr>
                <w:rFonts w:ascii="Calibri" w:hAnsi="Calibri"/>
                <w:b/>
                <w:i/>
                <w:szCs w:val="22"/>
              </w:rPr>
            </w:pPr>
            <w:r w:rsidRPr="009179EE">
              <w:rPr>
                <w:rFonts w:ascii="Calibri" w:hAnsi="Calibri"/>
                <w:b/>
                <w:i/>
                <w:szCs w:val="22"/>
              </w:rPr>
              <w:t>Reports/Certificates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Inaccurate report/certificate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2.8%</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jc w:val="left"/>
              <w:outlineLvl w:val="0"/>
              <w:rPr>
                <w:rFonts w:ascii="Calibri" w:hAnsi="Calibri"/>
                <w:b/>
                <w:i/>
                <w:szCs w:val="22"/>
              </w:rPr>
            </w:pPr>
            <w:r w:rsidRPr="009179EE">
              <w:rPr>
                <w:rFonts w:ascii="Calibri" w:hAnsi="Calibri"/>
                <w:b/>
                <w:i/>
                <w:szCs w:val="22"/>
              </w:rPr>
              <w:t>Teamwork/Supervision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Delayed/inadequate/inappropriate handover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1.0%</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Inadequate supervision/oversight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1.0%</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jc w:val="left"/>
              <w:outlineLvl w:val="0"/>
              <w:rPr>
                <w:rFonts w:ascii="Calibri" w:hAnsi="Calibri"/>
                <w:b/>
                <w:i/>
                <w:szCs w:val="22"/>
              </w:rPr>
            </w:pPr>
            <w:r w:rsidRPr="009179EE">
              <w:rPr>
                <w:rFonts w:ascii="Calibri" w:hAnsi="Calibri"/>
                <w:b/>
                <w:i/>
                <w:szCs w:val="22"/>
              </w:rPr>
              <w:t>Other professional conduct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Failure to disclose/properly manage a conflict of interest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1.0%</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Inappropriate collection/use/disclosure of information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2.8%</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Threatening/bullying/harassing behaviour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1.5%</w:t>
            </w: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522AF6" w:rsidRPr="009179EE" w:rsidRDefault="00522AF6" w:rsidP="0082619D">
            <w:pPr>
              <w:widowControl w:val="0"/>
              <w:tabs>
                <w:tab w:val="left" w:pos="176"/>
                <w:tab w:val="left" w:pos="1440"/>
                <w:tab w:val="decimal" w:pos="4320"/>
              </w:tabs>
              <w:ind w:firstLine="176"/>
              <w:jc w:val="left"/>
              <w:outlineLvl w:val="0"/>
              <w:rPr>
                <w:rFonts w:ascii="Calibri" w:hAnsi="Calibri"/>
                <w:szCs w:val="22"/>
              </w:rPr>
            </w:pPr>
            <w:r w:rsidRPr="009179EE">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r w:rsidRPr="009179EE">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2AF6" w:rsidRPr="009179EE" w:rsidRDefault="00522AF6" w:rsidP="0082619D">
            <w:pPr>
              <w:widowControl w:val="0"/>
              <w:jc w:val="center"/>
              <w:rPr>
                <w:rFonts w:ascii="Calibri" w:hAnsi="Calibri" w:cs="Calibri"/>
                <w:color w:val="000000"/>
                <w:szCs w:val="22"/>
              </w:rPr>
            </w:pP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jc w:val="left"/>
              <w:outlineLvl w:val="0"/>
              <w:rPr>
                <w:rFonts w:ascii="Calibri" w:hAnsi="Calibri"/>
                <w:b/>
                <w:i/>
                <w:szCs w:val="22"/>
              </w:rPr>
            </w:pPr>
            <w:r w:rsidRPr="009179EE">
              <w:rPr>
                <w:rFonts w:ascii="Calibri" w:hAnsi="Calibri"/>
                <w:b/>
                <w:i/>
                <w:szCs w:val="22"/>
              </w:rPr>
              <w:t>Disability-specific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p>
        </w:tc>
      </w:tr>
      <w:tr w:rsidR="00522AF6" w:rsidRPr="009179EE" w:rsidTr="0082619D">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AF6" w:rsidRPr="009179EE" w:rsidRDefault="00522AF6" w:rsidP="0082619D">
            <w:pPr>
              <w:widowControl w:val="0"/>
              <w:tabs>
                <w:tab w:val="left" w:pos="176"/>
                <w:tab w:val="left" w:pos="1440"/>
                <w:tab w:val="decimal" w:pos="4320"/>
              </w:tabs>
              <w:jc w:val="left"/>
              <w:outlineLvl w:val="0"/>
              <w:rPr>
                <w:rFonts w:ascii="Calibri" w:hAnsi="Calibri"/>
                <w:b/>
                <w:i/>
                <w:szCs w:val="22"/>
              </w:rPr>
            </w:pPr>
            <w:r w:rsidRPr="009179EE">
              <w:rPr>
                <w:rFonts w:ascii="Calibri" w:hAnsi="Calibri"/>
                <w:b/>
                <w:i/>
                <w:szCs w:val="22"/>
              </w:rPr>
              <w:t>Other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r w:rsidRPr="009179EE">
              <w:rPr>
                <w:rFonts w:ascii="Calibri" w:hAnsi="Calibri" w:cs="Calibri"/>
                <w:b/>
                <w:i/>
                <w:color w:val="000000"/>
                <w:szCs w:val="22"/>
              </w:rPr>
              <w:t>13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2AF6" w:rsidRPr="009179EE" w:rsidRDefault="00522AF6" w:rsidP="0082619D">
            <w:pPr>
              <w:widowControl w:val="0"/>
              <w:jc w:val="center"/>
              <w:rPr>
                <w:rFonts w:ascii="Calibri" w:hAnsi="Calibri" w:cs="Calibri"/>
                <w:b/>
                <w:i/>
                <w:color w:val="000000"/>
                <w:szCs w:val="22"/>
              </w:rPr>
            </w:pPr>
          </w:p>
        </w:tc>
      </w:tr>
    </w:tbl>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Pr>
        <w:pStyle w:val="Heading3"/>
        <w:keepNext w:val="0"/>
        <w:widowControl w:val="0"/>
        <w:jc w:val="left"/>
      </w:pPr>
      <w:r w:rsidRPr="009179EE">
        <w:rPr>
          <w:rFonts w:ascii="Calibri" w:hAnsi="Calibri"/>
          <w:b/>
          <w:vanish/>
          <w:szCs w:val="22"/>
        </w:rPr>
        <w:cr/>
      </w:r>
      <w:r w:rsidRPr="009179EE">
        <w:rPr>
          <w:rFonts w:ascii="Calibri" w:hAnsi="Calibri"/>
          <w:b/>
          <w:vanish/>
          <w:szCs w:val="22"/>
          <w:highlight w:val="yellow"/>
        </w:rPr>
        <w:t>nappropriate/unlawful to ommon primary issues were inadequate/inappropriate treatment and missed/incorrect/delayed diagnosis</w:t>
      </w:r>
      <w:r w:rsidRPr="009179EE">
        <w:rPr>
          <w:rFonts w:ascii="Calibri" w:hAnsi="Calibri"/>
          <w:b/>
          <w:vanish/>
          <w:szCs w:val="22"/>
          <w:highlight w:val="yellow"/>
        </w:rPr>
        <w:pgNum/>
      </w:r>
      <w:r w:rsidRPr="009179EE">
        <w:rPr>
          <w:rFonts w:ascii="Calibri" w:hAnsi="Calibri"/>
          <w:b/>
          <w:vanish/>
          <w:szCs w:val="22"/>
          <w:highlight w:val="yellow"/>
        </w:rPr>
        <w:pgNum/>
      </w:r>
      <w:r w:rsidRPr="009179EE">
        <w:rPr>
          <w:rFonts w:ascii="Calibri" w:hAnsi="Calibri"/>
          <w:b/>
          <w:vanish/>
          <w:szCs w:val="22"/>
          <w:highlight w:val="yellow"/>
        </w:rPr>
        <w:pgNum/>
      </w:r>
      <w:bookmarkStart w:id="24" w:name="_Toc426462635"/>
      <w:bookmarkStart w:id="25" w:name="_Toc431224716"/>
      <w:r w:rsidRPr="009179EE">
        <w:t>3.3</w:t>
      </w:r>
      <w:r w:rsidRPr="009179EE">
        <w:tab/>
        <w:t>Service type and primary issues</w:t>
      </w:r>
      <w:bookmarkEnd w:id="24"/>
      <w:bookmarkEnd w:id="25"/>
    </w:p>
    <w:p w:rsidR="00522AF6" w:rsidRPr="009179EE" w:rsidRDefault="00522AF6" w:rsidP="00522AF6">
      <w:pPr>
        <w:keepNext/>
        <w:keepLines/>
        <w:spacing w:after="240"/>
      </w:pPr>
      <w:r w:rsidRPr="009179EE">
        <w:t>Table 9 shows the top three primary issues in complaints concerning the most commonly complained about service types. This is broadly similar to what was seen last period.</w:t>
      </w:r>
    </w:p>
    <w:p w:rsidR="00522AF6" w:rsidRPr="009179EE" w:rsidRDefault="00522AF6" w:rsidP="00522AF6">
      <w:pPr>
        <w:keepNext/>
        <w:keepLines/>
        <w:spacing w:after="120"/>
        <w:rPr>
          <w:szCs w:val="22"/>
        </w:rPr>
      </w:pPr>
      <w:r w:rsidRPr="009179EE">
        <w:rPr>
          <w:b/>
          <w:szCs w:val="22"/>
        </w:rPr>
        <w:t xml:space="preserve">Table 9. </w:t>
      </w:r>
      <w:r w:rsidRPr="009179EE">
        <w:rPr>
          <w:szCs w:val="22"/>
        </w:rPr>
        <w:t>Three most common primary issues in complaints by service type</w:t>
      </w:r>
    </w:p>
    <w:tbl>
      <w:tblPr>
        <w:tblW w:w="55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718"/>
        <w:gridCol w:w="1415"/>
        <w:gridCol w:w="710"/>
        <w:gridCol w:w="1417"/>
        <w:gridCol w:w="710"/>
        <w:gridCol w:w="1417"/>
        <w:gridCol w:w="569"/>
        <w:gridCol w:w="1413"/>
        <w:gridCol w:w="565"/>
      </w:tblGrid>
      <w:tr w:rsidR="00522AF6" w:rsidRPr="009179EE" w:rsidTr="0082619D">
        <w:tc>
          <w:tcPr>
            <w:tcW w:w="1017" w:type="pct"/>
            <w:gridSpan w:val="2"/>
          </w:tcPr>
          <w:p w:rsidR="00522AF6" w:rsidRPr="009179EE" w:rsidRDefault="00522AF6" w:rsidP="0082619D">
            <w:pPr>
              <w:keepNext/>
              <w:keepLines/>
              <w:tabs>
                <w:tab w:val="left" w:pos="1440"/>
                <w:tab w:val="decimal" w:pos="4320"/>
              </w:tabs>
              <w:ind w:left="139" w:right="10" w:firstLine="13"/>
              <w:jc w:val="center"/>
              <w:outlineLvl w:val="0"/>
              <w:rPr>
                <w:rFonts w:ascii="Calibri" w:hAnsi="Calibri"/>
                <w:b/>
                <w:sz w:val="20"/>
                <w:szCs w:val="20"/>
              </w:rPr>
            </w:pPr>
            <w:r w:rsidRPr="009179EE">
              <w:rPr>
                <w:rFonts w:ascii="Calibri" w:hAnsi="Calibri"/>
                <w:b/>
                <w:sz w:val="20"/>
                <w:szCs w:val="20"/>
              </w:rPr>
              <w:t>Surgery</w:t>
            </w:r>
          </w:p>
          <w:p w:rsidR="00522AF6" w:rsidRPr="009179EE" w:rsidRDefault="00522AF6" w:rsidP="0082619D">
            <w:pPr>
              <w:keepNext/>
              <w:keepLines/>
              <w:tabs>
                <w:tab w:val="left" w:pos="1440"/>
                <w:tab w:val="decimal" w:pos="4320"/>
              </w:tabs>
              <w:ind w:left="139" w:right="10" w:firstLine="13"/>
              <w:jc w:val="center"/>
              <w:outlineLvl w:val="0"/>
              <w:rPr>
                <w:rFonts w:ascii="Calibri" w:hAnsi="Calibri"/>
                <w:b/>
                <w:sz w:val="20"/>
                <w:szCs w:val="20"/>
              </w:rPr>
            </w:pPr>
            <w:r w:rsidRPr="009179EE">
              <w:rPr>
                <w:rFonts w:ascii="Calibri" w:hAnsi="Calibri"/>
                <w:b/>
                <w:sz w:val="20"/>
                <w:szCs w:val="20"/>
              </w:rPr>
              <w:t>n=102</w:t>
            </w:r>
          </w:p>
        </w:tc>
        <w:tc>
          <w:tcPr>
            <w:tcW w:w="1030" w:type="pct"/>
            <w:gridSpan w:val="2"/>
          </w:tcPr>
          <w:p w:rsidR="00522AF6" w:rsidRPr="009179EE" w:rsidRDefault="00522AF6" w:rsidP="0082619D">
            <w:pPr>
              <w:keepNext/>
              <w:keepLines/>
              <w:tabs>
                <w:tab w:val="left" w:pos="1440"/>
                <w:tab w:val="decimal" w:pos="4320"/>
              </w:tabs>
              <w:ind w:left="139" w:right="10" w:firstLine="13"/>
              <w:jc w:val="center"/>
              <w:outlineLvl w:val="0"/>
              <w:rPr>
                <w:rFonts w:ascii="Calibri" w:hAnsi="Calibri"/>
                <w:b/>
                <w:sz w:val="20"/>
                <w:szCs w:val="20"/>
              </w:rPr>
            </w:pPr>
            <w:r w:rsidRPr="009179EE">
              <w:rPr>
                <w:rFonts w:ascii="Calibri" w:hAnsi="Calibri"/>
                <w:b/>
                <w:sz w:val="20"/>
                <w:szCs w:val="20"/>
              </w:rPr>
              <w:t>Mental health</w:t>
            </w:r>
          </w:p>
          <w:p w:rsidR="00522AF6" w:rsidRPr="009179EE" w:rsidRDefault="00522AF6" w:rsidP="0082619D">
            <w:pPr>
              <w:keepNext/>
              <w:keepLines/>
              <w:tabs>
                <w:tab w:val="left" w:pos="1440"/>
                <w:tab w:val="decimal" w:pos="4320"/>
              </w:tabs>
              <w:ind w:left="139" w:right="10" w:firstLine="13"/>
              <w:jc w:val="center"/>
              <w:outlineLvl w:val="0"/>
              <w:rPr>
                <w:rFonts w:ascii="Calibri" w:hAnsi="Calibri"/>
                <w:b/>
                <w:sz w:val="20"/>
                <w:szCs w:val="20"/>
              </w:rPr>
            </w:pPr>
            <w:r w:rsidRPr="009179EE">
              <w:rPr>
                <w:rFonts w:ascii="Calibri" w:hAnsi="Calibri"/>
                <w:b/>
                <w:sz w:val="20"/>
                <w:szCs w:val="20"/>
              </w:rPr>
              <w:t>n=75</w:t>
            </w:r>
          </w:p>
        </w:tc>
        <w:tc>
          <w:tcPr>
            <w:tcW w:w="1031" w:type="pct"/>
            <w:gridSpan w:val="2"/>
          </w:tcPr>
          <w:p w:rsidR="00522AF6" w:rsidRPr="009179EE" w:rsidRDefault="00522AF6" w:rsidP="0082619D">
            <w:pPr>
              <w:keepNext/>
              <w:keepLines/>
              <w:tabs>
                <w:tab w:val="left" w:pos="1440"/>
                <w:tab w:val="decimal" w:pos="4320"/>
              </w:tabs>
              <w:ind w:left="139" w:right="10" w:firstLine="13"/>
              <w:jc w:val="center"/>
              <w:outlineLvl w:val="0"/>
              <w:rPr>
                <w:rFonts w:ascii="Calibri" w:hAnsi="Calibri"/>
                <w:b/>
                <w:sz w:val="20"/>
                <w:szCs w:val="20"/>
              </w:rPr>
            </w:pPr>
            <w:r w:rsidRPr="009179EE">
              <w:rPr>
                <w:rFonts w:ascii="Calibri" w:hAnsi="Calibri"/>
                <w:b/>
                <w:sz w:val="20"/>
                <w:szCs w:val="20"/>
              </w:rPr>
              <w:t>General medicine</w:t>
            </w:r>
          </w:p>
          <w:p w:rsidR="00522AF6" w:rsidRPr="009179EE" w:rsidRDefault="00522AF6" w:rsidP="0082619D">
            <w:pPr>
              <w:keepNext/>
              <w:keepLines/>
              <w:tabs>
                <w:tab w:val="left" w:pos="1440"/>
                <w:tab w:val="decimal" w:pos="4320"/>
              </w:tabs>
              <w:ind w:left="139" w:right="10" w:firstLine="13"/>
              <w:jc w:val="center"/>
              <w:outlineLvl w:val="0"/>
              <w:rPr>
                <w:rFonts w:ascii="Calibri" w:hAnsi="Calibri"/>
                <w:b/>
                <w:sz w:val="20"/>
                <w:szCs w:val="20"/>
              </w:rPr>
            </w:pPr>
            <w:r w:rsidRPr="009179EE">
              <w:rPr>
                <w:rFonts w:ascii="Calibri" w:hAnsi="Calibri"/>
                <w:b/>
                <w:sz w:val="20"/>
                <w:szCs w:val="20"/>
              </w:rPr>
              <w:t>n=59</w:t>
            </w:r>
          </w:p>
        </w:tc>
        <w:tc>
          <w:tcPr>
            <w:tcW w:w="963" w:type="pct"/>
            <w:gridSpan w:val="2"/>
          </w:tcPr>
          <w:p w:rsidR="00522AF6" w:rsidRPr="009179EE" w:rsidRDefault="00522AF6" w:rsidP="0082619D">
            <w:pPr>
              <w:keepNext/>
              <w:keepLines/>
              <w:tabs>
                <w:tab w:val="left" w:pos="1440"/>
                <w:tab w:val="decimal" w:pos="4320"/>
              </w:tabs>
              <w:ind w:left="139" w:right="10" w:firstLine="13"/>
              <w:jc w:val="center"/>
              <w:outlineLvl w:val="0"/>
              <w:rPr>
                <w:rFonts w:ascii="Calibri" w:hAnsi="Calibri"/>
                <w:b/>
                <w:sz w:val="20"/>
                <w:szCs w:val="20"/>
              </w:rPr>
            </w:pPr>
            <w:r w:rsidRPr="009179EE">
              <w:rPr>
                <w:rFonts w:ascii="Calibri" w:hAnsi="Calibri"/>
                <w:b/>
                <w:sz w:val="20"/>
                <w:szCs w:val="20"/>
              </w:rPr>
              <w:t>Accident &amp; emergency</w:t>
            </w:r>
          </w:p>
          <w:p w:rsidR="00522AF6" w:rsidRPr="009179EE" w:rsidRDefault="00522AF6" w:rsidP="0082619D">
            <w:pPr>
              <w:keepNext/>
              <w:keepLines/>
              <w:tabs>
                <w:tab w:val="left" w:pos="1440"/>
                <w:tab w:val="decimal" w:pos="4320"/>
              </w:tabs>
              <w:ind w:left="139" w:right="10" w:firstLine="13"/>
              <w:jc w:val="center"/>
              <w:outlineLvl w:val="0"/>
              <w:rPr>
                <w:rFonts w:ascii="Calibri" w:hAnsi="Calibri"/>
                <w:b/>
                <w:sz w:val="20"/>
                <w:szCs w:val="20"/>
              </w:rPr>
            </w:pPr>
            <w:r w:rsidRPr="009179EE">
              <w:rPr>
                <w:rFonts w:ascii="Calibri" w:hAnsi="Calibri"/>
                <w:b/>
                <w:sz w:val="20"/>
                <w:szCs w:val="20"/>
              </w:rPr>
              <w:t>n=68</w:t>
            </w:r>
          </w:p>
        </w:tc>
        <w:tc>
          <w:tcPr>
            <w:tcW w:w="960" w:type="pct"/>
            <w:gridSpan w:val="2"/>
            <w:shd w:val="clear" w:color="auto" w:fill="auto"/>
          </w:tcPr>
          <w:p w:rsidR="00522AF6" w:rsidRPr="009179EE" w:rsidRDefault="00522AF6" w:rsidP="0082619D">
            <w:pPr>
              <w:keepNext/>
              <w:keepLines/>
              <w:jc w:val="center"/>
              <w:rPr>
                <w:b/>
                <w:sz w:val="20"/>
                <w:szCs w:val="20"/>
              </w:rPr>
            </w:pPr>
            <w:r w:rsidRPr="009179EE">
              <w:rPr>
                <w:b/>
                <w:sz w:val="20"/>
                <w:szCs w:val="20"/>
              </w:rPr>
              <w:t>Maternity</w:t>
            </w:r>
          </w:p>
          <w:p w:rsidR="00522AF6" w:rsidRPr="009179EE" w:rsidRDefault="00522AF6" w:rsidP="0082619D">
            <w:pPr>
              <w:keepNext/>
              <w:keepLines/>
              <w:jc w:val="center"/>
              <w:rPr>
                <w:b/>
                <w:sz w:val="20"/>
                <w:szCs w:val="20"/>
              </w:rPr>
            </w:pPr>
            <w:r w:rsidRPr="009179EE">
              <w:rPr>
                <w:b/>
                <w:sz w:val="20"/>
                <w:szCs w:val="20"/>
              </w:rPr>
              <w:t>n=29</w:t>
            </w:r>
          </w:p>
        </w:tc>
      </w:tr>
      <w:tr w:rsidR="00522AF6" w:rsidRPr="009179EE" w:rsidTr="0082619D">
        <w:tc>
          <w:tcPr>
            <w:tcW w:w="669" w:type="pct"/>
            <w:vAlign w:val="center"/>
          </w:tcPr>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Missed/</w:t>
            </w:r>
          </w:p>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incorrect/</w:t>
            </w:r>
          </w:p>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delayed diagnosis</w:t>
            </w:r>
          </w:p>
        </w:tc>
        <w:tc>
          <w:tcPr>
            <w:tcW w:w="347"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14%</w:t>
            </w:r>
          </w:p>
        </w:tc>
        <w:tc>
          <w:tcPr>
            <w:tcW w:w="686" w:type="pct"/>
            <w:vAlign w:val="center"/>
          </w:tcPr>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Inadequate/</w:t>
            </w:r>
          </w:p>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inappropriate treatment</w:t>
            </w:r>
          </w:p>
        </w:tc>
        <w:tc>
          <w:tcPr>
            <w:tcW w:w="343"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20%</w:t>
            </w:r>
          </w:p>
        </w:tc>
        <w:tc>
          <w:tcPr>
            <w:tcW w:w="687" w:type="pct"/>
            <w:vAlign w:val="center"/>
          </w:tcPr>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Missed/</w:t>
            </w:r>
          </w:p>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incorrect/</w:t>
            </w:r>
          </w:p>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delayed diagnosis</w:t>
            </w:r>
          </w:p>
        </w:tc>
        <w:tc>
          <w:tcPr>
            <w:tcW w:w="343"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29%</w:t>
            </w:r>
          </w:p>
        </w:tc>
        <w:tc>
          <w:tcPr>
            <w:tcW w:w="687" w:type="pct"/>
            <w:vAlign w:val="center"/>
          </w:tcPr>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Missed/</w:t>
            </w:r>
          </w:p>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incorrect/</w:t>
            </w:r>
          </w:p>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delayed diagnosis</w:t>
            </w:r>
          </w:p>
        </w:tc>
        <w:tc>
          <w:tcPr>
            <w:tcW w:w="275"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38%</w:t>
            </w:r>
          </w:p>
        </w:tc>
        <w:tc>
          <w:tcPr>
            <w:tcW w:w="685" w:type="pct"/>
            <w:shd w:val="clear" w:color="auto" w:fill="auto"/>
            <w:vAlign w:val="center"/>
          </w:tcPr>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Missed/</w:t>
            </w:r>
          </w:p>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incorrect/</w:t>
            </w:r>
          </w:p>
          <w:p w:rsidR="00522AF6" w:rsidRPr="009179EE" w:rsidRDefault="00522AF6" w:rsidP="0082619D">
            <w:pPr>
              <w:keepNext/>
              <w:keepLines/>
              <w:jc w:val="left"/>
              <w:rPr>
                <w:sz w:val="20"/>
                <w:szCs w:val="20"/>
              </w:rPr>
            </w:pPr>
            <w:r w:rsidRPr="009179EE">
              <w:rPr>
                <w:rFonts w:ascii="Calibri" w:hAnsi="Calibri"/>
                <w:sz w:val="20"/>
                <w:szCs w:val="20"/>
              </w:rPr>
              <w:t>delayed diagnosis</w:t>
            </w:r>
          </w:p>
        </w:tc>
        <w:tc>
          <w:tcPr>
            <w:tcW w:w="275" w:type="pct"/>
            <w:shd w:val="clear" w:color="auto" w:fill="auto"/>
            <w:vAlign w:val="center"/>
          </w:tcPr>
          <w:p w:rsidR="00522AF6" w:rsidRPr="009179EE" w:rsidRDefault="00522AF6" w:rsidP="0082619D">
            <w:pPr>
              <w:keepNext/>
              <w:keepLines/>
              <w:rPr>
                <w:sz w:val="20"/>
                <w:szCs w:val="20"/>
              </w:rPr>
            </w:pPr>
            <w:r w:rsidRPr="009179EE">
              <w:rPr>
                <w:sz w:val="20"/>
                <w:szCs w:val="20"/>
              </w:rPr>
              <w:t>21%</w:t>
            </w:r>
          </w:p>
        </w:tc>
      </w:tr>
      <w:tr w:rsidR="00522AF6" w:rsidRPr="009179EE" w:rsidTr="0082619D">
        <w:tc>
          <w:tcPr>
            <w:tcW w:w="669" w:type="pct"/>
            <w:vAlign w:val="center"/>
          </w:tcPr>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Unexpected treatment outcome</w:t>
            </w:r>
          </w:p>
        </w:tc>
        <w:tc>
          <w:tcPr>
            <w:tcW w:w="347"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13%</w:t>
            </w:r>
          </w:p>
        </w:tc>
        <w:tc>
          <w:tcPr>
            <w:tcW w:w="686" w:type="pct"/>
            <w:vAlign w:val="center"/>
          </w:tcPr>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Issues with involuntary admission/</w:t>
            </w:r>
          </w:p>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treatment</w:t>
            </w:r>
          </w:p>
        </w:tc>
        <w:tc>
          <w:tcPr>
            <w:tcW w:w="343"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12%</w:t>
            </w:r>
          </w:p>
        </w:tc>
        <w:tc>
          <w:tcPr>
            <w:tcW w:w="687" w:type="pct"/>
            <w:vAlign w:val="center"/>
          </w:tcPr>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Unexpected treatment outcome</w:t>
            </w:r>
          </w:p>
        </w:tc>
        <w:tc>
          <w:tcPr>
            <w:tcW w:w="343"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8%</w:t>
            </w:r>
          </w:p>
        </w:tc>
        <w:tc>
          <w:tcPr>
            <w:tcW w:w="687" w:type="pct"/>
            <w:vAlign w:val="center"/>
          </w:tcPr>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Inadequate/</w:t>
            </w:r>
          </w:p>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inappropriate treatment</w:t>
            </w:r>
          </w:p>
        </w:tc>
        <w:tc>
          <w:tcPr>
            <w:tcW w:w="275"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12%</w:t>
            </w:r>
          </w:p>
        </w:tc>
        <w:tc>
          <w:tcPr>
            <w:tcW w:w="685" w:type="pct"/>
            <w:shd w:val="clear" w:color="auto" w:fill="auto"/>
            <w:vAlign w:val="center"/>
          </w:tcPr>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Inadequate/</w:t>
            </w:r>
          </w:p>
          <w:p w:rsidR="00522AF6" w:rsidRPr="009179EE" w:rsidRDefault="00522AF6" w:rsidP="0082619D">
            <w:pPr>
              <w:keepNext/>
              <w:keepLines/>
              <w:jc w:val="left"/>
            </w:pPr>
            <w:r w:rsidRPr="009179EE">
              <w:rPr>
                <w:rFonts w:ascii="Calibri" w:hAnsi="Calibri"/>
                <w:sz w:val="20"/>
                <w:szCs w:val="20"/>
              </w:rPr>
              <w:t>inappropriate treatment</w:t>
            </w:r>
          </w:p>
        </w:tc>
        <w:tc>
          <w:tcPr>
            <w:tcW w:w="275" w:type="pct"/>
            <w:shd w:val="clear" w:color="auto" w:fill="auto"/>
            <w:vAlign w:val="center"/>
          </w:tcPr>
          <w:p w:rsidR="00522AF6" w:rsidRPr="009179EE" w:rsidRDefault="00522AF6" w:rsidP="0082619D">
            <w:pPr>
              <w:keepNext/>
              <w:keepLines/>
              <w:rPr>
                <w:sz w:val="20"/>
                <w:szCs w:val="20"/>
              </w:rPr>
            </w:pPr>
            <w:r w:rsidRPr="009179EE">
              <w:rPr>
                <w:sz w:val="20"/>
                <w:szCs w:val="20"/>
              </w:rPr>
              <w:t>17%</w:t>
            </w:r>
          </w:p>
        </w:tc>
      </w:tr>
      <w:tr w:rsidR="00522AF6" w:rsidRPr="009179EE" w:rsidTr="0082619D">
        <w:tc>
          <w:tcPr>
            <w:tcW w:w="669" w:type="pct"/>
            <w:vAlign w:val="center"/>
          </w:tcPr>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Waiting list/</w:t>
            </w:r>
          </w:p>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prioritisation issue &amp;</w:t>
            </w:r>
            <w:r>
              <w:rPr>
                <w:rFonts w:ascii="Calibri" w:hAnsi="Calibri"/>
                <w:sz w:val="20"/>
                <w:szCs w:val="20"/>
              </w:rPr>
              <w:t xml:space="preserve"> I</w:t>
            </w:r>
            <w:r w:rsidRPr="009179EE">
              <w:rPr>
                <w:rFonts w:ascii="Calibri" w:hAnsi="Calibri"/>
                <w:sz w:val="20"/>
                <w:szCs w:val="20"/>
              </w:rPr>
              <w:t>nadequate treatment</w:t>
            </w:r>
          </w:p>
        </w:tc>
        <w:tc>
          <w:tcPr>
            <w:tcW w:w="347"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12%</w:t>
            </w:r>
          </w:p>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each</w:t>
            </w:r>
          </w:p>
        </w:tc>
        <w:tc>
          <w:tcPr>
            <w:tcW w:w="686" w:type="pct"/>
            <w:vAlign w:val="center"/>
          </w:tcPr>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Inadequate</w:t>
            </w:r>
          </w:p>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 xml:space="preserve"> assessment &amp; Failure to communicate effectively with family</w:t>
            </w:r>
          </w:p>
        </w:tc>
        <w:tc>
          <w:tcPr>
            <w:tcW w:w="343"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8%</w:t>
            </w:r>
          </w:p>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each</w:t>
            </w:r>
          </w:p>
        </w:tc>
        <w:tc>
          <w:tcPr>
            <w:tcW w:w="687" w:type="pct"/>
            <w:vAlign w:val="center"/>
          </w:tcPr>
          <w:p w:rsidR="00522AF6" w:rsidRPr="009179EE" w:rsidRDefault="00522AF6" w:rsidP="0082619D">
            <w:pPr>
              <w:keepNext/>
              <w:keepLines/>
              <w:tabs>
                <w:tab w:val="left" w:pos="1440"/>
                <w:tab w:val="decimal" w:pos="4320"/>
              </w:tabs>
              <w:jc w:val="left"/>
              <w:outlineLvl w:val="0"/>
              <w:rPr>
                <w:rFonts w:ascii="Calibri" w:hAnsi="Calibri"/>
                <w:sz w:val="20"/>
                <w:szCs w:val="20"/>
              </w:rPr>
            </w:pPr>
            <w:r w:rsidRPr="009179EE">
              <w:rPr>
                <w:rFonts w:ascii="Calibri" w:hAnsi="Calibri"/>
                <w:sz w:val="20"/>
                <w:szCs w:val="20"/>
              </w:rPr>
              <w:t>Inadequate treatment &amp; Failure to communicate effectively with family</w:t>
            </w:r>
          </w:p>
        </w:tc>
        <w:tc>
          <w:tcPr>
            <w:tcW w:w="343"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7%</w:t>
            </w:r>
          </w:p>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each</w:t>
            </w:r>
          </w:p>
        </w:tc>
        <w:tc>
          <w:tcPr>
            <w:tcW w:w="687" w:type="pct"/>
            <w:vAlign w:val="center"/>
          </w:tcPr>
          <w:p w:rsidR="00522AF6" w:rsidRPr="009179EE" w:rsidRDefault="00522AF6" w:rsidP="0082619D">
            <w:pPr>
              <w:keepNext/>
              <w:keepLines/>
              <w:tabs>
                <w:tab w:val="left" w:pos="1440"/>
                <w:tab w:val="decimal" w:pos="4320"/>
              </w:tabs>
              <w:spacing w:before="100" w:beforeAutospacing="1"/>
              <w:jc w:val="left"/>
              <w:outlineLvl w:val="0"/>
              <w:rPr>
                <w:rFonts w:ascii="Calibri" w:hAnsi="Calibri"/>
                <w:sz w:val="20"/>
                <w:szCs w:val="20"/>
              </w:rPr>
            </w:pPr>
            <w:r w:rsidRPr="009179EE">
              <w:rPr>
                <w:rFonts w:ascii="Calibri" w:hAnsi="Calibri"/>
                <w:sz w:val="20"/>
                <w:szCs w:val="20"/>
              </w:rPr>
              <w:t>Disrespectful attitude/</w:t>
            </w:r>
            <w:r w:rsidRPr="009179EE">
              <w:rPr>
                <w:rFonts w:ascii="Calibri" w:hAnsi="Calibri"/>
                <w:sz w:val="20"/>
                <w:szCs w:val="20"/>
              </w:rPr>
              <w:br/>
              <w:t>manner</w:t>
            </w:r>
          </w:p>
        </w:tc>
        <w:tc>
          <w:tcPr>
            <w:tcW w:w="275" w:type="pct"/>
            <w:vAlign w:val="center"/>
          </w:tcPr>
          <w:p w:rsidR="00522AF6" w:rsidRPr="009179EE" w:rsidRDefault="00522AF6" w:rsidP="0082619D">
            <w:pPr>
              <w:keepNext/>
              <w:keepLines/>
              <w:tabs>
                <w:tab w:val="left" w:pos="1440"/>
                <w:tab w:val="decimal" w:pos="4320"/>
              </w:tabs>
              <w:jc w:val="center"/>
              <w:outlineLvl w:val="0"/>
              <w:rPr>
                <w:rFonts w:ascii="Calibri" w:hAnsi="Calibri"/>
                <w:sz w:val="20"/>
                <w:szCs w:val="20"/>
              </w:rPr>
            </w:pPr>
            <w:r w:rsidRPr="009179EE">
              <w:rPr>
                <w:rFonts w:ascii="Calibri" w:hAnsi="Calibri"/>
                <w:sz w:val="20"/>
                <w:szCs w:val="20"/>
              </w:rPr>
              <w:t>9%</w:t>
            </w:r>
          </w:p>
        </w:tc>
        <w:tc>
          <w:tcPr>
            <w:tcW w:w="685" w:type="pct"/>
            <w:shd w:val="clear" w:color="auto" w:fill="auto"/>
            <w:vAlign w:val="center"/>
          </w:tcPr>
          <w:p w:rsidR="00522AF6" w:rsidRPr="009179EE" w:rsidRDefault="00522AF6" w:rsidP="0082619D">
            <w:pPr>
              <w:keepNext/>
              <w:keepLines/>
              <w:tabs>
                <w:tab w:val="left" w:pos="1440"/>
                <w:tab w:val="decimal" w:pos="4320"/>
              </w:tabs>
              <w:jc w:val="left"/>
              <w:outlineLvl w:val="0"/>
            </w:pPr>
            <w:r w:rsidRPr="009179EE">
              <w:rPr>
                <w:rFonts w:ascii="Calibri" w:hAnsi="Calibri"/>
                <w:sz w:val="20"/>
                <w:szCs w:val="20"/>
              </w:rPr>
              <w:t>Unexpected treatment outcome</w:t>
            </w:r>
          </w:p>
        </w:tc>
        <w:tc>
          <w:tcPr>
            <w:tcW w:w="275" w:type="pct"/>
            <w:shd w:val="clear" w:color="auto" w:fill="auto"/>
            <w:vAlign w:val="center"/>
          </w:tcPr>
          <w:p w:rsidR="00522AF6" w:rsidRPr="009179EE" w:rsidRDefault="00522AF6" w:rsidP="0082619D">
            <w:pPr>
              <w:keepNext/>
              <w:keepLines/>
              <w:rPr>
                <w:sz w:val="20"/>
                <w:szCs w:val="20"/>
              </w:rPr>
            </w:pPr>
            <w:r w:rsidRPr="009179EE">
              <w:rPr>
                <w:sz w:val="20"/>
                <w:szCs w:val="20"/>
              </w:rPr>
              <w:t>17%</w:t>
            </w:r>
          </w:p>
        </w:tc>
      </w:tr>
    </w:tbl>
    <w:p w:rsidR="00522AF6" w:rsidRPr="009179EE" w:rsidRDefault="00522AF6" w:rsidP="00522AF6">
      <w:pPr>
        <w:pStyle w:val="Heading2"/>
        <w:spacing w:before="360"/>
        <w:rPr>
          <w:lang w:val="en-NZ"/>
        </w:rPr>
      </w:pPr>
      <w:bookmarkStart w:id="26" w:name="_Toc414442656"/>
      <w:bookmarkStart w:id="27" w:name="_Toc414461837"/>
      <w:bookmarkStart w:id="28" w:name="_Toc414875835"/>
      <w:bookmarkStart w:id="29" w:name="_Toc414886545"/>
      <w:bookmarkStart w:id="30" w:name="_Toc414952830"/>
      <w:bookmarkStart w:id="31" w:name="_Toc415039801"/>
      <w:bookmarkStart w:id="32" w:name="_Toc415046457"/>
      <w:bookmarkStart w:id="33" w:name="_Toc415135529"/>
      <w:bookmarkStart w:id="34" w:name="_Toc415147243"/>
      <w:bookmarkStart w:id="35" w:name="_Toc415153517"/>
      <w:bookmarkStart w:id="36" w:name="_Toc415221218"/>
      <w:bookmarkStart w:id="37" w:name="_Toc426462636"/>
      <w:bookmarkStart w:id="38" w:name="_Toc431224717"/>
      <w:bookmarkStart w:id="39" w:name="_Toc383707794"/>
      <w:r w:rsidRPr="009179EE">
        <w:rPr>
          <w:lang w:val="en-NZ"/>
        </w:rPr>
        <w:t>4.0</w:t>
      </w:r>
      <w:r w:rsidRPr="009179EE">
        <w:rPr>
          <w:lang w:val="en-NZ"/>
        </w:rPr>
        <w:tab/>
        <w:t>Complaints closed</w:t>
      </w:r>
      <w:bookmarkEnd w:id="26"/>
      <w:bookmarkEnd w:id="27"/>
      <w:bookmarkEnd w:id="28"/>
      <w:bookmarkEnd w:id="29"/>
      <w:bookmarkEnd w:id="30"/>
      <w:bookmarkEnd w:id="31"/>
      <w:bookmarkEnd w:id="32"/>
      <w:bookmarkEnd w:id="33"/>
      <w:bookmarkEnd w:id="34"/>
      <w:bookmarkEnd w:id="35"/>
      <w:bookmarkEnd w:id="36"/>
      <w:bookmarkEnd w:id="37"/>
      <w:bookmarkEnd w:id="38"/>
      <w:r w:rsidRPr="009179EE">
        <w:rPr>
          <w:lang w:val="en-NZ"/>
        </w:rPr>
        <w:t xml:space="preserve"> </w:t>
      </w:r>
    </w:p>
    <w:p w:rsidR="00522AF6" w:rsidRPr="009179EE" w:rsidRDefault="00522AF6" w:rsidP="00522AF6">
      <w:pPr>
        <w:pStyle w:val="Heading3"/>
      </w:pPr>
      <w:bookmarkStart w:id="40" w:name="_Toc426462637"/>
      <w:bookmarkStart w:id="41" w:name="_Toc431224718"/>
      <w:r w:rsidRPr="009179EE">
        <w:t>4.1</w:t>
      </w:r>
      <w:r w:rsidRPr="009179EE">
        <w:tab/>
        <w:t>Number of complaints closed</w:t>
      </w:r>
      <w:bookmarkEnd w:id="40"/>
      <w:bookmarkEnd w:id="41"/>
    </w:p>
    <w:p w:rsidR="00522AF6" w:rsidRPr="009179EE" w:rsidRDefault="00522AF6" w:rsidP="00522AF6">
      <w:r w:rsidRPr="009179EE">
        <w:t xml:space="preserve">HDC closed </w:t>
      </w:r>
      <w:r w:rsidRPr="009179EE">
        <w:rPr>
          <w:b/>
        </w:rPr>
        <w:t>410</w:t>
      </w:r>
      <w:r w:rsidRPr="009179EE">
        <w:rPr>
          <w:rStyle w:val="FootnoteReference"/>
          <w:rFonts w:ascii="Calibri" w:hAnsi="Calibri"/>
          <w:szCs w:val="22"/>
        </w:rPr>
        <w:footnoteReference w:id="4"/>
      </w:r>
      <w:r w:rsidRPr="009179EE">
        <w:rPr>
          <w:b/>
        </w:rPr>
        <w:t xml:space="preserve"> </w:t>
      </w:r>
      <w:r w:rsidRPr="009179EE">
        <w:t>complaints involving DHBs in the period Jan–Jun 2015. Table 10 shows the number of complaints closed in previous six month periods.</w:t>
      </w:r>
    </w:p>
    <w:p w:rsidR="00522AF6" w:rsidRPr="009179EE" w:rsidRDefault="00522AF6" w:rsidP="00522AF6"/>
    <w:p w:rsidR="00522AF6" w:rsidRPr="009179EE" w:rsidRDefault="00522AF6" w:rsidP="00522AF6">
      <w:pPr>
        <w:spacing w:after="120"/>
      </w:pPr>
      <w:r w:rsidRPr="009179EE">
        <w:rPr>
          <w:b/>
        </w:rPr>
        <w:t>Table 10.</w:t>
      </w:r>
      <w:r w:rsidRPr="009179EE">
        <w:t xml:space="preserve"> Number of complaints about DHBs closed in last five</w:t>
      </w:r>
      <w:r>
        <w:t xml:space="preserve"> financial</w:t>
      </w:r>
      <w:r w:rsidRPr="009179EE">
        <w:t xml:space="preserve"> years</w:t>
      </w:r>
    </w:p>
    <w:tbl>
      <w:tblPr>
        <w:tblStyle w:val="TableGrid"/>
        <w:tblpPr w:leftFromText="180" w:rightFromText="180" w:vertAnchor="text" w:horzAnchor="margin" w:tblpX="114" w:tblpY="105"/>
        <w:tblW w:w="4937" w:type="pct"/>
        <w:tblLayout w:type="fixed"/>
        <w:tblLook w:val="04A0" w:firstRow="1" w:lastRow="0" w:firstColumn="1" w:lastColumn="0" w:noHBand="0" w:noVBand="1"/>
      </w:tblPr>
      <w:tblGrid>
        <w:gridCol w:w="1238"/>
        <w:gridCol w:w="710"/>
        <w:gridCol w:w="711"/>
        <w:gridCol w:w="564"/>
        <w:gridCol w:w="709"/>
        <w:gridCol w:w="709"/>
        <w:gridCol w:w="709"/>
        <w:gridCol w:w="711"/>
        <w:gridCol w:w="709"/>
        <w:gridCol w:w="709"/>
        <w:gridCol w:w="1004"/>
        <w:gridCol w:w="698"/>
      </w:tblGrid>
      <w:tr w:rsidR="00522AF6" w:rsidRPr="009179EE" w:rsidTr="0082619D">
        <w:tc>
          <w:tcPr>
            <w:tcW w:w="675" w:type="pct"/>
            <w:vAlign w:val="center"/>
          </w:tcPr>
          <w:p w:rsidR="00522AF6" w:rsidRPr="009179EE" w:rsidRDefault="00522AF6" w:rsidP="0082619D">
            <w:pPr>
              <w:keepNext/>
              <w:keepLines/>
              <w:jc w:val="left"/>
              <w:rPr>
                <w:rFonts w:ascii="Calibri" w:hAnsi="Calibri"/>
                <w:b/>
                <w:sz w:val="20"/>
                <w:szCs w:val="20"/>
              </w:rPr>
            </w:pPr>
          </w:p>
          <w:p w:rsidR="00522AF6" w:rsidRPr="009179EE" w:rsidRDefault="00522AF6" w:rsidP="0082619D">
            <w:pPr>
              <w:keepNext/>
              <w:keepLines/>
              <w:jc w:val="left"/>
              <w:rPr>
                <w:rFonts w:ascii="Calibri" w:hAnsi="Calibri"/>
                <w:b/>
                <w:sz w:val="20"/>
                <w:szCs w:val="20"/>
              </w:rPr>
            </w:pPr>
          </w:p>
        </w:tc>
        <w:tc>
          <w:tcPr>
            <w:tcW w:w="387" w:type="pct"/>
            <w:vAlign w:val="center"/>
          </w:tcPr>
          <w:p w:rsidR="00522AF6" w:rsidRPr="009179EE" w:rsidRDefault="00522AF6" w:rsidP="0082619D">
            <w:pPr>
              <w:keepNext/>
              <w:keepLines/>
              <w:jc w:val="center"/>
              <w:rPr>
                <w:rFonts w:ascii="Calibri" w:hAnsi="Calibri"/>
                <w:b/>
                <w:sz w:val="20"/>
                <w:szCs w:val="20"/>
              </w:rPr>
            </w:pPr>
            <w:r w:rsidRPr="009179EE">
              <w:rPr>
                <w:rFonts w:ascii="Calibri" w:hAnsi="Calibri"/>
                <w:b/>
                <w:sz w:val="20"/>
                <w:szCs w:val="20"/>
              </w:rPr>
              <w:t>Jul–Dec 10</w:t>
            </w:r>
          </w:p>
        </w:tc>
        <w:tc>
          <w:tcPr>
            <w:tcW w:w="387" w:type="pct"/>
            <w:vAlign w:val="center"/>
          </w:tcPr>
          <w:p w:rsidR="00522AF6" w:rsidRPr="009179EE" w:rsidRDefault="00522AF6" w:rsidP="0082619D">
            <w:pPr>
              <w:keepNext/>
              <w:keepLines/>
              <w:jc w:val="center"/>
              <w:rPr>
                <w:rFonts w:ascii="Calibri" w:hAnsi="Calibri"/>
                <w:b/>
                <w:sz w:val="20"/>
                <w:szCs w:val="20"/>
              </w:rPr>
            </w:pPr>
            <w:r w:rsidRPr="009179EE">
              <w:rPr>
                <w:rFonts w:ascii="Calibri" w:hAnsi="Calibri"/>
                <w:b/>
                <w:sz w:val="20"/>
                <w:szCs w:val="20"/>
              </w:rPr>
              <w:t>Jan–Jun 11</w:t>
            </w:r>
          </w:p>
        </w:tc>
        <w:tc>
          <w:tcPr>
            <w:tcW w:w="307"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Jul–Dec 11</w:t>
            </w:r>
          </w:p>
        </w:tc>
        <w:tc>
          <w:tcPr>
            <w:tcW w:w="386"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Jan–Jun 12</w:t>
            </w:r>
          </w:p>
        </w:tc>
        <w:tc>
          <w:tcPr>
            <w:tcW w:w="386"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Jul–Dec 12</w:t>
            </w:r>
          </w:p>
        </w:tc>
        <w:tc>
          <w:tcPr>
            <w:tcW w:w="386"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Jan–Jun 13</w:t>
            </w:r>
          </w:p>
        </w:tc>
        <w:tc>
          <w:tcPr>
            <w:tcW w:w="387"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Jul–Dec 13</w:t>
            </w:r>
          </w:p>
        </w:tc>
        <w:tc>
          <w:tcPr>
            <w:tcW w:w="386"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 xml:space="preserve">Jan–Jun </w:t>
            </w:r>
            <w:r w:rsidRPr="009179EE">
              <w:rPr>
                <w:rFonts w:ascii="Calibri" w:hAnsi="Calibri"/>
                <w:b/>
                <w:sz w:val="20"/>
                <w:szCs w:val="20"/>
              </w:rPr>
              <w:br/>
              <w:t>14</w:t>
            </w:r>
          </w:p>
        </w:tc>
        <w:tc>
          <w:tcPr>
            <w:tcW w:w="386"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 xml:space="preserve">Jul–Dec </w:t>
            </w:r>
            <w:r w:rsidRPr="009179EE">
              <w:rPr>
                <w:rFonts w:ascii="Calibri" w:hAnsi="Calibri"/>
                <w:b/>
                <w:sz w:val="20"/>
                <w:szCs w:val="20"/>
              </w:rPr>
              <w:br/>
              <w:t>14</w:t>
            </w:r>
          </w:p>
        </w:tc>
        <w:tc>
          <w:tcPr>
            <w:tcW w:w="547" w:type="pct"/>
          </w:tcPr>
          <w:p w:rsidR="00522AF6" w:rsidRPr="009179EE" w:rsidRDefault="00522AF6" w:rsidP="0082619D">
            <w:pPr>
              <w:keepNext/>
              <w:keepLines/>
              <w:spacing w:before="120"/>
              <w:jc w:val="center"/>
              <w:rPr>
                <w:rFonts w:ascii="Calibri" w:hAnsi="Calibri"/>
                <w:b/>
                <w:sz w:val="20"/>
                <w:szCs w:val="20"/>
              </w:rPr>
            </w:pPr>
            <w:r w:rsidRPr="009179EE">
              <w:rPr>
                <w:rFonts w:ascii="Calibri" w:hAnsi="Calibri"/>
                <w:b/>
                <w:sz w:val="20"/>
                <w:szCs w:val="20"/>
              </w:rPr>
              <w:t xml:space="preserve">Average of last 4  </w:t>
            </w:r>
          </w:p>
          <w:p w:rsidR="00522AF6" w:rsidRPr="009179EE" w:rsidRDefault="00522AF6" w:rsidP="0082619D">
            <w:pPr>
              <w:keepNext/>
              <w:keepLines/>
              <w:jc w:val="center"/>
              <w:rPr>
                <w:rFonts w:ascii="Calibri" w:hAnsi="Calibri"/>
                <w:b/>
                <w:sz w:val="20"/>
                <w:szCs w:val="20"/>
              </w:rPr>
            </w:pPr>
            <w:r w:rsidRPr="009179EE">
              <w:rPr>
                <w:rFonts w:ascii="Calibri" w:hAnsi="Calibri"/>
                <w:b/>
                <w:sz w:val="20"/>
                <w:szCs w:val="20"/>
              </w:rPr>
              <w:t>6-month periods</w:t>
            </w:r>
          </w:p>
        </w:tc>
        <w:tc>
          <w:tcPr>
            <w:tcW w:w="380" w:type="pct"/>
          </w:tcPr>
          <w:p w:rsidR="00522AF6" w:rsidRPr="009179EE" w:rsidRDefault="00522AF6" w:rsidP="0082619D">
            <w:pPr>
              <w:keepNext/>
              <w:keepLines/>
              <w:spacing w:before="180"/>
              <w:jc w:val="center"/>
              <w:rPr>
                <w:rFonts w:ascii="Calibri" w:hAnsi="Calibri"/>
                <w:b/>
                <w:sz w:val="20"/>
                <w:szCs w:val="20"/>
              </w:rPr>
            </w:pPr>
            <w:r w:rsidRPr="009179EE">
              <w:rPr>
                <w:rFonts w:ascii="Calibri" w:hAnsi="Calibri"/>
                <w:b/>
                <w:sz w:val="20"/>
                <w:szCs w:val="20"/>
              </w:rPr>
              <w:t>Jan–Jun</w:t>
            </w:r>
          </w:p>
          <w:p w:rsidR="00522AF6" w:rsidRPr="009179EE" w:rsidRDefault="00522AF6" w:rsidP="0082619D">
            <w:pPr>
              <w:keepNext/>
              <w:keepLines/>
              <w:jc w:val="center"/>
              <w:rPr>
                <w:rFonts w:ascii="Calibri" w:hAnsi="Calibri"/>
                <w:b/>
                <w:sz w:val="20"/>
                <w:szCs w:val="20"/>
              </w:rPr>
            </w:pPr>
            <w:r w:rsidRPr="009179EE">
              <w:rPr>
                <w:rFonts w:ascii="Calibri" w:hAnsi="Calibri"/>
                <w:b/>
                <w:sz w:val="20"/>
                <w:szCs w:val="20"/>
              </w:rPr>
              <w:t>15</w:t>
            </w:r>
          </w:p>
        </w:tc>
      </w:tr>
      <w:tr w:rsidR="00522AF6" w:rsidRPr="009179EE" w:rsidTr="0082619D">
        <w:tc>
          <w:tcPr>
            <w:tcW w:w="675" w:type="pct"/>
            <w:vAlign w:val="center"/>
          </w:tcPr>
          <w:p w:rsidR="00522AF6" w:rsidRPr="009179EE" w:rsidRDefault="00522AF6" w:rsidP="0082619D">
            <w:pPr>
              <w:keepNext/>
              <w:keepLines/>
              <w:spacing w:after="40"/>
              <w:jc w:val="left"/>
              <w:rPr>
                <w:rFonts w:ascii="Calibri" w:hAnsi="Calibri"/>
                <w:b/>
                <w:sz w:val="20"/>
                <w:szCs w:val="20"/>
              </w:rPr>
            </w:pPr>
            <w:r w:rsidRPr="009179EE">
              <w:rPr>
                <w:rFonts w:ascii="Calibri" w:hAnsi="Calibri"/>
                <w:b/>
                <w:sz w:val="20"/>
                <w:szCs w:val="20"/>
              </w:rPr>
              <w:t>Number of complaints closed</w:t>
            </w:r>
          </w:p>
        </w:tc>
        <w:tc>
          <w:tcPr>
            <w:tcW w:w="387"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257</w:t>
            </w:r>
          </w:p>
        </w:tc>
        <w:tc>
          <w:tcPr>
            <w:tcW w:w="387"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246</w:t>
            </w:r>
          </w:p>
        </w:tc>
        <w:tc>
          <w:tcPr>
            <w:tcW w:w="307"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217</w:t>
            </w:r>
          </w:p>
        </w:tc>
        <w:tc>
          <w:tcPr>
            <w:tcW w:w="386"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302</w:t>
            </w:r>
          </w:p>
        </w:tc>
        <w:tc>
          <w:tcPr>
            <w:tcW w:w="386"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254</w:t>
            </w:r>
          </w:p>
        </w:tc>
        <w:tc>
          <w:tcPr>
            <w:tcW w:w="386"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337</w:t>
            </w:r>
          </w:p>
        </w:tc>
        <w:tc>
          <w:tcPr>
            <w:tcW w:w="387" w:type="pct"/>
            <w:shd w:val="clear" w:color="auto" w:fill="auto"/>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280</w:t>
            </w:r>
          </w:p>
        </w:tc>
        <w:tc>
          <w:tcPr>
            <w:tcW w:w="386"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411</w:t>
            </w:r>
          </w:p>
        </w:tc>
        <w:tc>
          <w:tcPr>
            <w:tcW w:w="386" w:type="pct"/>
            <w:vAlign w:val="center"/>
          </w:tcPr>
          <w:p w:rsidR="00522AF6" w:rsidRPr="009179EE" w:rsidRDefault="00522AF6" w:rsidP="0082619D">
            <w:pPr>
              <w:keepNext/>
              <w:keepLines/>
              <w:jc w:val="center"/>
              <w:rPr>
                <w:rFonts w:ascii="Calibri" w:hAnsi="Calibri"/>
                <w:sz w:val="20"/>
                <w:szCs w:val="20"/>
              </w:rPr>
            </w:pPr>
            <w:r w:rsidRPr="009179EE">
              <w:rPr>
                <w:rFonts w:ascii="Calibri" w:hAnsi="Calibri"/>
                <w:sz w:val="20"/>
                <w:szCs w:val="20"/>
              </w:rPr>
              <w:t>344</w:t>
            </w:r>
          </w:p>
        </w:tc>
        <w:tc>
          <w:tcPr>
            <w:tcW w:w="547" w:type="pct"/>
            <w:vAlign w:val="center"/>
          </w:tcPr>
          <w:p w:rsidR="00522AF6" w:rsidRPr="009179EE" w:rsidRDefault="00522AF6" w:rsidP="0082619D">
            <w:pPr>
              <w:keepNext/>
              <w:keepLines/>
              <w:jc w:val="center"/>
              <w:rPr>
                <w:rFonts w:ascii="Calibri" w:hAnsi="Calibri"/>
                <w:b/>
                <w:sz w:val="20"/>
                <w:szCs w:val="20"/>
              </w:rPr>
            </w:pPr>
            <w:r w:rsidRPr="009179EE">
              <w:rPr>
                <w:rFonts w:ascii="Calibri" w:hAnsi="Calibri"/>
                <w:b/>
                <w:sz w:val="20"/>
                <w:szCs w:val="20"/>
              </w:rPr>
              <w:t>343</w:t>
            </w:r>
          </w:p>
        </w:tc>
        <w:tc>
          <w:tcPr>
            <w:tcW w:w="380" w:type="pct"/>
            <w:vAlign w:val="center"/>
          </w:tcPr>
          <w:p w:rsidR="00522AF6" w:rsidRPr="009179EE" w:rsidRDefault="00522AF6" w:rsidP="0082619D">
            <w:pPr>
              <w:keepNext/>
              <w:keepLines/>
              <w:jc w:val="center"/>
              <w:rPr>
                <w:rFonts w:ascii="Calibri" w:hAnsi="Calibri"/>
                <w:b/>
                <w:sz w:val="20"/>
                <w:szCs w:val="20"/>
              </w:rPr>
            </w:pPr>
            <w:r w:rsidRPr="009179EE">
              <w:rPr>
                <w:rFonts w:ascii="Calibri" w:hAnsi="Calibri"/>
                <w:b/>
                <w:sz w:val="20"/>
                <w:szCs w:val="20"/>
              </w:rPr>
              <w:t>410</w:t>
            </w:r>
          </w:p>
        </w:tc>
      </w:tr>
    </w:tbl>
    <w:p w:rsidR="00522AF6" w:rsidRPr="009179EE" w:rsidRDefault="00522AF6" w:rsidP="00522AF6"/>
    <w:p w:rsidR="00522AF6" w:rsidRPr="009179EE" w:rsidRDefault="00522AF6" w:rsidP="00522AF6">
      <w:r w:rsidRPr="009179EE">
        <w:t xml:space="preserve">The total number </w:t>
      </w:r>
      <w:r w:rsidRPr="009179EE">
        <w:rPr>
          <w:rFonts w:cs="Calibri"/>
        </w:rPr>
        <w:t>of</w:t>
      </w:r>
      <w:r w:rsidRPr="009179EE">
        <w:t xml:space="preserve"> complaints closed for Jan–Jun 2015 shows an increase of 20% over the average of the last four six month periods. </w:t>
      </w:r>
    </w:p>
    <w:p w:rsidR="00522AF6" w:rsidRPr="009179EE" w:rsidRDefault="00522AF6" w:rsidP="00522AF6"/>
    <w:p w:rsidR="00522AF6" w:rsidRPr="009179EE" w:rsidRDefault="00522AF6" w:rsidP="00522AF6">
      <w:bookmarkStart w:id="42" w:name="_Toc414442657"/>
      <w:bookmarkStart w:id="43" w:name="_Toc414461838"/>
      <w:bookmarkStart w:id="44" w:name="_Toc414875836"/>
      <w:bookmarkStart w:id="45" w:name="_Toc414886546"/>
      <w:bookmarkStart w:id="46" w:name="_Toc414952831"/>
      <w:bookmarkStart w:id="47" w:name="_Toc415039802"/>
      <w:bookmarkStart w:id="48" w:name="_Toc415046458"/>
      <w:bookmarkStart w:id="49" w:name="_Toc415135530"/>
      <w:bookmarkStart w:id="50" w:name="_Toc415147244"/>
      <w:bookmarkStart w:id="51" w:name="_Toc415153518"/>
      <w:bookmarkStart w:id="52" w:name="_Toc415221219"/>
    </w:p>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 w:rsidR="00522AF6" w:rsidRPr="009179EE" w:rsidRDefault="00522AF6" w:rsidP="00522AF6">
      <w:pPr>
        <w:pStyle w:val="Heading3"/>
      </w:pPr>
      <w:bookmarkStart w:id="53" w:name="_Toc426462638"/>
      <w:bookmarkStart w:id="54" w:name="_Toc431224719"/>
      <w:r w:rsidRPr="009179EE">
        <w:t>4.2</w:t>
      </w:r>
      <w:r w:rsidRPr="009179EE">
        <w:tab/>
        <w:t>Outcomes of complaints closed</w:t>
      </w:r>
      <w:bookmarkEnd w:id="42"/>
      <w:bookmarkEnd w:id="43"/>
      <w:bookmarkEnd w:id="44"/>
      <w:bookmarkEnd w:id="45"/>
      <w:bookmarkEnd w:id="46"/>
      <w:bookmarkEnd w:id="47"/>
      <w:bookmarkEnd w:id="48"/>
      <w:bookmarkEnd w:id="49"/>
      <w:bookmarkEnd w:id="50"/>
      <w:bookmarkEnd w:id="51"/>
      <w:bookmarkEnd w:id="52"/>
      <w:bookmarkEnd w:id="53"/>
      <w:bookmarkEnd w:id="54"/>
    </w:p>
    <w:p w:rsidR="00522AF6" w:rsidRPr="009179EE" w:rsidRDefault="00522AF6" w:rsidP="00522AF6">
      <w:pPr>
        <w:rPr>
          <w:lang w:eastAsia="en-NZ" w:bidi="ar-SA"/>
        </w:rPr>
      </w:pPr>
      <w:r w:rsidRPr="009179EE">
        <w:t xml:space="preserve">Complaints that are within HDC’s jurisdiction are classified into two groups according to the manner of resolution </w:t>
      </w:r>
      <w:r w:rsidRPr="009179EE">
        <w:rPr>
          <w:rFonts w:ascii="Calibri" w:hAnsi="Calibri"/>
        </w:rPr>
        <w:t>—</w:t>
      </w:r>
      <w:r w:rsidRPr="009179EE">
        <w:t xml:space="preserve"> whether formal investigation or non-investigation. Within each classification, there is a variety of possible outcomes. Once HDC has notified a DHB that a complaint concerning that DHB is to be investigated, the complaint remains </w:t>
      </w:r>
      <w:r w:rsidRPr="009179EE">
        <w:rPr>
          <w:rFonts w:cs="Calibri"/>
        </w:rPr>
        <w:t>classified</w:t>
      </w:r>
      <w:r w:rsidRPr="009179EE">
        <w:t xml:space="preserve"> as an investigation, even though an alternative manner of resolution may subsequently be adopted. Notification of investigation generally indicates more serious or </w:t>
      </w:r>
      <w:r w:rsidRPr="009179EE">
        <w:rPr>
          <w:lang w:eastAsia="en-NZ" w:bidi="ar-SA"/>
        </w:rPr>
        <w:t xml:space="preserve">complex issues. </w:t>
      </w:r>
    </w:p>
    <w:p w:rsidR="00522AF6" w:rsidRPr="009179EE" w:rsidRDefault="00522AF6" w:rsidP="00522AF6">
      <w:pPr>
        <w:rPr>
          <w:lang w:eastAsia="en-NZ" w:bidi="ar-SA"/>
        </w:rPr>
      </w:pPr>
    </w:p>
    <w:p w:rsidR="00522AF6" w:rsidRPr="009179EE" w:rsidRDefault="00522AF6" w:rsidP="00522AF6">
      <w:pPr>
        <w:rPr>
          <w:lang w:eastAsia="en-NZ"/>
        </w:rPr>
      </w:pPr>
      <w:r w:rsidRPr="00263293">
        <w:rPr>
          <w:lang w:eastAsia="en-NZ"/>
        </w:rPr>
        <w:t xml:space="preserve">In the </w:t>
      </w:r>
      <w:r w:rsidRPr="00263293">
        <w:t xml:space="preserve">Jan–Jun 2015 </w:t>
      </w:r>
      <w:r w:rsidRPr="00263293">
        <w:rPr>
          <w:lang w:eastAsia="en-NZ"/>
        </w:rPr>
        <w:t>period,</w:t>
      </w:r>
      <w:r w:rsidRPr="00263293">
        <w:rPr>
          <w:b/>
          <w:lang w:eastAsia="en-NZ"/>
        </w:rPr>
        <w:t xml:space="preserve"> 6 </w:t>
      </w:r>
      <w:r w:rsidRPr="00263293">
        <w:rPr>
          <w:lang w:eastAsia="en-NZ"/>
        </w:rPr>
        <w:t>DHBs had no investigations closed,</w:t>
      </w:r>
      <w:r w:rsidRPr="00263293">
        <w:rPr>
          <w:b/>
          <w:lang w:eastAsia="en-NZ"/>
        </w:rPr>
        <w:t xml:space="preserve"> 4 </w:t>
      </w:r>
      <w:r w:rsidRPr="00263293">
        <w:rPr>
          <w:lang w:eastAsia="en-NZ"/>
        </w:rPr>
        <w:t xml:space="preserve">DHBs had one investigation closed, </w:t>
      </w:r>
      <w:r w:rsidRPr="00263293">
        <w:rPr>
          <w:b/>
          <w:lang w:eastAsia="en-NZ"/>
        </w:rPr>
        <w:t>5</w:t>
      </w:r>
      <w:r w:rsidRPr="00263293">
        <w:rPr>
          <w:lang w:eastAsia="en-NZ"/>
        </w:rPr>
        <w:t xml:space="preserve"> DHBs had two investigations closed, </w:t>
      </w:r>
      <w:r w:rsidRPr="00263293">
        <w:rPr>
          <w:b/>
          <w:lang w:eastAsia="en-NZ"/>
        </w:rPr>
        <w:t>3</w:t>
      </w:r>
      <w:r w:rsidRPr="00263293">
        <w:rPr>
          <w:lang w:eastAsia="en-NZ"/>
        </w:rPr>
        <w:t xml:space="preserve"> DHBs had three investigations closed and </w:t>
      </w:r>
      <w:r w:rsidRPr="00263293">
        <w:rPr>
          <w:b/>
          <w:lang w:eastAsia="en-NZ"/>
        </w:rPr>
        <w:t xml:space="preserve">2 </w:t>
      </w:r>
      <w:r w:rsidRPr="00263293">
        <w:rPr>
          <w:lang w:eastAsia="en-NZ"/>
        </w:rPr>
        <w:t>DHBs had five investigations closed by HDC.</w:t>
      </w:r>
    </w:p>
    <w:p w:rsidR="00522AF6" w:rsidRPr="009179EE" w:rsidRDefault="00522AF6" w:rsidP="00522AF6">
      <w:pPr>
        <w:rPr>
          <w:rFonts w:ascii="Calibri" w:hAnsi="Calibri"/>
        </w:rPr>
      </w:pPr>
      <w:r w:rsidRPr="009179EE">
        <w:rPr>
          <w:rFonts w:ascii="Calibri" w:hAnsi="Calibri"/>
          <w:lang w:eastAsia="en-NZ"/>
        </w:rPr>
        <w:br/>
      </w:r>
      <w:r w:rsidRPr="009179EE">
        <w:rPr>
          <w:rFonts w:ascii="Calibri" w:hAnsi="Calibri"/>
        </w:rPr>
        <w:t xml:space="preserve">The manner of resolution </w:t>
      </w:r>
      <w:r w:rsidRPr="009179EE">
        <w:rPr>
          <w:rFonts w:ascii="Calibri" w:hAnsi="Calibri" w:cs="Calibri"/>
        </w:rPr>
        <w:t>and</w:t>
      </w:r>
      <w:r w:rsidRPr="009179EE">
        <w:rPr>
          <w:rFonts w:ascii="Calibri" w:hAnsi="Calibri"/>
        </w:rPr>
        <w:t xml:space="preserve"> outcomes of all DHB complaints closed in </w:t>
      </w:r>
      <w:r w:rsidRPr="009179EE">
        <w:t xml:space="preserve">Jan–Jun 2015 </w:t>
      </w:r>
      <w:r w:rsidRPr="009179EE">
        <w:rPr>
          <w:rFonts w:ascii="Calibri" w:hAnsi="Calibri"/>
        </w:rPr>
        <w:t xml:space="preserve">is shown in Table 11. </w:t>
      </w:r>
    </w:p>
    <w:p w:rsidR="00522AF6" w:rsidRPr="009179EE" w:rsidRDefault="00522AF6" w:rsidP="00522AF6">
      <w:pPr>
        <w:rPr>
          <w:rFonts w:ascii="Calibri" w:hAnsi="Calibri"/>
        </w:rPr>
      </w:pPr>
    </w:p>
    <w:p w:rsidR="00522AF6" w:rsidRPr="009179EE" w:rsidRDefault="00522AF6" w:rsidP="00522AF6">
      <w:pPr>
        <w:spacing w:after="120"/>
        <w:rPr>
          <w:lang w:eastAsia="en-NZ"/>
        </w:rPr>
      </w:pPr>
      <w:r w:rsidRPr="009179EE">
        <w:rPr>
          <w:rFonts w:ascii="Calibri" w:hAnsi="Calibri"/>
          <w:b/>
          <w:szCs w:val="22"/>
        </w:rPr>
        <w:t xml:space="preserve">Table 11. </w:t>
      </w:r>
      <w:r w:rsidRPr="009179EE">
        <w:rPr>
          <w:rFonts w:ascii="Calibri" w:hAnsi="Calibri"/>
          <w:szCs w:val="22"/>
        </w:rPr>
        <w:t>Outcome for DHBs of complaints closed by complaint type</w:t>
      </w:r>
      <w:r w:rsidRPr="009179EE">
        <w:rPr>
          <w:rStyle w:val="FootnoteReference"/>
          <w:rFonts w:ascii="Calibri" w:hAnsi="Calibri"/>
          <w:szCs w:val="22"/>
        </w:rPr>
        <w:footnoteReference w:id="5"/>
      </w:r>
    </w:p>
    <w:tbl>
      <w:tblPr>
        <w:tblStyle w:val="TableGrid"/>
        <w:tblW w:w="7230" w:type="dxa"/>
        <w:tblInd w:w="108" w:type="dxa"/>
        <w:tblLook w:val="04A0" w:firstRow="1" w:lastRow="0" w:firstColumn="1" w:lastColumn="0" w:noHBand="0" w:noVBand="1"/>
      </w:tblPr>
      <w:tblGrid>
        <w:gridCol w:w="4111"/>
        <w:gridCol w:w="3119"/>
      </w:tblGrid>
      <w:tr w:rsidR="00522AF6" w:rsidRPr="009179EE" w:rsidTr="0082619D">
        <w:tc>
          <w:tcPr>
            <w:tcW w:w="4111" w:type="dxa"/>
          </w:tcPr>
          <w:p w:rsidR="00522AF6" w:rsidRPr="009179EE" w:rsidRDefault="00522AF6" w:rsidP="0082619D">
            <w:pPr>
              <w:keepNext/>
              <w:keepLines/>
              <w:tabs>
                <w:tab w:val="left" w:pos="1440"/>
                <w:tab w:val="decimal" w:pos="4320"/>
              </w:tabs>
              <w:spacing w:before="60"/>
              <w:jc w:val="left"/>
              <w:outlineLvl w:val="0"/>
              <w:rPr>
                <w:rFonts w:ascii="Calibri" w:hAnsi="Calibri"/>
                <w:b/>
                <w:szCs w:val="22"/>
              </w:rPr>
            </w:pPr>
            <w:r w:rsidRPr="009179EE">
              <w:rPr>
                <w:rFonts w:ascii="Calibri" w:hAnsi="Calibri"/>
                <w:b/>
                <w:szCs w:val="22"/>
              </w:rPr>
              <w:br w:type="page"/>
              <w:t>Outcome for DHBs</w:t>
            </w:r>
          </w:p>
        </w:tc>
        <w:tc>
          <w:tcPr>
            <w:tcW w:w="3119" w:type="dxa"/>
          </w:tcPr>
          <w:p w:rsidR="00522AF6" w:rsidRPr="009179EE" w:rsidRDefault="00522AF6" w:rsidP="0082619D">
            <w:pPr>
              <w:keepNext/>
              <w:keepLines/>
              <w:tabs>
                <w:tab w:val="left" w:pos="1440"/>
                <w:tab w:val="decimal" w:pos="4320"/>
              </w:tabs>
              <w:spacing w:before="60"/>
              <w:jc w:val="center"/>
              <w:outlineLvl w:val="0"/>
              <w:rPr>
                <w:rFonts w:ascii="Calibri" w:hAnsi="Calibri"/>
                <w:b/>
                <w:szCs w:val="22"/>
              </w:rPr>
            </w:pPr>
            <w:r w:rsidRPr="009179EE">
              <w:rPr>
                <w:rFonts w:ascii="Calibri" w:hAnsi="Calibri"/>
                <w:b/>
                <w:szCs w:val="22"/>
              </w:rPr>
              <w:t>Number of complaints closed</w:t>
            </w:r>
          </w:p>
          <w:p w:rsidR="00522AF6" w:rsidRPr="009179EE" w:rsidRDefault="00522AF6" w:rsidP="0082619D">
            <w:pPr>
              <w:keepNext/>
              <w:keepLines/>
              <w:tabs>
                <w:tab w:val="left" w:pos="1440"/>
                <w:tab w:val="decimal" w:pos="4320"/>
              </w:tabs>
              <w:jc w:val="center"/>
              <w:outlineLvl w:val="0"/>
              <w:rPr>
                <w:rFonts w:ascii="Calibri" w:hAnsi="Calibri"/>
                <w:b/>
                <w:sz w:val="16"/>
                <w:szCs w:val="16"/>
              </w:rPr>
            </w:pPr>
          </w:p>
        </w:tc>
      </w:tr>
      <w:tr w:rsidR="00522AF6" w:rsidRPr="009179EE" w:rsidTr="0082619D">
        <w:tc>
          <w:tcPr>
            <w:tcW w:w="4111" w:type="dxa"/>
            <w:shd w:val="clear" w:color="auto" w:fill="D9D9D9" w:themeFill="background1" w:themeFillShade="D9"/>
          </w:tcPr>
          <w:p w:rsidR="00522AF6" w:rsidRPr="009179EE" w:rsidRDefault="00522AF6" w:rsidP="0082619D">
            <w:pPr>
              <w:keepNext/>
              <w:keepLines/>
              <w:tabs>
                <w:tab w:val="left" w:pos="1440"/>
                <w:tab w:val="decimal" w:pos="4320"/>
              </w:tabs>
              <w:jc w:val="left"/>
              <w:outlineLvl w:val="0"/>
              <w:rPr>
                <w:rFonts w:ascii="Calibri" w:hAnsi="Calibri"/>
                <w:b/>
                <w:i/>
                <w:szCs w:val="22"/>
              </w:rPr>
            </w:pPr>
            <w:r w:rsidRPr="009179EE">
              <w:rPr>
                <w:rFonts w:ascii="Calibri" w:hAnsi="Calibri"/>
                <w:b/>
                <w:i/>
                <w:szCs w:val="22"/>
              </w:rPr>
              <w:t>Investigation</w:t>
            </w:r>
          </w:p>
        </w:tc>
        <w:tc>
          <w:tcPr>
            <w:tcW w:w="3119" w:type="dxa"/>
            <w:shd w:val="clear" w:color="auto" w:fill="D9D9D9" w:themeFill="background1" w:themeFillShade="D9"/>
            <w:vAlign w:val="center"/>
          </w:tcPr>
          <w:p w:rsidR="00522AF6" w:rsidRPr="009179EE" w:rsidRDefault="00522AF6" w:rsidP="0082619D">
            <w:pPr>
              <w:keepNext/>
              <w:keepLines/>
              <w:tabs>
                <w:tab w:val="left" w:pos="1440"/>
                <w:tab w:val="decimal" w:pos="4320"/>
              </w:tabs>
              <w:jc w:val="center"/>
              <w:outlineLvl w:val="0"/>
              <w:rPr>
                <w:rFonts w:ascii="Calibri" w:hAnsi="Calibri"/>
                <w:b/>
                <w:i/>
                <w:szCs w:val="22"/>
              </w:rPr>
            </w:pPr>
            <w:r w:rsidRPr="009179EE">
              <w:rPr>
                <w:rFonts w:ascii="Calibri" w:hAnsi="Calibri"/>
                <w:b/>
                <w:i/>
                <w:szCs w:val="22"/>
              </w:rPr>
              <w:t>33</w:t>
            </w:r>
          </w:p>
        </w:tc>
      </w:tr>
      <w:tr w:rsidR="00522AF6" w:rsidRPr="009179EE" w:rsidTr="0082619D">
        <w:tc>
          <w:tcPr>
            <w:tcW w:w="4111" w:type="dxa"/>
          </w:tcPr>
          <w:p w:rsidR="00522AF6" w:rsidRPr="009179EE" w:rsidRDefault="00522AF6" w:rsidP="0082619D">
            <w:pPr>
              <w:keepNext/>
              <w:keepLines/>
              <w:tabs>
                <w:tab w:val="left" w:pos="1440"/>
                <w:tab w:val="decimal" w:pos="4320"/>
              </w:tabs>
              <w:jc w:val="left"/>
              <w:outlineLvl w:val="0"/>
              <w:rPr>
                <w:rFonts w:ascii="Calibri" w:hAnsi="Calibri"/>
                <w:szCs w:val="22"/>
              </w:rPr>
            </w:pPr>
            <w:r w:rsidRPr="009179EE">
              <w:rPr>
                <w:rFonts w:ascii="Calibri" w:hAnsi="Calibri"/>
                <w:szCs w:val="22"/>
              </w:rPr>
              <w:t>Breach finding</w:t>
            </w:r>
          </w:p>
        </w:tc>
        <w:tc>
          <w:tcPr>
            <w:tcW w:w="3119" w:type="dxa"/>
            <w:vAlign w:val="center"/>
          </w:tcPr>
          <w:p w:rsidR="00522AF6" w:rsidRPr="009179EE" w:rsidRDefault="00522AF6" w:rsidP="0082619D">
            <w:pPr>
              <w:keepNext/>
              <w:keepLines/>
              <w:tabs>
                <w:tab w:val="left" w:pos="1440"/>
                <w:tab w:val="decimal" w:pos="4320"/>
              </w:tabs>
              <w:jc w:val="center"/>
              <w:outlineLvl w:val="0"/>
              <w:rPr>
                <w:rFonts w:ascii="Calibri" w:hAnsi="Calibri"/>
                <w:szCs w:val="22"/>
              </w:rPr>
            </w:pPr>
            <w:r w:rsidRPr="009179EE">
              <w:rPr>
                <w:rFonts w:ascii="Calibri" w:hAnsi="Calibri"/>
                <w:szCs w:val="22"/>
              </w:rPr>
              <w:t>17</w:t>
            </w:r>
          </w:p>
        </w:tc>
      </w:tr>
      <w:tr w:rsidR="00522AF6" w:rsidRPr="009179EE" w:rsidTr="0082619D">
        <w:tc>
          <w:tcPr>
            <w:tcW w:w="4111" w:type="dxa"/>
          </w:tcPr>
          <w:p w:rsidR="00522AF6" w:rsidRPr="009179EE" w:rsidRDefault="00522AF6" w:rsidP="0082619D">
            <w:pPr>
              <w:keepNext/>
              <w:keepLines/>
              <w:tabs>
                <w:tab w:val="left" w:pos="1440"/>
                <w:tab w:val="decimal" w:pos="4320"/>
              </w:tabs>
              <w:jc w:val="left"/>
              <w:outlineLvl w:val="0"/>
              <w:rPr>
                <w:rFonts w:ascii="Calibri" w:hAnsi="Calibri"/>
                <w:szCs w:val="22"/>
              </w:rPr>
            </w:pPr>
            <w:r w:rsidRPr="009179EE">
              <w:rPr>
                <w:rFonts w:ascii="Calibri" w:hAnsi="Calibri"/>
                <w:szCs w:val="22"/>
              </w:rPr>
              <w:t>No breach finding</w:t>
            </w:r>
          </w:p>
        </w:tc>
        <w:tc>
          <w:tcPr>
            <w:tcW w:w="3119" w:type="dxa"/>
            <w:vAlign w:val="center"/>
          </w:tcPr>
          <w:p w:rsidR="00522AF6" w:rsidRPr="009179EE" w:rsidRDefault="00522AF6" w:rsidP="0082619D">
            <w:pPr>
              <w:keepNext/>
              <w:keepLines/>
              <w:tabs>
                <w:tab w:val="left" w:pos="1440"/>
                <w:tab w:val="decimal" w:pos="4320"/>
              </w:tabs>
              <w:jc w:val="center"/>
              <w:outlineLvl w:val="0"/>
              <w:rPr>
                <w:rFonts w:ascii="Calibri" w:hAnsi="Calibri"/>
                <w:szCs w:val="22"/>
              </w:rPr>
            </w:pPr>
            <w:r w:rsidRPr="009179EE">
              <w:rPr>
                <w:rFonts w:ascii="Calibri" w:hAnsi="Calibri"/>
                <w:szCs w:val="22"/>
              </w:rPr>
              <w:t>2</w:t>
            </w:r>
          </w:p>
        </w:tc>
      </w:tr>
      <w:tr w:rsidR="00522AF6" w:rsidRPr="009179EE" w:rsidTr="0082619D">
        <w:tc>
          <w:tcPr>
            <w:tcW w:w="4111" w:type="dxa"/>
          </w:tcPr>
          <w:p w:rsidR="00522AF6" w:rsidRPr="009179EE" w:rsidRDefault="00522AF6" w:rsidP="0082619D">
            <w:pPr>
              <w:keepNext/>
              <w:keepLines/>
              <w:tabs>
                <w:tab w:val="left" w:pos="1440"/>
                <w:tab w:val="decimal" w:pos="4320"/>
              </w:tabs>
              <w:jc w:val="left"/>
              <w:outlineLvl w:val="0"/>
              <w:rPr>
                <w:rFonts w:ascii="Calibri" w:hAnsi="Calibri"/>
                <w:szCs w:val="22"/>
              </w:rPr>
            </w:pPr>
            <w:r w:rsidRPr="009179EE">
              <w:rPr>
                <w:rFonts w:ascii="Calibri" w:hAnsi="Calibri"/>
                <w:szCs w:val="22"/>
              </w:rPr>
              <w:t>No further action</w:t>
            </w:r>
            <w:r w:rsidRPr="009179EE">
              <w:rPr>
                <w:rStyle w:val="FootnoteReference"/>
                <w:rFonts w:ascii="Calibri" w:hAnsi="Calibri"/>
                <w:szCs w:val="22"/>
              </w:rPr>
              <w:footnoteReference w:id="6"/>
            </w:r>
            <w:r w:rsidRPr="009179EE">
              <w:rPr>
                <w:rFonts w:ascii="Calibri" w:hAnsi="Calibri"/>
                <w:szCs w:val="22"/>
              </w:rPr>
              <w:t xml:space="preserve"> with follow-up or educational comment</w:t>
            </w:r>
          </w:p>
        </w:tc>
        <w:tc>
          <w:tcPr>
            <w:tcW w:w="3119" w:type="dxa"/>
            <w:vAlign w:val="center"/>
          </w:tcPr>
          <w:p w:rsidR="00522AF6" w:rsidRPr="009179EE" w:rsidRDefault="00522AF6" w:rsidP="0082619D">
            <w:pPr>
              <w:keepNext/>
              <w:keepLines/>
              <w:tabs>
                <w:tab w:val="left" w:pos="1440"/>
                <w:tab w:val="decimal" w:pos="4320"/>
              </w:tabs>
              <w:jc w:val="center"/>
              <w:outlineLvl w:val="0"/>
              <w:rPr>
                <w:rFonts w:ascii="Calibri" w:hAnsi="Calibri"/>
                <w:szCs w:val="22"/>
              </w:rPr>
            </w:pPr>
            <w:r w:rsidRPr="009179EE">
              <w:rPr>
                <w:rFonts w:ascii="Calibri" w:hAnsi="Calibri"/>
                <w:szCs w:val="22"/>
              </w:rPr>
              <w:t>12</w:t>
            </w:r>
          </w:p>
        </w:tc>
      </w:tr>
      <w:tr w:rsidR="00522AF6" w:rsidRPr="009179EE" w:rsidTr="0082619D">
        <w:tc>
          <w:tcPr>
            <w:tcW w:w="4111" w:type="dxa"/>
          </w:tcPr>
          <w:p w:rsidR="00522AF6" w:rsidRPr="009179EE" w:rsidRDefault="00522AF6" w:rsidP="0082619D">
            <w:pPr>
              <w:keepNext/>
              <w:keepLines/>
              <w:tabs>
                <w:tab w:val="left" w:pos="1440"/>
                <w:tab w:val="decimal" w:pos="4320"/>
              </w:tabs>
              <w:jc w:val="left"/>
              <w:outlineLvl w:val="0"/>
              <w:rPr>
                <w:rFonts w:ascii="Calibri" w:hAnsi="Calibri"/>
                <w:szCs w:val="22"/>
              </w:rPr>
            </w:pPr>
            <w:r w:rsidRPr="009179EE">
              <w:rPr>
                <w:rFonts w:ascii="Calibri" w:hAnsi="Calibri"/>
                <w:szCs w:val="22"/>
              </w:rPr>
              <w:t>No further action</w:t>
            </w:r>
          </w:p>
        </w:tc>
        <w:tc>
          <w:tcPr>
            <w:tcW w:w="3119" w:type="dxa"/>
            <w:vAlign w:val="center"/>
          </w:tcPr>
          <w:p w:rsidR="00522AF6" w:rsidRPr="009179EE" w:rsidRDefault="00522AF6" w:rsidP="0082619D">
            <w:pPr>
              <w:keepNext/>
              <w:keepLines/>
              <w:tabs>
                <w:tab w:val="left" w:pos="1440"/>
                <w:tab w:val="decimal" w:pos="4320"/>
              </w:tabs>
              <w:jc w:val="center"/>
              <w:outlineLvl w:val="0"/>
              <w:rPr>
                <w:rFonts w:ascii="Calibri" w:hAnsi="Calibri"/>
                <w:szCs w:val="22"/>
              </w:rPr>
            </w:pPr>
            <w:r w:rsidRPr="009179EE">
              <w:rPr>
                <w:rFonts w:ascii="Calibri" w:hAnsi="Calibri"/>
                <w:szCs w:val="22"/>
              </w:rPr>
              <w:t>2</w:t>
            </w:r>
          </w:p>
        </w:tc>
      </w:tr>
      <w:tr w:rsidR="00522AF6" w:rsidRPr="009179EE" w:rsidTr="0082619D">
        <w:tc>
          <w:tcPr>
            <w:tcW w:w="4111" w:type="dxa"/>
            <w:shd w:val="clear" w:color="auto" w:fill="D9D9D9" w:themeFill="background1" w:themeFillShade="D9"/>
          </w:tcPr>
          <w:p w:rsidR="00522AF6" w:rsidRPr="009179EE" w:rsidRDefault="00522AF6" w:rsidP="0082619D">
            <w:pPr>
              <w:keepNext/>
              <w:keepLines/>
              <w:tabs>
                <w:tab w:val="left" w:pos="1440"/>
                <w:tab w:val="decimal" w:pos="4320"/>
              </w:tabs>
              <w:jc w:val="left"/>
              <w:outlineLvl w:val="0"/>
              <w:rPr>
                <w:rFonts w:ascii="Calibri" w:hAnsi="Calibri"/>
                <w:b/>
                <w:i/>
                <w:szCs w:val="22"/>
              </w:rPr>
            </w:pPr>
            <w:r w:rsidRPr="009179EE">
              <w:rPr>
                <w:rFonts w:ascii="Calibri" w:hAnsi="Calibri"/>
                <w:b/>
                <w:i/>
                <w:szCs w:val="22"/>
              </w:rPr>
              <w:t>Non-investigation</w:t>
            </w:r>
          </w:p>
        </w:tc>
        <w:tc>
          <w:tcPr>
            <w:tcW w:w="3119" w:type="dxa"/>
            <w:shd w:val="clear" w:color="auto" w:fill="D9D9D9" w:themeFill="background1" w:themeFillShade="D9"/>
            <w:vAlign w:val="center"/>
          </w:tcPr>
          <w:p w:rsidR="00522AF6" w:rsidRPr="009179EE" w:rsidRDefault="00522AF6" w:rsidP="0082619D">
            <w:pPr>
              <w:keepNext/>
              <w:keepLines/>
              <w:tabs>
                <w:tab w:val="left" w:pos="1440"/>
                <w:tab w:val="decimal" w:pos="4320"/>
              </w:tabs>
              <w:jc w:val="center"/>
              <w:outlineLvl w:val="0"/>
              <w:rPr>
                <w:rFonts w:ascii="Calibri" w:hAnsi="Calibri"/>
                <w:b/>
                <w:i/>
                <w:szCs w:val="22"/>
              </w:rPr>
            </w:pPr>
            <w:r w:rsidRPr="009179EE">
              <w:rPr>
                <w:rFonts w:ascii="Calibri" w:hAnsi="Calibri"/>
                <w:b/>
                <w:i/>
                <w:szCs w:val="22"/>
              </w:rPr>
              <w:t>355</w:t>
            </w:r>
          </w:p>
        </w:tc>
      </w:tr>
      <w:tr w:rsidR="00522AF6" w:rsidRPr="009179EE" w:rsidTr="0082619D">
        <w:tc>
          <w:tcPr>
            <w:tcW w:w="4111" w:type="dxa"/>
          </w:tcPr>
          <w:p w:rsidR="00522AF6" w:rsidRPr="009179EE" w:rsidRDefault="00522AF6" w:rsidP="0082619D">
            <w:pPr>
              <w:keepNext/>
              <w:keepLines/>
              <w:tabs>
                <w:tab w:val="left" w:pos="1440"/>
                <w:tab w:val="decimal" w:pos="4320"/>
              </w:tabs>
              <w:jc w:val="left"/>
              <w:outlineLvl w:val="0"/>
              <w:rPr>
                <w:rFonts w:ascii="Calibri" w:hAnsi="Calibri"/>
                <w:szCs w:val="22"/>
              </w:rPr>
            </w:pPr>
            <w:r w:rsidRPr="009179EE">
              <w:rPr>
                <w:rFonts w:ascii="Calibri" w:hAnsi="Calibri"/>
                <w:szCs w:val="22"/>
              </w:rPr>
              <w:t>No further action with follow-up or educational comment</w:t>
            </w:r>
          </w:p>
        </w:tc>
        <w:tc>
          <w:tcPr>
            <w:tcW w:w="3119" w:type="dxa"/>
            <w:vAlign w:val="center"/>
          </w:tcPr>
          <w:p w:rsidR="00522AF6" w:rsidRPr="009179EE" w:rsidRDefault="00522AF6" w:rsidP="0082619D">
            <w:pPr>
              <w:keepNext/>
              <w:keepLines/>
              <w:tabs>
                <w:tab w:val="left" w:pos="1440"/>
                <w:tab w:val="decimal" w:pos="4320"/>
              </w:tabs>
              <w:jc w:val="center"/>
              <w:outlineLvl w:val="0"/>
              <w:rPr>
                <w:rFonts w:ascii="Calibri" w:hAnsi="Calibri"/>
                <w:szCs w:val="22"/>
              </w:rPr>
            </w:pPr>
            <w:r w:rsidRPr="009179EE">
              <w:rPr>
                <w:rFonts w:ascii="Calibri" w:hAnsi="Calibri"/>
                <w:szCs w:val="22"/>
              </w:rPr>
              <w:t>86</w:t>
            </w:r>
          </w:p>
        </w:tc>
      </w:tr>
      <w:tr w:rsidR="00522AF6" w:rsidRPr="009179EE" w:rsidTr="0082619D">
        <w:tc>
          <w:tcPr>
            <w:tcW w:w="4111" w:type="dxa"/>
          </w:tcPr>
          <w:p w:rsidR="00522AF6" w:rsidRPr="009179EE" w:rsidRDefault="00522AF6" w:rsidP="0082619D">
            <w:pPr>
              <w:rPr>
                <w:rFonts w:ascii="Calibri" w:hAnsi="Calibri" w:cs="Calibri"/>
                <w:color w:val="000000"/>
                <w:szCs w:val="22"/>
              </w:rPr>
            </w:pPr>
            <w:r w:rsidRPr="009179EE">
              <w:rPr>
                <w:rFonts w:ascii="Calibri" w:hAnsi="Calibri" w:cs="Calibri"/>
                <w:color w:val="000000"/>
                <w:szCs w:val="22"/>
              </w:rPr>
              <w:t>Referred to Ministry of Health/Director-General of Health</w:t>
            </w:r>
          </w:p>
        </w:tc>
        <w:tc>
          <w:tcPr>
            <w:tcW w:w="3119" w:type="dxa"/>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1</w:t>
            </w:r>
          </w:p>
        </w:tc>
      </w:tr>
      <w:tr w:rsidR="00522AF6" w:rsidRPr="009179EE" w:rsidTr="0082619D">
        <w:tc>
          <w:tcPr>
            <w:tcW w:w="4111" w:type="dxa"/>
          </w:tcPr>
          <w:p w:rsidR="00522AF6" w:rsidRPr="009179EE" w:rsidRDefault="00522AF6" w:rsidP="0082619D">
            <w:pPr>
              <w:rPr>
                <w:rFonts w:ascii="Calibri" w:hAnsi="Calibri" w:cs="Calibri"/>
                <w:color w:val="000000"/>
                <w:szCs w:val="22"/>
              </w:rPr>
            </w:pPr>
            <w:r w:rsidRPr="009179EE">
              <w:rPr>
                <w:rFonts w:ascii="Calibri" w:hAnsi="Calibri" w:cs="Calibri"/>
                <w:color w:val="000000"/>
                <w:szCs w:val="22"/>
              </w:rPr>
              <w:t xml:space="preserve">Referred to District Inspector </w:t>
            </w:r>
          </w:p>
        </w:tc>
        <w:tc>
          <w:tcPr>
            <w:tcW w:w="3119" w:type="dxa"/>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6</w:t>
            </w:r>
          </w:p>
        </w:tc>
      </w:tr>
      <w:tr w:rsidR="00522AF6" w:rsidRPr="009179EE" w:rsidTr="0082619D">
        <w:tc>
          <w:tcPr>
            <w:tcW w:w="4111" w:type="dxa"/>
          </w:tcPr>
          <w:p w:rsidR="00522AF6" w:rsidRPr="009179EE" w:rsidRDefault="00522AF6" w:rsidP="0082619D">
            <w:pPr>
              <w:keepNext/>
              <w:keepLines/>
              <w:tabs>
                <w:tab w:val="left" w:pos="1440"/>
                <w:tab w:val="decimal" w:pos="4320"/>
              </w:tabs>
              <w:jc w:val="left"/>
              <w:outlineLvl w:val="0"/>
              <w:rPr>
                <w:rFonts w:ascii="Calibri" w:hAnsi="Calibri"/>
                <w:szCs w:val="22"/>
              </w:rPr>
            </w:pPr>
            <w:r w:rsidRPr="009179EE">
              <w:rPr>
                <w:rFonts w:ascii="Calibri" w:hAnsi="Calibri"/>
                <w:szCs w:val="22"/>
              </w:rPr>
              <w:t>Referred to DHB</w:t>
            </w:r>
            <w:r w:rsidRPr="009179EE">
              <w:rPr>
                <w:rStyle w:val="FootnoteReference"/>
                <w:rFonts w:ascii="Calibri" w:hAnsi="Calibri"/>
                <w:szCs w:val="22"/>
              </w:rPr>
              <w:footnoteReference w:id="7"/>
            </w:r>
          </w:p>
        </w:tc>
        <w:tc>
          <w:tcPr>
            <w:tcW w:w="3119" w:type="dxa"/>
            <w:vAlign w:val="center"/>
          </w:tcPr>
          <w:p w:rsidR="00522AF6" w:rsidRPr="009179EE" w:rsidRDefault="00522AF6" w:rsidP="0082619D">
            <w:pPr>
              <w:keepNext/>
              <w:keepLines/>
              <w:tabs>
                <w:tab w:val="left" w:pos="1440"/>
                <w:tab w:val="decimal" w:pos="4320"/>
              </w:tabs>
              <w:jc w:val="center"/>
              <w:outlineLvl w:val="0"/>
              <w:rPr>
                <w:rFonts w:ascii="Calibri" w:hAnsi="Calibri"/>
                <w:szCs w:val="22"/>
              </w:rPr>
            </w:pPr>
            <w:r w:rsidRPr="009179EE">
              <w:rPr>
                <w:rFonts w:ascii="Calibri" w:hAnsi="Calibri"/>
                <w:szCs w:val="22"/>
              </w:rPr>
              <w:t>82</w:t>
            </w:r>
          </w:p>
        </w:tc>
      </w:tr>
      <w:tr w:rsidR="00522AF6" w:rsidRPr="009179EE" w:rsidTr="0082619D">
        <w:tc>
          <w:tcPr>
            <w:tcW w:w="4111" w:type="dxa"/>
          </w:tcPr>
          <w:p w:rsidR="00522AF6" w:rsidRPr="009179EE" w:rsidRDefault="00522AF6" w:rsidP="0082619D">
            <w:pPr>
              <w:keepNext/>
              <w:keepLines/>
              <w:tabs>
                <w:tab w:val="left" w:pos="1440"/>
                <w:tab w:val="decimal" w:pos="4320"/>
              </w:tabs>
              <w:jc w:val="left"/>
              <w:outlineLvl w:val="0"/>
              <w:rPr>
                <w:rFonts w:ascii="Calibri" w:hAnsi="Calibri" w:cs="Arial"/>
                <w:szCs w:val="22"/>
                <w:lang w:eastAsia="en-NZ" w:bidi="ar-SA"/>
              </w:rPr>
            </w:pPr>
            <w:r w:rsidRPr="009179EE">
              <w:rPr>
                <w:rFonts w:ascii="Calibri" w:hAnsi="Calibri" w:cs="Arial"/>
                <w:szCs w:val="22"/>
                <w:lang w:eastAsia="en-NZ" w:bidi="ar-SA"/>
              </w:rPr>
              <w:t>Resolved between parties</w:t>
            </w:r>
          </w:p>
        </w:tc>
        <w:tc>
          <w:tcPr>
            <w:tcW w:w="3119" w:type="dxa"/>
            <w:vAlign w:val="center"/>
          </w:tcPr>
          <w:p w:rsidR="00522AF6" w:rsidRPr="009179EE" w:rsidRDefault="00522AF6" w:rsidP="0082619D">
            <w:pPr>
              <w:keepNext/>
              <w:keepLines/>
              <w:tabs>
                <w:tab w:val="left" w:pos="1440"/>
                <w:tab w:val="decimal" w:pos="4320"/>
              </w:tabs>
              <w:jc w:val="center"/>
              <w:outlineLvl w:val="0"/>
              <w:rPr>
                <w:rFonts w:ascii="Calibri" w:hAnsi="Calibri"/>
                <w:szCs w:val="22"/>
              </w:rPr>
            </w:pPr>
            <w:r w:rsidRPr="009179EE">
              <w:rPr>
                <w:rFonts w:ascii="Calibri" w:hAnsi="Calibri"/>
                <w:szCs w:val="22"/>
              </w:rPr>
              <w:t>1</w:t>
            </w:r>
          </w:p>
        </w:tc>
      </w:tr>
      <w:tr w:rsidR="00522AF6" w:rsidRPr="009179EE" w:rsidTr="0082619D">
        <w:tc>
          <w:tcPr>
            <w:tcW w:w="4111" w:type="dxa"/>
          </w:tcPr>
          <w:p w:rsidR="00522AF6" w:rsidRPr="009179EE" w:rsidRDefault="00522AF6" w:rsidP="0082619D">
            <w:pPr>
              <w:keepNext/>
              <w:keepLines/>
              <w:tabs>
                <w:tab w:val="left" w:pos="1440"/>
                <w:tab w:val="decimal" w:pos="4320"/>
              </w:tabs>
              <w:jc w:val="left"/>
              <w:outlineLvl w:val="0"/>
              <w:rPr>
                <w:rFonts w:ascii="Calibri" w:hAnsi="Calibri" w:cs="Arial"/>
                <w:szCs w:val="22"/>
                <w:lang w:eastAsia="en-NZ" w:bidi="ar-SA"/>
              </w:rPr>
            </w:pPr>
            <w:r w:rsidRPr="009179EE">
              <w:rPr>
                <w:rFonts w:ascii="Calibri" w:hAnsi="Calibri" w:cs="Arial"/>
                <w:szCs w:val="22"/>
                <w:lang w:eastAsia="en-NZ" w:bidi="ar-SA"/>
              </w:rPr>
              <w:t>Referred to Advocacy</w:t>
            </w:r>
          </w:p>
        </w:tc>
        <w:tc>
          <w:tcPr>
            <w:tcW w:w="3119" w:type="dxa"/>
            <w:vAlign w:val="center"/>
          </w:tcPr>
          <w:p w:rsidR="00522AF6" w:rsidRPr="009179EE" w:rsidRDefault="00522AF6" w:rsidP="0082619D">
            <w:pPr>
              <w:keepNext/>
              <w:keepLines/>
              <w:tabs>
                <w:tab w:val="left" w:pos="1440"/>
                <w:tab w:val="decimal" w:pos="4320"/>
              </w:tabs>
              <w:jc w:val="center"/>
              <w:outlineLvl w:val="0"/>
              <w:rPr>
                <w:rFonts w:ascii="Calibri" w:hAnsi="Calibri"/>
                <w:szCs w:val="22"/>
              </w:rPr>
            </w:pPr>
            <w:r w:rsidRPr="009179EE">
              <w:rPr>
                <w:rFonts w:ascii="Calibri" w:hAnsi="Calibri"/>
                <w:szCs w:val="22"/>
              </w:rPr>
              <w:t>11</w:t>
            </w:r>
          </w:p>
        </w:tc>
      </w:tr>
      <w:tr w:rsidR="00522AF6" w:rsidRPr="009179EE" w:rsidTr="0082619D">
        <w:tc>
          <w:tcPr>
            <w:tcW w:w="4111" w:type="dxa"/>
          </w:tcPr>
          <w:p w:rsidR="00522AF6" w:rsidRPr="009179EE" w:rsidRDefault="00522AF6" w:rsidP="0082619D">
            <w:pPr>
              <w:keepNext/>
              <w:keepLines/>
              <w:tabs>
                <w:tab w:val="left" w:pos="1440"/>
                <w:tab w:val="decimal" w:pos="4320"/>
              </w:tabs>
              <w:jc w:val="left"/>
              <w:outlineLvl w:val="0"/>
              <w:rPr>
                <w:rFonts w:ascii="Calibri" w:hAnsi="Calibri" w:cs="Arial"/>
                <w:szCs w:val="22"/>
                <w:lang w:eastAsia="en-NZ" w:bidi="ar-SA"/>
              </w:rPr>
            </w:pPr>
            <w:r w:rsidRPr="009179EE">
              <w:rPr>
                <w:rFonts w:ascii="Calibri" w:hAnsi="Calibri" w:cs="Arial"/>
                <w:szCs w:val="22"/>
                <w:lang w:eastAsia="en-NZ" w:bidi="ar-SA"/>
              </w:rPr>
              <w:t>No further action</w:t>
            </w:r>
          </w:p>
        </w:tc>
        <w:tc>
          <w:tcPr>
            <w:tcW w:w="3119" w:type="dxa"/>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160</w:t>
            </w:r>
          </w:p>
        </w:tc>
      </w:tr>
      <w:tr w:rsidR="00522AF6" w:rsidRPr="009179EE" w:rsidTr="0082619D">
        <w:tc>
          <w:tcPr>
            <w:tcW w:w="4111" w:type="dxa"/>
          </w:tcPr>
          <w:p w:rsidR="00522AF6" w:rsidRPr="009179EE" w:rsidRDefault="00522AF6" w:rsidP="0082619D">
            <w:pPr>
              <w:keepNext/>
              <w:keepLines/>
              <w:tabs>
                <w:tab w:val="left" w:pos="1440"/>
                <w:tab w:val="decimal" w:pos="4320"/>
              </w:tabs>
              <w:jc w:val="left"/>
              <w:outlineLvl w:val="0"/>
              <w:rPr>
                <w:rFonts w:ascii="Calibri" w:hAnsi="Calibri" w:cs="Arial"/>
                <w:szCs w:val="22"/>
                <w:lang w:eastAsia="en-NZ" w:bidi="ar-SA"/>
              </w:rPr>
            </w:pPr>
            <w:r w:rsidRPr="009179EE">
              <w:rPr>
                <w:rFonts w:ascii="Calibri" w:hAnsi="Calibri" w:cs="Arial"/>
                <w:szCs w:val="22"/>
                <w:lang w:eastAsia="en-NZ" w:bidi="ar-SA"/>
              </w:rPr>
              <w:t>Withdrawn</w:t>
            </w:r>
          </w:p>
        </w:tc>
        <w:tc>
          <w:tcPr>
            <w:tcW w:w="3119" w:type="dxa"/>
            <w:vAlign w:val="center"/>
          </w:tcPr>
          <w:p w:rsidR="00522AF6" w:rsidRPr="009179EE" w:rsidRDefault="00522AF6" w:rsidP="0082619D">
            <w:pPr>
              <w:jc w:val="center"/>
              <w:rPr>
                <w:rFonts w:ascii="Calibri" w:hAnsi="Calibri" w:cs="Calibri"/>
                <w:color w:val="000000"/>
                <w:szCs w:val="22"/>
              </w:rPr>
            </w:pPr>
            <w:r w:rsidRPr="009179EE">
              <w:rPr>
                <w:rFonts w:ascii="Calibri" w:hAnsi="Calibri" w:cs="Calibri"/>
                <w:color w:val="000000"/>
                <w:szCs w:val="22"/>
              </w:rPr>
              <w:t>8</w:t>
            </w:r>
          </w:p>
        </w:tc>
      </w:tr>
      <w:tr w:rsidR="00522AF6" w:rsidRPr="009179EE" w:rsidTr="0082619D">
        <w:tc>
          <w:tcPr>
            <w:tcW w:w="4111" w:type="dxa"/>
            <w:shd w:val="clear" w:color="auto" w:fill="D9D9D9" w:themeFill="background1" w:themeFillShade="D9"/>
          </w:tcPr>
          <w:p w:rsidR="00522AF6" w:rsidRPr="009179EE" w:rsidRDefault="00522AF6" w:rsidP="0082619D">
            <w:pPr>
              <w:keepNext/>
              <w:keepLines/>
              <w:tabs>
                <w:tab w:val="left" w:pos="1440"/>
                <w:tab w:val="decimal" w:pos="4320"/>
              </w:tabs>
              <w:jc w:val="left"/>
              <w:outlineLvl w:val="0"/>
              <w:rPr>
                <w:rFonts w:ascii="Calibri" w:hAnsi="Calibri"/>
                <w:b/>
                <w:i/>
                <w:szCs w:val="22"/>
              </w:rPr>
            </w:pPr>
            <w:r w:rsidRPr="009179EE">
              <w:rPr>
                <w:rFonts w:ascii="Calibri" w:hAnsi="Calibri"/>
                <w:b/>
                <w:i/>
                <w:szCs w:val="22"/>
              </w:rPr>
              <w:t xml:space="preserve">Outside jurisdiction </w:t>
            </w:r>
          </w:p>
        </w:tc>
        <w:tc>
          <w:tcPr>
            <w:tcW w:w="3119" w:type="dxa"/>
            <w:shd w:val="clear" w:color="auto" w:fill="D9D9D9" w:themeFill="background1" w:themeFillShade="D9"/>
            <w:vAlign w:val="center"/>
          </w:tcPr>
          <w:p w:rsidR="00522AF6" w:rsidRPr="009179EE" w:rsidRDefault="00522AF6" w:rsidP="0082619D">
            <w:pPr>
              <w:keepNext/>
              <w:keepLines/>
              <w:tabs>
                <w:tab w:val="left" w:pos="1440"/>
                <w:tab w:val="decimal" w:pos="4320"/>
              </w:tabs>
              <w:jc w:val="center"/>
              <w:outlineLvl w:val="0"/>
              <w:rPr>
                <w:rFonts w:ascii="Calibri" w:hAnsi="Calibri"/>
                <w:b/>
                <w:i/>
                <w:szCs w:val="22"/>
              </w:rPr>
            </w:pPr>
            <w:r w:rsidRPr="009179EE">
              <w:rPr>
                <w:rFonts w:ascii="Calibri" w:hAnsi="Calibri"/>
                <w:b/>
                <w:i/>
                <w:szCs w:val="22"/>
              </w:rPr>
              <w:t>22</w:t>
            </w:r>
          </w:p>
        </w:tc>
      </w:tr>
      <w:tr w:rsidR="00522AF6" w:rsidRPr="009179EE" w:rsidTr="0082619D">
        <w:tc>
          <w:tcPr>
            <w:tcW w:w="4111" w:type="dxa"/>
            <w:shd w:val="clear" w:color="auto" w:fill="D9D9D9" w:themeFill="background1" w:themeFillShade="D9"/>
          </w:tcPr>
          <w:p w:rsidR="00522AF6" w:rsidRPr="009179EE" w:rsidRDefault="00522AF6" w:rsidP="0082619D">
            <w:pPr>
              <w:keepNext/>
              <w:keepLines/>
              <w:tabs>
                <w:tab w:val="left" w:pos="1440"/>
                <w:tab w:val="decimal" w:pos="4320"/>
              </w:tabs>
              <w:jc w:val="left"/>
              <w:outlineLvl w:val="0"/>
              <w:rPr>
                <w:rFonts w:ascii="Calibri" w:hAnsi="Calibri" w:cs="Arial"/>
                <w:b/>
                <w:szCs w:val="22"/>
                <w:lang w:eastAsia="en-NZ" w:bidi="ar-SA"/>
              </w:rPr>
            </w:pPr>
            <w:r w:rsidRPr="009179EE">
              <w:rPr>
                <w:rFonts w:ascii="Calibri" w:hAnsi="Calibri" w:cs="Arial"/>
                <w:b/>
                <w:szCs w:val="22"/>
                <w:lang w:eastAsia="en-NZ" w:bidi="ar-SA"/>
              </w:rPr>
              <w:t>TOTAL</w:t>
            </w:r>
          </w:p>
        </w:tc>
        <w:tc>
          <w:tcPr>
            <w:tcW w:w="3119" w:type="dxa"/>
            <w:shd w:val="clear" w:color="auto" w:fill="D9D9D9" w:themeFill="background1" w:themeFillShade="D9"/>
          </w:tcPr>
          <w:p w:rsidR="00522AF6" w:rsidRPr="009179EE" w:rsidRDefault="00522AF6" w:rsidP="0082619D">
            <w:pPr>
              <w:jc w:val="center"/>
              <w:rPr>
                <w:rFonts w:ascii="Calibri" w:hAnsi="Calibri" w:cs="Calibri"/>
                <w:b/>
                <w:color w:val="000000"/>
                <w:szCs w:val="22"/>
              </w:rPr>
            </w:pPr>
            <w:r w:rsidRPr="009179EE">
              <w:rPr>
                <w:rFonts w:ascii="Calibri" w:hAnsi="Calibri" w:cs="Calibri"/>
                <w:b/>
                <w:color w:val="000000"/>
                <w:szCs w:val="22"/>
              </w:rPr>
              <w:t>410</w:t>
            </w:r>
          </w:p>
        </w:tc>
      </w:tr>
    </w:tbl>
    <w:p w:rsidR="00522AF6" w:rsidRPr="009179EE" w:rsidRDefault="00522AF6" w:rsidP="00522AF6">
      <w:pPr>
        <w:rPr>
          <w:lang w:eastAsia="en-NZ"/>
        </w:rPr>
      </w:pPr>
      <w:bookmarkStart w:id="55" w:name="_Toc414442658"/>
      <w:bookmarkStart w:id="56" w:name="_Toc414461839"/>
      <w:bookmarkStart w:id="57" w:name="_Toc414875837"/>
      <w:bookmarkStart w:id="58" w:name="_Toc414886547"/>
      <w:bookmarkStart w:id="59" w:name="_Toc414952832"/>
      <w:bookmarkStart w:id="60" w:name="_Toc415039803"/>
      <w:bookmarkStart w:id="61" w:name="_Toc415046459"/>
      <w:bookmarkStart w:id="62" w:name="_Toc415135531"/>
      <w:bookmarkStart w:id="63" w:name="_Toc415147245"/>
      <w:bookmarkStart w:id="64" w:name="_Toc415153519"/>
      <w:bookmarkStart w:id="65" w:name="_Toc415221220"/>
    </w:p>
    <w:p w:rsidR="00522AF6" w:rsidRPr="009179EE" w:rsidRDefault="00522AF6" w:rsidP="00522AF6">
      <w:pPr>
        <w:rPr>
          <w:lang w:eastAsia="en-NZ"/>
        </w:rPr>
      </w:pPr>
    </w:p>
    <w:p w:rsidR="00522AF6" w:rsidRPr="009179EE" w:rsidRDefault="00522AF6" w:rsidP="00522AF6">
      <w:pPr>
        <w:pStyle w:val="Heading3"/>
        <w:spacing w:before="240"/>
        <w:rPr>
          <w:lang w:eastAsia="en-NZ"/>
        </w:rPr>
      </w:pPr>
      <w:bookmarkStart w:id="66" w:name="_Toc426462639"/>
      <w:bookmarkStart w:id="67" w:name="_Toc431224720"/>
      <w:r w:rsidRPr="009179EE">
        <w:rPr>
          <w:lang w:eastAsia="en-NZ"/>
        </w:rPr>
        <w:t xml:space="preserve">4.3 </w:t>
      </w:r>
      <w:r w:rsidRPr="009179EE">
        <w:rPr>
          <w:lang w:eastAsia="en-NZ"/>
        </w:rPr>
        <w:tab/>
      </w:r>
      <w:r w:rsidRPr="009179EE">
        <w:t>Recommendations</w:t>
      </w:r>
      <w:r w:rsidRPr="009179EE">
        <w:rPr>
          <w:lang w:eastAsia="en-NZ"/>
        </w:rPr>
        <w:t xml:space="preserve"> made to DHBs following a complaint</w:t>
      </w:r>
      <w:bookmarkEnd w:id="55"/>
      <w:bookmarkEnd w:id="56"/>
      <w:bookmarkEnd w:id="57"/>
      <w:bookmarkEnd w:id="58"/>
      <w:bookmarkEnd w:id="59"/>
      <w:bookmarkEnd w:id="60"/>
      <w:bookmarkEnd w:id="61"/>
      <w:bookmarkEnd w:id="62"/>
      <w:bookmarkEnd w:id="63"/>
      <w:bookmarkEnd w:id="64"/>
      <w:bookmarkEnd w:id="65"/>
      <w:bookmarkEnd w:id="66"/>
      <w:bookmarkEnd w:id="67"/>
    </w:p>
    <w:p w:rsidR="00522AF6" w:rsidRPr="009179EE" w:rsidRDefault="00522AF6" w:rsidP="00522AF6">
      <w:pPr>
        <w:pStyle w:val="NoSpacing"/>
        <w:spacing w:after="120"/>
        <w:rPr>
          <w:lang w:val="en-NZ" w:eastAsia="en-NZ"/>
        </w:rPr>
      </w:pPr>
      <w:r w:rsidRPr="009179EE">
        <w:rPr>
          <w:lang w:val="en-NZ" w:eastAsia="en-NZ"/>
        </w:rPr>
        <w:t xml:space="preserve">Regardless of whether or not a complaint has been investigated, the Commissioner may make recommendations to a DHB. HDC then follows up with the DHB to ensure that these recommendations have been acted upon. Table 12 shows the recommendations made to DHBs in complaints closed in the current period. Please note that more than one recommendation may be made in relation to a single complaint. </w:t>
      </w:r>
    </w:p>
    <w:p w:rsidR="00522AF6" w:rsidRPr="009179EE" w:rsidRDefault="00522AF6" w:rsidP="00522AF6">
      <w:pPr>
        <w:pStyle w:val="NoSpacing"/>
        <w:spacing w:after="120"/>
        <w:rPr>
          <w:b/>
          <w:lang w:val="en-NZ" w:eastAsia="en-NZ"/>
        </w:rPr>
      </w:pPr>
      <w:r w:rsidRPr="009179EE">
        <w:rPr>
          <w:b/>
          <w:lang w:val="en-NZ" w:eastAsia="en-NZ"/>
        </w:rPr>
        <w:t xml:space="preserve">Table 12. </w:t>
      </w:r>
      <w:r w:rsidRPr="009179EE">
        <w:rPr>
          <w:lang w:val="en-NZ" w:eastAsia="en-NZ"/>
        </w:rPr>
        <w:t>Recommendations made to DHBs following a complaint</w:t>
      </w:r>
    </w:p>
    <w:tbl>
      <w:tblPr>
        <w:tblStyle w:val="TableGrid"/>
        <w:tblW w:w="0" w:type="auto"/>
        <w:tblInd w:w="108" w:type="dxa"/>
        <w:tblLook w:val="04A0" w:firstRow="1" w:lastRow="0" w:firstColumn="1" w:lastColumn="0" w:noHBand="0" w:noVBand="1"/>
      </w:tblPr>
      <w:tblGrid>
        <w:gridCol w:w="3402"/>
        <w:gridCol w:w="1985"/>
      </w:tblGrid>
      <w:tr w:rsidR="00522AF6" w:rsidRPr="009179EE" w:rsidTr="0082619D">
        <w:tc>
          <w:tcPr>
            <w:tcW w:w="3402" w:type="dxa"/>
            <w:vAlign w:val="center"/>
          </w:tcPr>
          <w:p w:rsidR="00522AF6" w:rsidRPr="009179EE" w:rsidRDefault="00522AF6" w:rsidP="0082619D">
            <w:pPr>
              <w:pStyle w:val="NoSpacing"/>
              <w:jc w:val="center"/>
              <w:rPr>
                <w:b/>
                <w:lang w:val="en-NZ" w:eastAsia="en-NZ"/>
              </w:rPr>
            </w:pPr>
            <w:r w:rsidRPr="009179EE">
              <w:rPr>
                <w:b/>
                <w:lang w:val="en-NZ" w:eastAsia="en-NZ"/>
              </w:rPr>
              <w:t>Recommendation</w:t>
            </w:r>
          </w:p>
        </w:tc>
        <w:tc>
          <w:tcPr>
            <w:tcW w:w="1985" w:type="dxa"/>
          </w:tcPr>
          <w:p w:rsidR="00522AF6" w:rsidRPr="009179EE" w:rsidRDefault="00522AF6" w:rsidP="0082619D">
            <w:pPr>
              <w:pStyle w:val="NoSpacing"/>
              <w:jc w:val="center"/>
              <w:rPr>
                <w:b/>
                <w:lang w:val="en-NZ" w:eastAsia="en-NZ"/>
              </w:rPr>
            </w:pPr>
            <w:r w:rsidRPr="009179EE">
              <w:rPr>
                <w:b/>
                <w:lang w:val="en-NZ" w:eastAsia="en-NZ"/>
              </w:rPr>
              <w:t>Number of recommendations made</w:t>
            </w:r>
          </w:p>
        </w:tc>
      </w:tr>
      <w:tr w:rsidR="00522AF6" w:rsidRPr="009179EE" w:rsidTr="0082619D">
        <w:tc>
          <w:tcPr>
            <w:tcW w:w="3402" w:type="dxa"/>
          </w:tcPr>
          <w:p w:rsidR="00522AF6" w:rsidRPr="009179EE" w:rsidRDefault="00522AF6" w:rsidP="0082619D">
            <w:pPr>
              <w:pStyle w:val="NoSpacing"/>
              <w:jc w:val="left"/>
              <w:rPr>
                <w:lang w:val="en-NZ" w:eastAsia="en-NZ"/>
              </w:rPr>
            </w:pPr>
            <w:r w:rsidRPr="009179EE">
              <w:rPr>
                <w:lang w:val="en-NZ" w:eastAsia="en-NZ"/>
              </w:rPr>
              <w:t>Apology</w:t>
            </w:r>
          </w:p>
        </w:tc>
        <w:tc>
          <w:tcPr>
            <w:tcW w:w="1985" w:type="dxa"/>
          </w:tcPr>
          <w:p w:rsidR="00522AF6" w:rsidRPr="009179EE" w:rsidRDefault="00522AF6" w:rsidP="0082619D">
            <w:pPr>
              <w:pStyle w:val="NoSpacing"/>
              <w:jc w:val="center"/>
              <w:rPr>
                <w:lang w:val="en-NZ" w:eastAsia="en-NZ"/>
              </w:rPr>
            </w:pPr>
            <w:r w:rsidRPr="009179EE">
              <w:rPr>
                <w:lang w:val="en-NZ" w:eastAsia="en-NZ"/>
              </w:rPr>
              <w:t>31</w:t>
            </w:r>
          </w:p>
        </w:tc>
      </w:tr>
      <w:tr w:rsidR="00522AF6" w:rsidRPr="009179EE" w:rsidTr="0082619D">
        <w:trPr>
          <w:trHeight w:val="293"/>
        </w:trPr>
        <w:tc>
          <w:tcPr>
            <w:tcW w:w="3402" w:type="dxa"/>
          </w:tcPr>
          <w:p w:rsidR="00522AF6" w:rsidRPr="009179EE" w:rsidRDefault="00522AF6" w:rsidP="0082619D">
            <w:pPr>
              <w:pStyle w:val="NoSpacing"/>
              <w:jc w:val="left"/>
              <w:rPr>
                <w:lang w:val="en-NZ" w:eastAsia="en-NZ"/>
              </w:rPr>
            </w:pPr>
            <w:r w:rsidRPr="009179EE">
              <w:rPr>
                <w:lang w:val="en-NZ" w:eastAsia="en-NZ"/>
              </w:rPr>
              <w:t>Audit</w:t>
            </w:r>
          </w:p>
        </w:tc>
        <w:tc>
          <w:tcPr>
            <w:tcW w:w="1985" w:type="dxa"/>
          </w:tcPr>
          <w:p w:rsidR="00522AF6" w:rsidRPr="009179EE" w:rsidRDefault="00522AF6" w:rsidP="0082619D">
            <w:pPr>
              <w:pStyle w:val="NoSpacing"/>
              <w:jc w:val="center"/>
              <w:rPr>
                <w:lang w:val="en-NZ" w:eastAsia="en-NZ"/>
              </w:rPr>
            </w:pPr>
            <w:r w:rsidRPr="009179EE">
              <w:rPr>
                <w:lang w:val="en-NZ" w:eastAsia="en-NZ"/>
              </w:rPr>
              <w:t>38</w:t>
            </w:r>
          </w:p>
        </w:tc>
      </w:tr>
      <w:tr w:rsidR="00522AF6" w:rsidRPr="009179EE" w:rsidTr="0082619D">
        <w:tc>
          <w:tcPr>
            <w:tcW w:w="3402" w:type="dxa"/>
          </w:tcPr>
          <w:p w:rsidR="00522AF6" w:rsidRPr="009179EE" w:rsidRDefault="00522AF6" w:rsidP="0082619D">
            <w:pPr>
              <w:pStyle w:val="NoSpacing"/>
              <w:jc w:val="left"/>
              <w:rPr>
                <w:lang w:val="en-NZ" w:eastAsia="en-NZ"/>
              </w:rPr>
            </w:pPr>
            <w:r w:rsidRPr="009179EE">
              <w:rPr>
                <w:lang w:val="en-NZ" w:eastAsia="en-NZ"/>
              </w:rPr>
              <w:t>Meeting with consumer/complainant</w:t>
            </w:r>
          </w:p>
        </w:tc>
        <w:tc>
          <w:tcPr>
            <w:tcW w:w="1985" w:type="dxa"/>
            <w:vAlign w:val="center"/>
          </w:tcPr>
          <w:p w:rsidR="00522AF6" w:rsidRPr="009179EE" w:rsidRDefault="00522AF6" w:rsidP="0082619D">
            <w:pPr>
              <w:pStyle w:val="NoSpacing"/>
              <w:jc w:val="center"/>
              <w:rPr>
                <w:sz w:val="24"/>
                <w:szCs w:val="24"/>
                <w:lang w:val="en-NZ" w:eastAsia="en-NZ"/>
              </w:rPr>
            </w:pPr>
            <w:r w:rsidRPr="009179EE">
              <w:rPr>
                <w:sz w:val="24"/>
                <w:szCs w:val="24"/>
                <w:lang w:val="en-NZ" w:eastAsia="en-NZ"/>
              </w:rPr>
              <w:t>3</w:t>
            </w:r>
          </w:p>
        </w:tc>
      </w:tr>
      <w:tr w:rsidR="00522AF6" w:rsidRPr="009179EE" w:rsidTr="0082619D">
        <w:tc>
          <w:tcPr>
            <w:tcW w:w="3402" w:type="dxa"/>
          </w:tcPr>
          <w:p w:rsidR="00522AF6" w:rsidRPr="009179EE" w:rsidRDefault="00522AF6" w:rsidP="0082619D">
            <w:pPr>
              <w:pStyle w:val="NoSpacing"/>
              <w:jc w:val="left"/>
              <w:rPr>
                <w:lang w:val="en-NZ" w:eastAsia="en-NZ"/>
              </w:rPr>
            </w:pPr>
            <w:r w:rsidRPr="009179EE">
              <w:rPr>
                <w:lang w:val="en-NZ" w:eastAsia="en-NZ"/>
              </w:rPr>
              <w:t>Presentation/discussion of complaint with others</w:t>
            </w:r>
          </w:p>
        </w:tc>
        <w:tc>
          <w:tcPr>
            <w:tcW w:w="1985" w:type="dxa"/>
            <w:vAlign w:val="center"/>
          </w:tcPr>
          <w:p w:rsidR="00522AF6" w:rsidRPr="009179EE" w:rsidRDefault="00522AF6" w:rsidP="0082619D">
            <w:pPr>
              <w:pStyle w:val="NoSpacing"/>
              <w:jc w:val="center"/>
              <w:rPr>
                <w:sz w:val="24"/>
                <w:szCs w:val="24"/>
                <w:lang w:val="en-NZ" w:eastAsia="en-NZ"/>
              </w:rPr>
            </w:pPr>
            <w:r w:rsidRPr="009179EE">
              <w:rPr>
                <w:sz w:val="24"/>
                <w:szCs w:val="24"/>
                <w:lang w:val="en-NZ" w:eastAsia="en-NZ"/>
              </w:rPr>
              <w:t>8</w:t>
            </w:r>
          </w:p>
        </w:tc>
      </w:tr>
      <w:tr w:rsidR="00522AF6" w:rsidRPr="009179EE" w:rsidTr="0082619D">
        <w:tc>
          <w:tcPr>
            <w:tcW w:w="3402" w:type="dxa"/>
          </w:tcPr>
          <w:p w:rsidR="00522AF6" w:rsidRPr="009179EE" w:rsidRDefault="00522AF6" w:rsidP="0082619D">
            <w:pPr>
              <w:pStyle w:val="NoSpacing"/>
              <w:rPr>
                <w:lang w:val="en-NZ" w:eastAsia="en-NZ"/>
              </w:rPr>
            </w:pPr>
            <w:r w:rsidRPr="009179EE">
              <w:rPr>
                <w:lang w:val="en-NZ" w:eastAsia="en-NZ"/>
              </w:rPr>
              <w:t>Provision of information</w:t>
            </w:r>
          </w:p>
        </w:tc>
        <w:tc>
          <w:tcPr>
            <w:tcW w:w="1985" w:type="dxa"/>
          </w:tcPr>
          <w:p w:rsidR="00522AF6" w:rsidRPr="009179EE" w:rsidRDefault="00522AF6" w:rsidP="0082619D">
            <w:pPr>
              <w:pStyle w:val="NoSpacing"/>
              <w:jc w:val="center"/>
              <w:rPr>
                <w:sz w:val="24"/>
                <w:szCs w:val="24"/>
                <w:lang w:val="en-NZ" w:eastAsia="en-NZ"/>
              </w:rPr>
            </w:pPr>
            <w:r w:rsidRPr="009179EE">
              <w:rPr>
                <w:sz w:val="24"/>
                <w:szCs w:val="24"/>
                <w:lang w:val="en-NZ" w:eastAsia="en-NZ"/>
              </w:rPr>
              <w:t>30</w:t>
            </w:r>
          </w:p>
        </w:tc>
      </w:tr>
      <w:tr w:rsidR="00522AF6" w:rsidRPr="009179EE" w:rsidTr="0082619D">
        <w:tc>
          <w:tcPr>
            <w:tcW w:w="3402" w:type="dxa"/>
          </w:tcPr>
          <w:p w:rsidR="00522AF6" w:rsidRPr="009179EE" w:rsidRDefault="00522AF6" w:rsidP="0082619D">
            <w:pPr>
              <w:pStyle w:val="NoSpacing"/>
              <w:jc w:val="left"/>
              <w:rPr>
                <w:lang w:val="en-NZ" w:eastAsia="en-NZ"/>
              </w:rPr>
            </w:pPr>
            <w:r w:rsidRPr="009179EE">
              <w:rPr>
                <w:lang w:val="en-NZ" w:eastAsia="en-NZ"/>
              </w:rPr>
              <w:t>Reflection</w:t>
            </w:r>
          </w:p>
        </w:tc>
        <w:tc>
          <w:tcPr>
            <w:tcW w:w="1985" w:type="dxa"/>
          </w:tcPr>
          <w:p w:rsidR="00522AF6" w:rsidRPr="009179EE" w:rsidRDefault="00522AF6" w:rsidP="0082619D">
            <w:pPr>
              <w:pStyle w:val="NoSpacing"/>
              <w:jc w:val="center"/>
              <w:rPr>
                <w:sz w:val="24"/>
                <w:szCs w:val="24"/>
                <w:lang w:val="en-NZ" w:eastAsia="en-NZ"/>
              </w:rPr>
            </w:pPr>
            <w:r w:rsidRPr="009179EE">
              <w:rPr>
                <w:sz w:val="24"/>
                <w:szCs w:val="24"/>
                <w:lang w:val="en-NZ" w:eastAsia="en-NZ"/>
              </w:rPr>
              <w:t>5</w:t>
            </w:r>
          </w:p>
        </w:tc>
      </w:tr>
      <w:tr w:rsidR="00522AF6" w:rsidRPr="009179EE" w:rsidTr="0082619D">
        <w:tc>
          <w:tcPr>
            <w:tcW w:w="3402" w:type="dxa"/>
          </w:tcPr>
          <w:p w:rsidR="00522AF6" w:rsidRPr="009179EE" w:rsidRDefault="00522AF6" w:rsidP="0082619D">
            <w:pPr>
              <w:pStyle w:val="NoSpacing"/>
              <w:rPr>
                <w:lang w:val="en-NZ" w:eastAsia="en-NZ"/>
              </w:rPr>
            </w:pPr>
            <w:r w:rsidRPr="009179EE">
              <w:rPr>
                <w:lang w:val="en-NZ" w:eastAsia="en-NZ"/>
              </w:rPr>
              <w:t>Review of policies/procedures</w:t>
            </w:r>
          </w:p>
        </w:tc>
        <w:tc>
          <w:tcPr>
            <w:tcW w:w="1985" w:type="dxa"/>
          </w:tcPr>
          <w:p w:rsidR="00522AF6" w:rsidRPr="009179EE" w:rsidRDefault="00522AF6" w:rsidP="0082619D">
            <w:pPr>
              <w:pStyle w:val="NoSpacing"/>
              <w:jc w:val="center"/>
              <w:rPr>
                <w:sz w:val="24"/>
                <w:szCs w:val="24"/>
                <w:lang w:val="en-NZ" w:eastAsia="en-NZ"/>
              </w:rPr>
            </w:pPr>
            <w:r w:rsidRPr="009179EE">
              <w:rPr>
                <w:sz w:val="24"/>
                <w:szCs w:val="24"/>
                <w:lang w:val="en-NZ" w:eastAsia="en-NZ"/>
              </w:rPr>
              <w:t>54</w:t>
            </w:r>
          </w:p>
        </w:tc>
      </w:tr>
      <w:tr w:rsidR="00522AF6" w:rsidRPr="009179EE" w:rsidTr="0082619D">
        <w:tc>
          <w:tcPr>
            <w:tcW w:w="3402" w:type="dxa"/>
          </w:tcPr>
          <w:p w:rsidR="00522AF6" w:rsidRPr="009179EE" w:rsidRDefault="00522AF6" w:rsidP="0082619D">
            <w:pPr>
              <w:pStyle w:val="NoSpacing"/>
              <w:rPr>
                <w:lang w:val="en-NZ" w:eastAsia="en-NZ"/>
              </w:rPr>
            </w:pPr>
            <w:r w:rsidRPr="009179EE">
              <w:rPr>
                <w:lang w:val="en-NZ" w:eastAsia="en-NZ"/>
              </w:rPr>
              <w:t>Training/professional development</w:t>
            </w:r>
          </w:p>
        </w:tc>
        <w:tc>
          <w:tcPr>
            <w:tcW w:w="1985" w:type="dxa"/>
          </w:tcPr>
          <w:p w:rsidR="00522AF6" w:rsidRPr="009179EE" w:rsidRDefault="00522AF6" w:rsidP="0082619D">
            <w:pPr>
              <w:pStyle w:val="NoSpacing"/>
              <w:jc w:val="center"/>
              <w:rPr>
                <w:lang w:val="en-NZ" w:eastAsia="en-NZ"/>
              </w:rPr>
            </w:pPr>
            <w:r w:rsidRPr="009179EE">
              <w:rPr>
                <w:lang w:val="en-NZ" w:eastAsia="en-NZ"/>
              </w:rPr>
              <w:t>32</w:t>
            </w:r>
          </w:p>
        </w:tc>
      </w:tr>
      <w:tr w:rsidR="00522AF6" w:rsidRPr="009179EE" w:rsidTr="0082619D">
        <w:tc>
          <w:tcPr>
            <w:tcW w:w="3402" w:type="dxa"/>
            <w:shd w:val="clear" w:color="auto" w:fill="D9D9D9" w:themeFill="background1" w:themeFillShade="D9"/>
          </w:tcPr>
          <w:p w:rsidR="00522AF6" w:rsidRPr="009179EE" w:rsidRDefault="00522AF6" w:rsidP="0082619D">
            <w:pPr>
              <w:pStyle w:val="NoSpacing"/>
              <w:rPr>
                <w:b/>
                <w:lang w:val="en-NZ" w:eastAsia="en-NZ"/>
              </w:rPr>
            </w:pPr>
            <w:r w:rsidRPr="009179EE">
              <w:rPr>
                <w:b/>
                <w:lang w:val="en-NZ" w:eastAsia="en-NZ"/>
              </w:rPr>
              <w:t>Total</w:t>
            </w:r>
          </w:p>
        </w:tc>
        <w:tc>
          <w:tcPr>
            <w:tcW w:w="1985" w:type="dxa"/>
            <w:shd w:val="clear" w:color="auto" w:fill="D9D9D9" w:themeFill="background1" w:themeFillShade="D9"/>
          </w:tcPr>
          <w:p w:rsidR="00522AF6" w:rsidRPr="009179EE" w:rsidRDefault="00522AF6" w:rsidP="0082619D">
            <w:pPr>
              <w:pStyle w:val="NoSpacing"/>
              <w:jc w:val="center"/>
              <w:rPr>
                <w:b/>
                <w:lang w:val="en-NZ" w:eastAsia="en-NZ"/>
              </w:rPr>
            </w:pPr>
            <w:r>
              <w:rPr>
                <w:b/>
                <w:lang w:val="en-NZ" w:eastAsia="en-NZ"/>
              </w:rPr>
              <w:t>201</w:t>
            </w:r>
          </w:p>
        </w:tc>
      </w:tr>
    </w:tbl>
    <w:p w:rsidR="00522AF6" w:rsidRPr="009179EE" w:rsidRDefault="00522AF6" w:rsidP="00522AF6">
      <w:pPr>
        <w:spacing w:before="240"/>
        <w:rPr>
          <w:b/>
        </w:rPr>
      </w:pPr>
      <w:r w:rsidRPr="009179EE">
        <w:t>T</w:t>
      </w:r>
      <w:r w:rsidRPr="009179EE">
        <w:rPr>
          <w:lang w:eastAsia="en-NZ"/>
        </w:rPr>
        <w:t xml:space="preserve">he most common recommendation made to DHBs was that they review their policies/procedures (54 recommendations). When audits were recommended, they were most commonly in relation to adherence to policies/procedures, followed by compliance with documentation requirements. Training/professional development was most often recommended in relation to clinical issues, documentation and communication. </w:t>
      </w:r>
    </w:p>
    <w:bookmarkEnd w:id="39"/>
    <w:p w:rsidR="00522AF6" w:rsidRPr="009179EE" w:rsidRDefault="00522AF6" w:rsidP="00522AF6"/>
    <w:p w:rsidR="00522AF6" w:rsidRPr="009179EE" w:rsidRDefault="00522AF6" w:rsidP="00522AF6"/>
    <w:p w:rsidR="00522AF6" w:rsidRPr="009179EE" w:rsidRDefault="00522AF6" w:rsidP="00522AF6">
      <w:pPr>
        <w:rPr>
          <w:lang w:bidi="ar-SA"/>
        </w:rPr>
      </w:pPr>
    </w:p>
    <w:p w:rsidR="00522AF6" w:rsidRPr="009179EE" w:rsidRDefault="00522AF6" w:rsidP="00522AF6">
      <w:pPr>
        <w:rPr>
          <w:lang w:bidi="ar-SA"/>
        </w:rPr>
      </w:pPr>
    </w:p>
    <w:p w:rsidR="00522AF6" w:rsidRPr="009179EE" w:rsidRDefault="00522AF6" w:rsidP="00522AF6">
      <w:pPr>
        <w:rPr>
          <w:lang w:bidi="ar-SA"/>
        </w:rPr>
      </w:pPr>
    </w:p>
    <w:p w:rsidR="00522AF6" w:rsidRPr="009179EE" w:rsidRDefault="00522AF6" w:rsidP="00522AF6">
      <w:pPr>
        <w:rPr>
          <w:lang w:bidi="ar-SA"/>
        </w:rPr>
      </w:pPr>
    </w:p>
    <w:p w:rsidR="00522AF6" w:rsidRPr="009179EE" w:rsidRDefault="00522AF6" w:rsidP="00522AF6">
      <w:pPr>
        <w:rPr>
          <w:lang w:bidi="ar-SA"/>
        </w:rPr>
      </w:pPr>
    </w:p>
    <w:p w:rsidR="00522AF6" w:rsidRPr="009179EE" w:rsidRDefault="00522AF6" w:rsidP="00522AF6">
      <w:pPr>
        <w:rPr>
          <w:lang w:bidi="ar-SA"/>
        </w:rPr>
      </w:pPr>
    </w:p>
    <w:p w:rsidR="00522AF6" w:rsidRPr="009179EE" w:rsidRDefault="00522AF6" w:rsidP="00522AF6">
      <w:pPr>
        <w:rPr>
          <w:lang w:bidi="ar-SA"/>
        </w:rPr>
      </w:pPr>
    </w:p>
    <w:p w:rsidR="00522AF6" w:rsidRPr="009179EE" w:rsidRDefault="00522AF6" w:rsidP="00522AF6">
      <w:pPr>
        <w:rPr>
          <w:lang w:bidi="ar-SA"/>
        </w:rPr>
      </w:pPr>
    </w:p>
    <w:p w:rsidR="00522AF6" w:rsidRPr="009179EE" w:rsidRDefault="00522AF6" w:rsidP="00522AF6">
      <w:pPr>
        <w:rPr>
          <w:lang w:bidi="ar-SA"/>
        </w:rPr>
      </w:pPr>
    </w:p>
    <w:p w:rsidR="00522AF6" w:rsidRPr="009179EE" w:rsidRDefault="00522AF6" w:rsidP="00522AF6">
      <w:pPr>
        <w:rPr>
          <w:lang w:bidi="ar-SA"/>
        </w:rPr>
      </w:pPr>
    </w:p>
    <w:p w:rsidR="00522AF6" w:rsidRPr="009179EE" w:rsidRDefault="00522AF6" w:rsidP="00522AF6">
      <w:pPr>
        <w:rPr>
          <w:lang w:bidi="ar-SA"/>
        </w:rPr>
      </w:pPr>
    </w:p>
    <w:p w:rsidR="00522AF6" w:rsidRPr="009179EE" w:rsidRDefault="00522AF6" w:rsidP="00522AF6">
      <w:pPr>
        <w:rPr>
          <w:lang w:bidi="ar-SA"/>
        </w:rPr>
      </w:pPr>
    </w:p>
    <w:p w:rsidR="00522AF6" w:rsidRPr="009179EE" w:rsidRDefault="00522AF6" w:rsidP="00522AF6">
      <w:pPr>
        <w:rPr>
          <w:lang w:bidi="ar-SA"/>
        </w:rPr>
      </w:pPr>
    </w:p>
    <w:p w:rsidR="00522AF6" w:rsidRPr="009179EE" w:rsidRDefault="00522AF6" w:rsidP="00522AF6">
      <w:pPr>
        <w:rPr>
          <w:lang w:bidi="ar-SA"/>
        </w:rPr>
      </w:pPr>
    </w:p>
    <w:p w:rsidR="00522AF6" w:rsidRPr="009179EE" w:rsidRDefault="00522AF6" w:rsidP="00522AF6">
      <w:pPr>
        <w:rPr>
          <w:lang w:bidi="ar-SA"/>
        </w:rPr>
      </w:pPr>
    </w:p>
    <w:p w:rsidR="00522AF6" w:rsidRPr="009179EE" w:rsidRDefault="00522AF6" w:rsidP="00522AF6">
      <w:pPr>
        <w:rPr>
          <w:lang w:bidi="ar-SA"/>
        </w:rPr>
      </w:pPr>
    </w:p>
    <w:p w:rsidR="00522AF6" w:rsidRPr="009179EE" w:rsidRDefault="00522AF6" w:rsidP="00522AF6">
      <w:pPr>
        <w:rPr>
          <w:lang w:bidi="ar-SA"/>
        </w:rPr>
      </w:pPr>
    </w:p>
    <w:p w:rsidR="00522AF6" w:rsidRPr="009179EE" w:rsidRDefault="00522AF6" w:rsidP="00522AF6">
      <w:pPr>
        <w:rPr>
          <w:lang w:bidi="ar-SA"/>
        </w:rPr>
      </w:pPr>
    </w:p>
    <w:p w:rsidR="00522AF6" w:rsidRPr="009179EE" w:rsidRDefault="00522AF6" w:rsidP="00522AF6">
      <w:pPr>
        <w:rPr>
          <w:lang w:bidi="ar-SA"/>
        </w:rPr>
      </w:pPr>
    </w:p>
    <w:p w:rsidR="00522AF6" w:rsidRPr="009179EE" w:rsidRDefault="00522AF6" w:rsidP="00522AF6">
      <w:pPr>
        <w:rPr>
          <w:lang w:bidi="ar-SA"/>
        </w:rPr>
      </w:pPr>
    </w:p>
    <w:p w:rsidR="00522AF6" w:rsidRPr="009179EE" w:rsidRDefault="00522AF6" w:rsidP="00522AF6">
      <w:pPr>
        <w:rPr>
          <w:lang w:bidi="ar-SA"/>
        </w:rPr>
      </w:pPr>
    </w:p>
    <w:p w:rsidR="00522AF6" w:rsidRPr="009179EE" w:rsidRDefault="00522AF6" w:rsidP="00522AF6">
      <w:pPr>
        <w:pStyle w:val="Heading2"/>
        <w:rPr>
          <w:lang w:val="en-NZ"/>
        </w:rPr>
      </w:pPr>
      <w:bookmarkStart w:id="68" w:name="_Toc426462640"/>
      <w:bookmarkStart w:id="69" w:name="_Toc431224721"/>
      <w:r w:rsidRPr="009179EE">
        <w:rPr>
          <w:lang w:val="en-NZ"/>
        </w:rPr>
        <w:t>5.0</w:t>
      </w:r>
      <w:r w:rsidRPr="009179EE">
        <w:rPr>
          <w:lang w:val="en-NZ"/>
        </w:rPr>
        <w:tab/>
        <w:t>Learning from complaints — HDC case reports</w:t>
      </w:r>
      <w:bookmarkEnd w:id="68"/>
      <w:bookmarkEnd w:id="69"/>
    </w:p>
    <w:p w:rsidR="00522AF6" w:rsidRPr="009179EE" w:rsidRDefault="00522AF6" w:rsidP="00522AF6">
      <w:pPr>
        <w:rPr>
          <w:b/>
          <w:szCs w:val="22"/>
        </w:rPr>
      </w:pPr>
      <w:r w:rsidRPr="009179EE">
        <w:rPr>
          <w:b/>
          <w:szCs w:val="22"/>
        </w:rPr>
        <w:t>Delays in treatment in emergency department (</w:t>
      </w:r>
      <w:r w:rsidRPr="009179EE">
        <w:rPr>
          <w:b/>
          <w:noProof/>
          <w:szCs w:val="22"/>
        </w:rPr>
        <w:t>13HDC00453</w:t>
      </w:r>
      <w:r w:rsidRPr="009179EE">
        <w:rPr>
          <w:b/>
          <w:szCs w:val="22"/>
        </w:rPr>
        <w:t>)</w:t>
      </w:r>
    </w:p>
    <w:p w:rsidR="00522AF6" w:rsidRPr="009179EE" w:rsidRDefault="00522AF6" w:rsidP="00522AF6">
      <w:pPr>
        <w:tabs>
          <w:tab w:val="left" w:pos="720"/>
          <w:tab w:val="left" w:pos="1134"/>
        </w:tabs>
        <w:spacing w:before="120" w:after="120"/>
        <w:rPr>
          <w:i/>
          <w:szCs w:val="22"/>
        </w:rPr>
      </w:pPr>
      <w:r w:rsidRPr="009179EE">
        <w:rPr>
          <w:i/>
          <w:szCs w:val="22"/>
        </w:rPr>
        <w:t>Background</w:t>
      </w:r>
    </w:p>
    <w:p w:rsidR="00522AF6" w:rsidRPr="009179EE" w:rsidRDefault="00522AF6" w:rsidP="00522AF6">
      <w:pPr>
        <w:tabs>
          <w:tab w:val="left" w:pos="720"/>
          <w:tab w:val="left" w:pos="1134"/>
        </w:tabs>
        <w:spacing w:before="120" w:after="120"/>
        <w:rPr>
          <w:szCs w:val="22"/>
        </w:rPr>
      </w:pPr>
      <w:r w:rsidRPr="009179EE">
        <w:rPr>
          <w:szCs w:val="22"/>
        </w:rPr>
        <w:t>Mrs A, a 51 year old woman with multiple medical problems, experienced a sudden episode of shortness of breath and was taken to the Emergency Department</w:t>
      </w:r>
      <w:r>
        <w:rPr>
          <w:szCs w:val="22"/>
        </w:rPr>
        <w:t xml:space="preserve"> (ED)</w:t>
      </w:r>
      <w:r w:rsidRPr="009179EE">
        <w:rPr>
          <w:szCs w:val="22"/>
        </w:rPr>
        <w:t xml:space="preserve"> of a public hospital. </w:t>
      </w:r>
    </w:p>
    <w:p w:rsidR="00522AF6" w:rsidRPr="009179EE" w:rsidRDefault="00522AF6" w:rsidP="00522AF6">
      <w:pPr>
        <w:tabs>
          <w:tab w:val="left" w:pos="720"/>
          <w:tab w:val="left" w:pos="1134"/>
        </w:tabs>
        <w:spacing w:before="120" w:after="120"/>
        <w:rPr>
          <w:szCs w:val="22"/>
        </w:rPr>
      </w:pPr>
      <w:r w:rsidRPr="009179EE">
        <w:rPr>
          <w:szCs w:val="22"/>
        </w:rPr>
        <w:t>Mrs A was triaged by a registered nurse (RN), RN D, as requiring treatment within 30 minutes. However, she was not reviewed by the ED registrar (Dr E) for over an hour. Dr E considered it likely that Mrs A had a chest infection, and requested a chest X-ray, blood tests and an ECG. The blood test results showed mildly raised potassium and troponin levels. Two hours after her initial review in</w:t>
      </w:r>
      <w:r>
        <w:rPr>
          <w:szCs w:val="22"/>
        </w:rPr>
        <w:t xml:space="preserve"> the</w:t>
      </w:r>
      <w:r w:rsidRPr="009179EE">
        <w:rPr>
          <w:szCs w:val="22"/>
        </w:rPr>
        <w:t xml:space="preserve"> ED, Mrs A was referred to the medical team.</w:t>
      </w:r>
    </w:p>
    <w:p w:rsidR="00522AF6" w:rsidRPr="009179EE" w:rsidRDefault="00522AF6" w:rsidP="00522AF6">
      <w:pPr>
        <w:tabs>
          <w:tab w:val="left" w:pos="720"/>
          <w:tab w:val="left" w:pos="1134"/>
        </w:tabs>
        <w:spacing w:before="120" w:after="120"/>
        <w:rPr>
          <w:szCs w:val="22"/>
        </w:rPr>
      </w:pPr>
      <w:r>
        <w:rPr>
          <w:szCs w:val="22"/>
        </w:rPr>
        <w:t xml:space="preserve">A general medical registrar, </w:t>
      </w:r>
      <w:r w:rsidRPr="009179EE">
        <w:rPr>
          <w:szCs w:val="22"/>
        </w:rPr>
        <w:t xml:space="preserve">Dr I, reviewed Mrs A six hours later, while she was still in </w:t>
      </w:r>
      <w:r>
        <w:rPr>
          <w:szCs w:val="22"/>
        </w:rPr>
        <w:t xml:space="preserve">the </w:t>
      </w:r>
      <w:r w:rsidRPr="009179EE">
        <w:rPr>
          <w:szCs w:val="22"/>
        </w:rPr>
        <w:t xml:space="preserve">ED. Dr I concluded that Mrs A was likely to be suffering from an exacerbation of her asthma/chronic obstructive pulmonary disease and planned repeat venous blood gas tests and a repeat ECG. Dr I performed an arterial blood gas test which showed an increased potassium level. However, Dr I decided to wait for the results of the venous blood gas test results before commencing treatment for the raised potassium level. </w:t>
      </w:r>
    </w:p>
    <w:p w:rsidR="00522AF6" w:rsidRPr="009179EE" w:rsidRDefault="00522AF6" w:rsidP="00522AF6">
      <w:pPr>
        <w:tabs>
          <w:tab w:val="left" w:pos="720"/>
          <w:tab w:val="left" w:pos="1134"/>
        </w:tabs>
        <w:spacing w:before="120" w:after="120"/>
        <w:rPr>
          <w:szCs w:val="22"/>
        </w:rPr>
      </w:pPr>
      <w:r>
        <w:rPr>
          <w:szCs w:val="22"/>
        </w:rPr>
        <w:t>Approximately</w:t>
      </w:r>
      <w:r w:rsidRPr="009179EE">
        <w:rPr>
          <w:szCs w:val="22"/>
        </w:rPr>
        <w:t xml:space="preserve"> two hours later, Dr I was called to assess Mrs A as she was complaining of chest pain. Dr I checked the repeat venous blood results which again showed a raised potassium level. Treatment was prescribed</w:t>
      </w:r>
      <w:r>
        <w:rPr>
          <w:szCs w:val="22"/>
        </w:rPr>
        <w:t xml:space="preserve"> for</w:t>
      </w:r>
      <w:r w:rsidRPr="009179EE">
        <w:rPr>
          <w:szCs w:val="22"/>
        </w:rPr>
        <w:t xml:space="preserve"> this and Mrs A was given medication for her chest pain. Approximately ten minutes later, Mrs A suffered ventricular tachycardia and the emergency alarm was activated. However, Mrs A lost consciousne</w:t>
      </w:r>
      <w:r>
        <w:rPr>
          <w:szCs w:val="22"/>
        </w:rPr>
        <w:t>ss and cardiac output and sadly</w:t>
      </w:r>
      <w:r w:rsidRPr="009179EE">
        <w:rPr>
          <w:szCs w:val="22"/>
        </w:rPr>
        <w:t xml:space="preserve"> died. </w:t>
      </w:r>
    </w:p>
    <w:p w:rsidR="00522AF6" w:rsidRPr="009179EE" w:rsidRDefault="00522AF6" w:rsidP="00522AF6">
      <w:pPr>
        <w:tabs>
          <w:tab w:val="left" w:pos="720"/>
          <w:tab w:val="left" w:pos="1134"/>
        </w:tabs>
        <w:spacing w:before="120" w:after="120"/>
        <w:rPr>
          <w:i/>
          <w:szCs w:val="22"/>
        </w:rPr>
      </w:pPr>
      <w:r w:rsidRPr="009179EE">
        <w:rPr>
          <w:i/>
          <w:szCs w:val="22"/>
        </w:rPr>
        <w:t>Findings</w:t>
      </w:r>
    </w:p>
    <w:p w:rsidR="00522AF6" w:rsidRPr="009179EE" w:rsidRDefault="00522AF6" w:rsidP="00522AF6">
      <w:pPr>
        <w:tabs>
          <w:tab w:val="left" w:pos="720"/>
          <w:tab w:val="left" w:pos="1134"/>
        </w:tabs>
        <w:spacing w:before="120" w:after="120"/>
        <w:rPr>
          <w:szCs w:val="22"/>
        </w:rPr>
      </w:pPr>
      <w:r>
        <w:rPr>
          <w:szCs w:val="22"/>
        </w:rPr>
        <w:t>The Commissioner</w:t>
      </w:r>
      <w:r w:rsidRPr="009179EE">
        <w:rPr>
          <w:szCs w:val="22"/>
        </w:rPr>
        <w:t xml:space="preserve"> held that the care provided to Mrs A was a serious departure from accepted standards, and that the DHB failed to meet its organisational duty to provide a safe healthcare environment for Mrs A. The Commissioner found that Mrs A was not monitored adequately by the nursing staff while she was in the ED, there were delays in her being assessed by the medical registrar, and the medical registrar’s reaction to concerning changes in Mrs A’s conditio</w:t>
      </w:r>
      <w:r>
        <w:rPr>
          <w:szCs w:val="22"/>
        </w:rPr>
        <w:t>n was</w:t>
      </w:r>
      <w:r w:rsidRPr="009179EE">
        <w:rPr>
          <w:szCs w:val="22"/>
        </w:rPr>
        <w:t xml:space="preserve"> inadequate.</w:t>
      </w:r>
      <w:r>
        <w:rPr>
          <w:szCs w:val="22"/>
        </w:rPr>
        <w:t xml:space="preserve"> Therefore, t</w:t>
      </w:r>
      <w:r w:rsidRPr="009179EE">
        <w:rPr>
          <w:szCs w:val="22"/>
        </w:rPr>
        <w:t>he DHB failed to provide services to Mrs A with reasonable care and skill and</w:t>
      </w:r>
      <w:r>
        <w:rPr>
          <w:szCs w:val="22"/>
        </w:rPr>
        <w:t>,</w:t>
      </w:r>
      <w:r w:rsidRPr="009179EE">
        <w:rPr>
          <w:szCs w:val="22"/>
        </w:rPr>
        <w:t xml:space="preserve"> accordingly, breached Right 4(1)</w:t>
      </w:r>
      <w:r>
        <w:rPr>
          <w:szCs w:val="22"/>
        </w:rPr>
        <w:t xml:space="preserve"> of the Code</w:t>
      </w:r>
      <w:r w:rsidRPr="009179EE">
        <w:rPr>
          <w:szCs w:val="22"/>
        </w:rPr>
        <w:t>.</w:t>
      </w:r>
    </w:p>
    <w:p w:rsidR="00522AF6" w:rsidRPr="009179EE" w:rsidRDefault="00522AF6" w:rsidP="00522AF6">
      <w:pPr>
        <w:pStyle w:val="NoSpacing"/>
        <w:spacing w:before="120" w:after="120"/>
        <w:rPr>
          <w:rFonts w:cs="Times New Roman"/>
          <w:i/>
          <w:lang w:val="en-NZ"/>
        </w:rPr>
      </w:pPr>
      <w:r w:rsidRPr="009179EE">
        <w:rPr>
          <w:rFonts w:cs="Times New Roman"/>
          <w:i/>
          <w:lang w:val="en-NZ"/>
        </w:rPr>
        <w:t>Recommendations</w:t>
      </w:r>
    </w:p>
    <w:p w:rsidR="00522AF6" w:rsidRPr="009179EE" w:rsidRDefault="00522AF6" w:rsidP="00522AF6">
      <w:pPr>
        <w:spacing w:before="240" w:after="120"/>
        <w:rPr>
          <w:szCs w:val="22"/>
        </w:rPr>
      </w:pPr>
      <w:r w:rsidRPr="009179EE">
        <w:rPr>
          <w:szCs w:val="22"/>
        </w:rPr>
        <w:t>The DHB instigated a number of changes in response to this case. The Commissioner also made a number of recommendations, including that the DHB:</w:t>
      </w:r>
    </w:p>
    <w:p w:rsidR="00522AF6" w:rsidRPr="009179EE" w:rsidRDefault="00522AF6" w:rsidP="00522AF6">
      <w:pPr>
        <w:pStyle w:val="ListParagraph"/>
        <w:numPr>
          <w:ilvl w:val="0"/>
          <w:numId w:val="3"/>
        </w:numPr>
        <w:spacing w:after="120"/>
        <w:ind w:left="714" w:hanging="357"/>
        <w:rPr>
          <w:szCs w:val="22"/>
        </w:rPr>
      </w:pPr>
      <w:r>
        <w:rPr>
          <w:szCs w:val="22"/>
        </w:rPr>
        <w:t>p</w:t>
      </w:r>
      <w:r w:rsidRPr="009179EE">
        <w:rPr>
          <w:szCs w:val="22"/>
        </w:rPr>
        <w:t>rovide an apology to Mrs A’s family for its breach of the Code</w:t>
      </w:r>
      <w:r>
        <w:rPr>
          <w:szCs w:val="22"/>
        </w:rPr>
        <w:t>;</w:t>
      </w:r>
    </w:p>
    <w:p w:rsidR="00522AF6" w:rsidRPr="009179EE" w:rsidRDefault="00522AF6" w:rsidP="00522AF6">
      <w:pPr>
        <w:pStyle w:val="ListParagraph"/>
        <w:numPr>
          <w:ilvl w:val="0"/>
          <w:numId w:val="3"/>
        </w:numPr>
        <w:spacing w:after="120"/>
        <w:ind w:left="714" w:hanging="357"/>
        <w:rPr>
          <w:b/>
          <w:szCs w:val="22"/>
        </w:rPr>
      </w:pPr>
      <w:r>
        <w:rPr>
          <w:szCs w:val="22"/>
        </w:rPr>
        <w:t>a</w:t>
      </w:r>
      <w:r w:rsidRPr="009179EE">
        <w:rPr>
          <w:szCs w:val="22"/>
        </w:rPr>
        <w:t>udit the effectiveness and level of compliance with its triage policy</w:t>
      </w:r>
      <w:r>
        <w:rPr>
          <w:szCs w:val="22"/>
        </w:rPr>
        <w:t>;</w:t>
      </w:r>
      <w:r w:rsidRPr="009179EE">
        <w:rPr>
          <w:szCs w:val="22"/>
        </w:rPr>
        <w:t xml:space="preserve"> </w:t>
      </w:r>
    </w:p>
    <w:p w:rsidR="00522AF6" w:rsidRPr="009179EE" w:rsidRDefault="00522AF6" w:rsidP="00522AF6">
      <w:pPr>
        <w:pStyle w:val="ListParagraph"/>
        <w:numPr>
          <w:ilvl w:val="0"/>
          <w:numId w:val="3"/>
        </w:numPr>
        <w:spacing w:after="120"/>
        <w:ind w:left="714" w:hanging="357"/>
        <w:rPr>
          <w:b/>
          <w:szCs w:val="22"/>
        </w:rPr>
      </w:pPr>
      <w:r>
        <w:rPr>
          <w:szCs w:val="22"/>
        </w:rPr>
        <w:t>p</w:t>
      </w:r>
      <w:r w:rsidRPr="009179EE">
        <w:rPr>
          <w:szCs w:val="22"/>
        </w:rPr>
        <w:t xml:space="preserve">rovide HDC with the results of its 2013 and 2014 </w:t>
      </w:r>
      <w:proofErr w:type="spellStart"/>
      <w:r w:rsidRPr="009179EE">
        <w:rPr>
          <w:szCs w:val="22"/>
        </w:rPr>
        <w:t>SSiED</w:t>
      </w:r>
      <w:proofErr w:type="spellEnd"/>
      <w:r w:rsidRPr="009179EE">
        <w:rPr>
          <w:szCs w:val="22"/>
        </w:rPr>
        <w:t xml:space="preserve"> (shorter stays in emergency depart</w:t>
      </w:r>
      <w:r>
        <w:rPr>
          <w:szCs w:val="22"/>
        </w:rPr>
        <w:t>ments) health target compliance;</w:t>
      </w:r>
    </w:p>
    <w:p w:rsidR="00522AF6" w:rsidRPr="009179EE" w:rsidRDefault="00522AF6" w:rsidP="00522AF6">
      <w:pPr>
        <w:pStyle w:val="ListParagraph"/>
        <w:numPr>
          <w:ilvl w:val="0"/>
          <w:numId w:val="3"/>
        </w:numPr>
        <w:spacing w:after="120"/>
        <w:ind w:left="714" w:hanging="357"/>
        <w:rPr>
          <w:b/>
          <w:szCs w:val="22"/>
        </w:rPr>
      </w:pPr>
      <w:r>
        <w:rPr>
          <w:szCs w:val="22"/>
        </w:rPr>
        <w:t>c</w:t>
      </w:r>
      <w:r w:rsidRPr="009179EE">
        <w:rPr>
          <w:szCs w:val="22"/>
        </w:rPr>
        <w:t>onduct training for staff w</w:t>
      </w:r>
      <w:r>
        <w:rPr>
          <w:szCs w:val="22"/>
        </w:rPr>
        <w:t>hen clinical care guidelines were</w:t>
      </w:r>
      <w:r w:rsidRPr="009179EE">
        <w:rPr>
          <w:szCs w:val="22"/>
        </w:rPr>
        <w:t xml:space="preserve"> updated and provide refresher training on the updated clinical car</w:t>
      </w:r>
      <w:r>
        <w:rPr>
          <w:szCs w:val="22"/>
        </w:rPr>
        <w:t>e guidelines on a regular basis;</w:t>
      </w:r>
    </w:p>
    <w:p w:rsidR="00522AF6" w:rsidRPr="009179EE" w:rsidRDefault="00522AF6" w:rsidP="00522AF6">
      <w:pPr>
        <w:pStyle w:val="ListParagraph"/>
        <w:numPr>
          <w:ilvl w:val="0"/>
          <w:numId w:val="3"/>
        </w:numPr>
        <w:spacing w:after="120"/>
        <w:ind w:left="714" w:hanging="357"/>
        <w:rPr>
          <w:szCs w:val="22"/>
        </w:rPr>
      </w:pPr>
      <w:r>
        <w:rPr>
          <w:szCs w:val="22"/>
        </w:rPr>
        <w:t>c</w:t>
      </w:r>
      <w:r w:rsidRPr="009179EE">
        <w:rPr>
          <w:szCs w:val="22"/>
        </w:rPr>
        <w:t>onduct a random audit of ED R</w:t>
      </w:r>
      <w:r>
        <w:rPr>
          <w:szCs w:val="22"/>
        </w:rPr>
        <w:t xml:space="preserve">esident </w:t>
      </w:r>
      <w:r w:rsidRPr="009179EE">
        <w:rPr>
          <w:szCs w:val="22"/>
        </w:rPr>
        <w:t>M</w:t>
      </w:r>
      <w:r>
        <w:rPr>
          <w:szCs w:val="22"/>
        </w:rPr>
        <w:t xml:space="preserve">edical </w:t>
      </w:r>
      <w:r w:rsidRPr="009179EE">
        <w:rPr>
          <w:szCs w:val="22"/>
        </w:rPr>
        <w:t>O</w:t>
      </w:r>
      <w:r>
        <w:rPr>
          <w:szCs w:val="22"/>
        </w:rPr>
        <w:t>fficer</w:t>
      </w:r>
      <w:r w:rsidRPr="009179EE">
        <w:rPr>
          <w:szCs w:val="22"/>
        </w:rPr>
        <w:t>s’</w:t>
      </w:r>
      <w:r>
        <w:rPr>
          <w:szCs w:val="22"/>
        </w:rPr>
        <w:t xml:space="preserve"> (RMOs)</w:t>
      </w:r>
      <w:r w:rsidRPr="009179EE">
        <w:rPr>
          <w:szCs w:val="22"/>
        </w:rPr>
        <w:t xml:space="preserve"> understanding of the RMO guidelines, in particular, the circumstances under which the RMO should notify the SMO </w:t>
      </w:r>
      <w:r>
        <w:rPr>
          <w:szCs w:val="22"/>
        </w:rPr>
        <w:t>(or senior registrar overnight);</w:t>
      </w:r>
    </w:p>
    <w:p w:rsidR="00522AF6" w:rsidRPr="009179EE" w:rsidRDefault="00522AF6" w:rsidP="00522AF6">
      <w:pPr>
        <w:pStyle w:val="ListParagraph"/>
        <w:numPr>
          <w:ilvl w:val="0"/>
          <w:numId w:val="3"/>
        </w:numPr>
        <w:spacing w:after="120"/>
        <w:ind w:left="714" w:hanging="357"/>
        <w:rPr>
          <w:szCs w:val="22"/>
        </w:rPr>
      </w:pPr>
      <w:r>
        <w:rPr>
          <w:szCs w:val="22"/>
        </w:rPr>
        <w:t>a</w:t>
      </w:r>
      <w:r w:rsidRPr="009179EE">
        <w:rPr>
          <w:szCs w:val="22"/>
        </w:rPr>
        <w:t>ssess the changes made relating to ED length of stay and improvements to patie</w:t>
      </w:r>
      <w:r>
        <w:rPr>
          <w:szCs w:val="22"/>
        </w:rPr>
        <w:t>nt flow throughout the hospital;</w:t>
      </w:r>
    </w:p>
    <w:p w:rsidR="00522AF6" w:rsidRPr="009179EE" w:rsidRDefault="00522AF6" w:rsidP="00522AF6">
      <w:pPr>
        <w:pStyle w:val="ListParagraph"/>
        <w:numPr>
          <w:ilvl w:val="0"/>
          <w:numId w:val="3"/>
        </w:numPr>
        <w:spacing w:after="120"/>
        <w:ind w:left="714" w:hanging="357"/>
        <w:rPr>
          <w:szCs w:val="22"/>
        </w:rPr>
      </w:pPr>
      <w:r>
        <w:rPr>
          <w:szCs w:val="22"/>
        </w:rPr>
        <w:t>p</w:t>
      </w:r>
      <w:r w:rsidRPr="009179EE">
        <w:rPr>
          <w:szCs w:val="22"/>
        </w:rPr>
        <w:t>ut in place a system where the laboratory immediately alerts the relevant department or request</w:t>
      </w:r>
      <w:r>
        <w:rPr>
          <w:szCs w:val="22"/>
        </w:rPr>
        <w:t>ing doctor of a critical result; and</w:t>
      </w:r>
    </w:p>
    <w:p w:rsidR="00522AF6" w:rsidRDefault="00522AF6" w:rsidP="00522AF6">
      <w:pPr>
        <w:pStyle w:val="ListParagraph"/>
        <w:numPr>
          <w:ilvl w:val="0"/>
          <w:numId w:val="3"/>
        </w:numPr>
        <w:ind w:left="714" w:hanging="357"/>
        <w:rPr>
          <w:szCs w:val="22"/>
        </w:rPr>
      </w:pPr>
      <w:r>
        <w:rPr>
          <w:szCs w:val="22"/>
        </w:rPr>
        <w:t>r</w:t>
      </w:r>
      <w:r w:rsidRPr="009179EE">
        <w:rPr>
          <w:szCs w:val="22"/>
        </w:rPr>
        <w:t>eview the role of ED consultants to ensure that adequate supervision of junior doctors is occurring.</w:t>
      </w:r>
    </w:p>
    <w:p w:rsidR="00522AF6" w:rsidRDefault="00522AF6" w:rsidP="00522AF6">
      <w:pPr>
        <w:rPr>
          <w:szCs w:val="22"/>
        </w:rPr>
      </w:pPr>
    </w:p>
    <w:p w:rsidR="00522AF6" w:rsidRPr="00AD7AAD" w:rsidRDefault="00522AF6" w:rsidP="00522AF6">
      <w:pPr>
        <w:rPr>
          <w:szCs w:val="22"/>
        </w:rPr>
      </w:pPr>
      <w:r>
        <w:rPr>
          <w:szCs w:val="22"/>
        </w:rPr>
        <w:t xml:space="preserve">The DHB has met the majority of these recommendations, with others being due within </w:t>
      </w:r>
      <w:r>
        <w:t>three months of the date of the investigation</w:t>
      </w:r>
      <w:r w:rsidRPr="004B2A6C">
        <w:t xml:space="preserve"> report</w:t>
      </w:r>
      <w:r>
        <w:t>.</w:t>
      </w:r>
    </w:p>
    <w:p w:rsidR="00522AF6" w:rsidRPr="009179EE" w:rsidRDefault="00522AF6" w:rsidP="00522AF6">
      <w:pPr>
        <w:spacing w:before="240" w:after="120"/>
        <w:rPr>
          <w:i/>
          <w:szCs w:val="22"/>
        </w:rPr>
      </w:pPr>
      <w:r w:rsidRPr="009179EE">
        <w:rPr>
          <w:b/>
          <w:szCs w:val="22"/>
        </w:rPr>
        <w:t>Care during labour of post-dates woman who had risk factors (13HDC00843)</w:t>
      </w:r>
    </w:p>
    <w:p w:rsidR="00522AF6" w:rsidRPr="009179EE" w:rsidRDefault="00522AF6" w:rsidP="00522AF6">
      <w:pPr>
        <w:spacing w:before="120" w:after="120"/>
        <w:rPr>
          <w:i/>
          <w:szCs w:val="22"/>
        </w:rPr>
      </w:pPr>
      <w:r w:rsidRPr="009179EE">
        <w:rPr>
          <w:i/>
          <w:szCs w:val="22"/>
        </w:rPr>
        <w:t>Background</w:t>
      </w:r>
    </w:p>
    <w:p w:rsidR="00522AF6" w:rsidRPr="009179EE" w:rsidRDefault="00522AF6" w:rsidP="00522AF6">
      <w:pPr>
        <w:spacing w:before="120" w:after="120"/>
        <w:rPr>
          <w:szCs w:val="22"/>
        </w:rPr>
      </w:pPr>
      <w:r>
        <w:rPr>
          <w:szCs w:val="22"/>
        </w:rPr>
        <w:t>M</w:t>
      </w:r>
      <w:r w:rsidRPr="009179EE">
        <w:rPr>
          <w:szCs w:val="22"/>
        </w:rPr>
        <w:t xml:space="preserve">s A, who was pregnant with her third child, was admitted for an induction of labour (IOL) 10 days after her due date. She met with her LMC midwife (Ms C) and was then assessed by the on-call registrar (Dr B) who performed an artificial rupture of membranes. The baby was noted to be in a face presentation. Despite the face presentation, Ms C and Dr B considered that it was appropriate to augment the labour with Syntocinon. A short time later Ms C was unable to locate a </w:t>
      </w:r>
      <w:proofErr w:type="spellStart"/>
      <w:r w:rsidRPr="009179EE">
        <w:rPr>
          <w:szCs w:val="22"/>
        </w:rPr>
        <w:t>fetal</w:t>
      </w:r>
      <w:proofErr w:type="spellEnd"/>
      <w:r w:rsidRPr="009179EE">
        <w:rPr>
          <w:szCs w:val="22"/>
        </w:rPr>
        <w:t xml:space="preserve"> heart rate (FHR). The Syntocinon was turned off and Dr B was called. Dr B noted FHR dec</w:t>
      </w:r>
      <w:r>
        <w:rPr>
          <w:szCs w:val="22"/>
        </w:rPr>
        <w:t>ele</w:t>
      </w:r>
      <w:r w:rsidRPr="009179EE">
        <w:rPr>
          <w:szCs w:val="22"/>
        </w:rPr>
        <w:t xml:space="preserve">rations and that the baby was now in an undeliverable brow presentation and a Caesarean section was necessary. </w:t>
      </w:r>
    </w:p>
    <w:p w:rsidR="00522AF6" w:rsidRDefault="00522AF6" w:rsidP="00522AF6">
      <w:pPr>
        <w:spacing w:before="120" w:after="120"/>
        <w:rPr>
          <w:szCs w:val="22"/>
        </w:rPr>
      </w:pPr>
      <w:r w:rsidRPr="009179EE">
        <w:rPr>
          <w:szCs w:val="22"/>
        </w:rPr>
        <w:t>Prior to transfer to theatre the hospital mi</w:t>
      </w:r>
      <w:r>
        <w:rPr>
          <w:szCs w:val="22"/>
        </w:rPr>
        <w:t>dwives assisting in preparing M</w:t>
      </w:r>
      <w:r w:rsidRPr="009179EE">
        <w:rPr>
          <w:szCs w:val="22"/>
        </w:rPr>
        <w:t xml:space="preserve">s A again had difficulty detecting and recording the FHR. This was not adequately communicated within the team and the FHR was not monitored again on arrival </w:t>
      </w:r>
      <w:r>
        <w:rPr>
          <w:szCs w:val="22"/>
        </w:rPr>
        <w:t>in</w:t>
      </w:r>
      <w:r w:rsidRPr="009179EE">
        <w:rPr>
          <w:szCs w:val="22"/>
        </w:rPr>
        <w:t xml:space="preserve"> theatre. After the anaesthetist had inserted a spinal block Dr B realised that the FHR was not being monitored. Ms C then attempted to located the FHR by auscultation with a hand held Doppler but was unable to locate it. Dr B performed an ultrasound scan and confirmed that no </w:t>
      </w:r>
      <w:proofErr w:type="spellStart"/>
      <w:r w:rsidRPr="009179EE">
        <w:rPr>
          <w:szCs w:val="22"/>
        </w:rPr>
        <w:t>fetal</w:t>
      </w:r>
      <w:proofErr w:type="spellEnd"/>
      <w:r w:rsidRPr="009179EE">
        <w:rPr>
          <w:szCs w:val="22"/>
        </w:rPr>
        <w:t xml:space="preserve"> heartbeat was present</w:t>
      </w:r>
      <w:r>
        <w:rPr>
          <w:szCs w:val="22"/>
        </w:rPr>
        <w:t>.</w:t>
      </w:r>
    </w:p>
    <w:p w:rsidR="00522AF6" w:rsidRPr="009179EE" w:rsidRDefault="00522AF6" w:rsidP="00522AF6">
      <w:pPr>
        <w:spacing w:before="120" w:after="120"/>
        <w:rPr>
          <w:szCs w:val="22"/>
        </w:rPr>
      </w:pPr>
      <w:r>
        <w:rPr>
          <w:szCs w:val="22"/>
        </w:rPr>
        <w:t>After discussion with the parents, Dr B made the decision to perform a Caesarean section. Sadly, the baby was stillborn.</w:t>
      </w:r>
    </w:p>
    <w:p w:rsidR="00522AF6" w:rsidRDefault="00522AF6" w:rsidP="00522AF6">
      <w:pPr>
        <w:spacing w:before="120" w:after="120"/>
        <w:rPr>
          <w:i/>
          <w:szCs w:val="22"/>
        </w:rPr>
      </w:pPr>
      <w:r w:rsidRPr="009179EE">
        <w:rPr>
          <w:i/>
          <w:szCs w:val="22"/>
        </w:rPr>
        <w:t>Findings</w:t>
      </w:r>
    </w:p>
    <w:p w:rsidR="00522AF6" w:rsidRDefault="00522AF6" w:rsidP="00522AF6">
      <w:pPr>
        <w:spacing w:before="120" w:after="120"/>
        <w:rPr>
          <w:szCs w:val="22"/>
        </w:rPr>
      </w:pPr>
      <w:r>
        <w:rPr>
          <w:szCs w:val="22"/>
        </w:rPr>
        <w:t xml:space="preserve">The Commissioner found that it was clinically inappropriate, and also contrary to the DHB’s policy, to commence Syntocinon in the circumstances and Dr B should have consulted with the on-call consultant before making that decision. Dr B was found in breach of Right 4(1) of the Code for not consulting with the on-call consultant, for making the decision to commence Syntocinon, for failing to reassess Ms A’s uterine activity adequately and for failing to ensure monitoring of the FHR in the perioperative area. It was also held that Dr B breached Right 6(1)(b) of the Code for failing to provide Ms A with information about the option of performing a Caesarean section and the risks of Syntocinon before it was commenced. The Commissioner was critical of Dr B’s failure to proceed with an emergency Caesarean section immediately when the </w:t>
      </w:r>
      <w:proofErr w:type="spellStart"/>
      <w:r>
        <w:rPr>
          <w:szCs w:val="22"/>
        </w:rPr>
        <w:t>fetal</w:t>
      </w:r>
      <w:proofErr w:type="spellEnd"/>
      <w:r>
        <w:rPr>
          <w:szCs w:val="22"/>
        </w:rPr>
        <w:t xml:space="preserve"> heartbeat was not detected.</w:t>
      </w:r>
    </w:p>
    <w:p w:rsidR="00522AF6" w:rsidRDefault="00522AF6" w:rsidP="00522AF6">
      <w:pPr>
        <w:spacing w:before="120" w:after="120"/>
        <w:rPr>
          <w:szCs w:val="22"/>
        </w:rPr>
      </w:pPr>
      <w:r>
        <w:rPr>
          <w:szCs w:val="22"/>
        </w:rPr>
        <w:t xml:space="preserve">The Commissioner was critical of Ms C’s recommendation to commence Syntocinon. However, the Commissioner accepted that this was ultimately an obstetric decision and concluded that Ms C’s involvement in the decision did not warrant a finding that she breached the Code.  </w:t>
      </w:r>
    </w:p>
    <w:p w:rsidR="00522AF6" w:rsidRPr="009179EE" w:rsidRDefault="00522AF6" w:rsidP="00522AF6">
      <w:pPr>
        <w:spacing w:before="120" w:after="120"/>
        <w:rPr>
          <w:szCs w:val="22"/>
        </w:rPr>
      </w:pPr>
      <w:r>
        <w:rPr>
          <w:szCs w:val="22"/>
        </w:rPr>
        <w:t>The Commissioner had significant concerns about the individual and team failings in this case and found that the DHB failed to have a system in place that ensured policies and procedures were followed. The Commissioner stated that “policies and procedures are of little use unless they are accessible to staff and followed consistently. I am satisfied that the policies were available to staff. However, despite this I am concerned that the policies were not followed by both the registrar and the LMC midwife”. The Commissioner further considered that the failure of any one staff member to initiate FHR monitoring upon arrival in the perioperative area was another example of staff failing to follow procedure. The Commissioner also found that staff failed to think critically and important information was not communicated effectively. Furthermore, it was held that the DHB must take some responsibility for Dr B’s decision-making in this case. The Commissioner concluded that the DHB failed to provide services to Ms A with reasonable care and skill and, accordingly, breached Right 4(1) of the Code.</w:t>
      </w:r>
    </w:p>
    <w:p w:rsidR="00522AF6" w:rsidRDefault="00522AF6" w:rsidP="00522AF6">
      <w:pPr>
        <w:spacing w:before="120" w:after="120"/>
        <w:rPr>
          <w:i/>
          <w:szCs w:val="22"/>
        </w:rPr>
      </w:pPr>
    </w:p>
    <w:p w:rsidR="00522AF6" w:rsidRDefault="00522AF6" w:rsidP="00522AF6">
      <w:pPr>
        <w:spacing w:before="120" w:after="120"/>
        <w:rPr>
          <w:i/>
          <w:szCs w:val="22"/>
        </w:rPr>
      </w:pPr>
      <w:r w:rsidRPr="009179EE">
        <w:rPr>
          <w:i/>
          <w:szCs w:val="22"/>
        </w:rPr>
        <w:t>Recommendations</w:t>
      </w:r>
    </w:p>
    <w:p w:rsidR="00522AF6" w:rsidRDefault="00522AF6" w:rsidP="00522AF6">
      <w:pPr>
        <w:spacing w:before="120" w:after="120"/>
        <w:rPr>
          <w:szCs w:val="22"/>
        </w:rPr>
      </w:pPr>
      <w:r>
        <w:rPr>
          <w:szCs w:val="22"/>
        </w:rPr>
        <w:t>In response to the Commissioner’s recommendations, Dr B provided a written apology to Ms A and provided a report to HDC on the changes she had made to her practice with regard to communication in stressful situations. The Commissioner also made a number of recommendations to the DHB, including that the DHB:</w:t>
      </w:r>
    </w:p>
    <w:p w:rsidR="00522AF6" w:rsidRDefault="00522AF6" w:rsidP="00522AF6">
      <w:pPr>
        <w:pStyle w:val="ListParagraph"/>
        <w:numPr>
          <w:ilvl w:val="0"/>
          <w:numId w:val="4"/>
        </w:numPr>
        <w:spacing w:before="120" w:after="120"/>
        <w:rPr>
          <w:szCs w:val="22"/>
        </w:rPr>
      </w:pPr>
      <w:r>
        <w:rPr>
          <w:szCs w:val="22"/>
        </w:rPr>
        <w:t xml:space="preserve">carry out an audit of all </w:t>
      </w:r>
      <w:proofErr w:type="spellStart"/>
      <w:r>
        <w:rPr>
          <w:szCs w:val="22"/>
        </w:rPr>
        <w:t>malpresentation</w:t>
      </w:r>
      <w:proofErr w:type="spellEnd"/>
      <w:r>
        <w:rPr>
          <w:szCs w:val="22"/>
        </w:rPr>
        <w:t xml:space="preserve"> deliveries, assessing compliance with the new policy for mandatory consultant involvement;</w:t>
      </w:r>
    </w:p>
    <w:p w:rsidR="00522AF6" w:rsidRDefault="00522AF6" w:rsidP="00522AF6">
      <w:pPr>
        <w:pStyle w:val="ListParagraph"/>
        <w:numPr>
          <w:ilvl w:val="0"/>
          <w:numId w:val="4"/>
        </w:numPr>
        <w:spacing w:before="120" w:after="120"/>
        <w:rPr>
          <w:szCs w:val="22"/>
        </w:rPr>
      </w:pPr>
      <w:r>
        <w:rPr>
          <w:szCs w:val="22"/>
        </w:rPr>
        <w:t>carry out an audit of all Caesarean sections performed on women who have been induced and proceed to Caesarean section, or have an emergency or acute Caesarean section, assessing compliance with the new policy for mandatory CTG monitoring in theatre; and</w:t>
      </w:r>
    </w:p>
    <w:p w:rsidR="00522AF6" w:rsidRDefault="00522AF6" w:rsidP="00522AF6">
      <w:pPr>
        <w:pStyle w:val="ListParagraph"/>
        <w:numPr>
          <w:ilvl w:val="0"/>
          <w:numId w:val="4"/>
        </w:numPr>
        <w:spacing w:before="120" w:after="120"/>
        <w:rPr>
          <w:szCs w:val="22"/>
        </w:rPr>
      </w:pPr>
      <w:r>
        <w:rPr>
          <w:szCs w:val="22"/>
        </w:rPr>
        <w:t>develop and implement training for staff communication when a senior person does not appreciate clinical concerns.</w:t>
      </w:r>
    </w:p>
    <w:p w:rsidR="00522AF6" w:rsidRPr="00365ACE" w:rsidRDefault="00522AF6" w:rsidP="00522AF6">
      <w:pPr>
        <w:spacing w:before="120" w:after="240"/>
        <w:rPr>
          <w:szCs w:val="22"/>
        </w:rPr>
      </w:pPr>
      <w:r>
        <w:rPr>
          <w:szCs w:val="22"/>
        </w:rPr>
        <w:t>These recommendations have been met by the DHB.</w:t>
      </w:r>
    </w:p>
    <w:p w:rsidR="00522AF6" w:rsidRPr="009179EE" w:rsidRDefault="00522AF6" w:rsidP="00522AF6">
      <w:pPr>
        <w:spacing w:before="240" w:after="120"/>
        <w:rPr>
          <w:i/>
          <w:szCs w:val="22"/>
        </w:rPr>
      </w:pPr>
      <w:r>
        <w:rPr>
          <w:b/>
          <w:szCs w:val="22"/>
        </w:rPr>
        <w:t>Complications following gallbladder removal (12HDC00779</w:t>
      </w:r>
      <w:r w:rsidRPr="009179EE">
        <w:rPr>
          <w:b/>
          <w:szCs w:val="22"/>
        </w:rPr>
        <w:t>)</w:t>
      </w:r>
    </w:p>
    <w:p w:rsidR="00522AF6" w:rsidRDefault="00522AF6" w:rsidP="00522AF6">
      <w:pPr>
        <w:spacing w:before="120" w:after="120"/>
        <w:rPr>
          <w:i/>
          <w:szCs w:val="22"/>
        </w:rPr>
      </w:pPr>
      <w:r w:rsidRPr="009179EE">
        <w:rPr>
          <w:i/>
          <w:szCs w:val="22"/>
        </w:rPr>
        <w:t>Background</w:t>
      </w:r>
    </w:p>
    <w:p w:rsidR="00522AF6" w:rsidRDefault="00522AF6" w:rsidP="00522AF6">
      <w:pPr>
        <w:spacing w:before="120" w:after="120"/>
        <w:rPr>
          <w:szCs w:val="22"/>
        </w:rPr>
      </w:pPr>
      <w:r>
        <w:rPr>
          <w:szCs w:val="22"/>
        </w:rPr>
        <w:t xml:space="preserve">Mr A, a 74 year old man who had multiple co-morbidities, presented to the Emergency Department (ED) of a public hospital with a sudden onset of right-sided back pain. Following a renal ultrasound that showed multiple gallstones, ED clinicians discharged him and referred him to the Surgical Outpatients Clinic for a possible cholecystectomy (surgical removal of the gallbladder). </w:t>
      </w:r>
    </w:p>
    <w:p w:rsidR="00522AF6" w:rsidRDefault="00522AF6" w:rsidP="00522AF6">
      <w:pPr>
        <w:spacing w:before="120" w:after="120"/>
        <w:rPr>
          <w:szCs w:val="22"/>
        </w:rPr>
      </w:pPr>
      <w:r>
        <w:rPr>
          <w:szCs w:val="22"/>
        </w:rPr>
        <w:t xml:space="preserve">A general surgeon, Dr D, reviewed Mr A and recommended he undergo an open cholecystectomy and incisional hernia repair. Mr A had a preoperative anaesthetic assessment, and the anaesthetist (Dr G) recommended that Mr A’s planned surgery be delayed six months because of issues with his medication. </w:t>
      </w:r>
    </w:p>
    <w:p w:rsidR="00522AF6" w:rsidRDefault="00522AF6" w:rsidP="00522AF6">
      <w:pPr>
        <w:spacing w:before="120" w:after="120"/>
        <w:rPr>
          <w:szCs w:val="22"/>
        </w:rPr>
      </w:pPr>
      <w:r>
        <w:rPr>
          <w:szCs w:val="22"/>
        </w:rPr>
        <w:t>Mr A subsequently underwent treatment at the hospital for kidney stones, and presented to the ED with left-sided back pain. On the day of Mr A’s surgery, Dr D discussed Mr A’s recent medical history with him and the decision was made to proceed with surgery. However, Dr D did not document her discussion with Mr A.</w:t>
      </w:r>
    </w:p>
    <w:p w:rsidR="00522AF6" w:rsidRPr="00837BDE" w:rsidRDefault="00522AF6" w:rsidP="00522AF6">
      <w:pPr>
        <w:spacing w:before="120" w:after="120"/>
        <w:rPr>
          <w:szCs w:val="22"/>
        </w:rPr>
      </w:pPr>
      <w:r>
        <w:rPr>
          <w:szCs w:val="22"/>
        </w:rPr>
        <w:t xml:space="preserve">Mr A underwent surgery, which was longer and more difficult than expected. Post-operatively Mr A was transferred to the Intensive Care Unit (ICU). During the next 24 hours Mr A’s condition deteriorated. He was in pain, had low urine output, raised creatinine levels, ECG changes, and an increasingly distended abdomen. Mr A was treated by a number of doctors. At about midnight, a second general surgeon, Dr E, performed an exploratory laparotomy and repair of a </w:t>
      </w:r>
      <w:proofErr w:type="spellStart"/>
      <w:r>
        <w:rPr>
          <w:szCs w:val="22"/>
        </w:rPr>
        <w:t>jejunal</w:t>
      </w:r>
      <w:proofErr w:type="spellEnd"/>
      <w:r>
        <w:rPr>
          <w:szCs w:val="22"/>
        </w:rPr>
        <w:t xml:space="preserve"> perforation. However, Mr A continued to deteriorate and during the afternoon he was transferred to another hospital. Sadly, he died the following day.</w:t>
      </w:r>
    </w:p>
    <w:p w:rsidR="00522AF6" w:rsidRDefault="00522AF6" w:rsidP="00522AF6">
      <w:pPr>
        <w:spacing w:before="120" w:after="120"/>
        <w:rPr>
          <w:i/>
          <w:szCs w:val="22"/>
        </w:rPr>
      </w:pPr>
      <w:r w:rsidRPr="009179EE">
        <w:rPr>
          <w:i/>
          <w:szCs w:val="22"/>
        </w:rPr>
        <w:t>Findings</w:t>
      </w:r>
    </w:p>
    <w:p w:rsidR="00522AF6" w:rsidRDefault="00522AF6" w:rsidP="00522AF6">
      <w:pPr>
        <w:spacing w:before="120" w:after="120"/>
        <w:rPr>
          <w:szCs w:val="22"/>
        </w:rPr>
      </w:pPr>
      <w:r>
        <w:rPr>
          <w:szCs w:val="22"/>
        </w:rPr>
        <w:t>Dr D did not record any of the discussions she had with Mr A about whether the gallstone-related pain he was experiencing, if any, was significant enough for him to undergo surgery in light of alternative management options, or the risks of surgery that were specific to him given his co-morbidities, including his increased risk of death. In the absence of any documented evidence that these issues were discussed, the Commissioner found that Dr D failed to provide Mr A with information a reasonable consumer in his position would have needed to make an informed choice about treatment, in breach of Right 6(2) of the Code, and that Dr D did not obtain Mr A’s informed consent for surgery, in breach of Right 7(1). Dr D also demonstrated a lack of reasonable care and skill in deciding to perform surgery on Mr A seven months after her initial review of him, in circumstances where the planned surgery had been delayed, he had complex co-morbidities and had had medical treatment relevant to his condition in the intervening period. It was also found that Dr D’s approach to Mr A’s post-operative condition was insufficiently cautionary. In these respects Dr D breached Right 4(1). In addition, Dr D’s documentation fell below professional standards and, accordingly, she breached Right 4(2).</w:t>
      </w:r>
    </w:p>
    <w:p w:rsidR="00522AF6" w:rsidRDefault="00522AF6" w:rsidP="00522AF6">
      <w:pPr>
        <w:spacing w:before="120" w:after="120"/>
        <w:rPr>
          <w:szCs w:val="22"/>
        </w:rPr>
      </w:pPr>
      <w:r>
        <w:rPr>
          <w:szCs w:val="22"/>
        </w:rPr>
        <w:t>The Commissioner was also critical of the postoperative care provided to Mr A by Dr E and Dr G.</w:t>
      </w:r>
    </w:p>
    <w:p w:rsidR="00522AF6" w:rsidRDefault="00522AF6" w:rsidP="00522AF6">
      <w:pPr>
        <w:spacing w:before="120" w:after="120"/>
        <w:rPr>
          <w:szCs w:val="22"/>
        </w:rPr>
      </w:pPr>
      <w:r>
        <w:rPr>
          <w:szCs w:val="22"/>
        </w:rPr>
        <w:t>The Commissioner found that there was a lack of discernible leadership in the clinical team treating Mr A post-operatively. Although there were at least eight doctors involved in Mr A’s care between his first and second operations, no one appeared to have taken ownership of his care. This lack of leadership meant that there was a lack of coordination in Mr A’s care, and an absence of critical thinking in assessing the cause of his deteriorating condition. There was also a lack of support offered by senior doctors to junior doctors when they identified problems and discussed them with senior staff. The Commissioner concluded that this demonstrated a service level failure by the DHB to provide services with reasonable care and skill and accordingly, the DHB breached Right 4(1) of the Code. Furthermore, there was a pattern of sub-optimal documentation by the clinical staff treating Mr A post-operatively. For failing to ensure that staff met expected standards of documentation, the DHB was found in breach of Right 4(2). The Commissioner was critical of the DHB’s post-operative process and consent to treatment process. The Commissioner also made comments about the DHB’s Enhanced Recovery After Surgery (ERAS) protocol and about the DHB’s communication with Mr A’s family.</w:t>
      </w:r>
    </w:p>
    <w:p w:rsidR="00522AF6" w:rsidRPr="009179EE" w:rsidRDefault="00522AF6" w:rsidP="00522AF6">
      <w:pPr>
        <w:spacing w:before="120" w:after="120"/>
        <w:rPr>
          <w:i/>
          <w:szCs w:val="22"/>
        </w:rPr>
      </w:pPr>
      <w:r w:rsidRPr="009179EE">
        <w:rPr>
          <w:i/>
          <w:szCs w:val="22"/>
        </w:rPr>
        <w:t>Recommendations</w:t>
      </w:r>
    </w:p>
    <w:p w:rsidR="00522AF6" w:rsidRDefault="00522AF6" w:rsidP="00522AF6">
      <w:pPr>
        <w:spacing w:after="120"/>
        <w:rPr>
          <w:szCs w:val="22"/>
        </w:rPr>
      </w:pPr>
      <w:r w:rsidRPr="00F043F9">
        <w:rPr>
          <w:szCs w:val="22"/>
        </w:rPr>
        <w:t xml:space="preserve">In accordance with the Commissioner’s recommendations, Dr D provided an apology to Mr A’s family for her breaches of the Code. </w:t>
      </w:r>
      <w:r>
        <w:rPr>
          <w:szCs w:val="22"/>
        </w:rPr>
        <w:t>The Commissioner also recommended that the Medical Council consider whether to undertake a review of Dr D’s competence.</w:t>
      </w:r>
    </w:p>
    <w:p w:rsidR="00522AF6" w:rsidRDefault="00522AF6" w:rsidP="00522AF6">
      <w:pPr>
        <w:spacing w:after="120"/>
        <w:rPr>
          <w:szCs w:val="22"/>
        </w:rPr>
      </w:pPr>
      <w:r>
        <w:rPr>
          <w:szCs w:val="22"/>
        </w:rPr>
        <w:t>The Commissioner made a number of recommendations to the DHB, including that the DHB:</w:t>
      </w:r>
    </w:p>
    <w:p w:rsidR="00522AF6" w:rsidRDefault="00522AF6" w:rsidP="00522AF6">
      <w:pPr>
        <w:pStyle w:val="ListParagraph"/>
        <w:numPr>
          <w:ilvl w:val="0"/>
          <w:numId w:val="5"/>
        </w:numPr>
        <w:spacing w:after="120"/>
        <w:ind w:left="714" w:hanging="357"/>
        <w:rPr>
          <w:szCs w:val="22"/>
        </w:rPr>
      </w:pPr>
      <w:r>
        <w:rPr>
          <w:szCs w:val="22"/>
        </w:rPr>
        <w:t xml:space="preserve">provide a written apology to Mr A’s family for its breach of the Code; </w:t>
      </w:r>
    </w:p>
    <w:p w:rsidR="00522AF6" w:rsidRDefault="00522AF6" w:rsidP="00522AF6">
      <w:pPr>
        <w:pStyle w:val="ListParagraph"/>
        <w:numPr>
          <w:ilvl w:val="0"/>
          <w:numId w:val="5"/>
        </w:numPr>
        <w:spacing w:after="120"/>
        <w:rPr>
          <w:szCs w:val="22"/>
        </w:rPr>
      </w:pPr>
      <w:r>
        <w:rPr>
          <w:szCs w:val="22"/>
        </w:rPr>
        <w:t>review its processes for ensuring that pre-surgical patients are assessed in an appropriate and timely manner, especially in cases where surgery is unexpectedly delayed;</w:t>
      </w:r>
    </w:p>
    <w:p w:rsidR="00522AF6" w:rsidRDefault="00522AF6" w:rsidP="00522AF6">
      <w:pPr>
        <w:pStyle w:val="ListParagraph"/>
        <w:numPr>
          <w:ilvl w:val="0"/>
          <w:numId w:val="5"/>
        </w:numPr>
        <w:spacing w:after="120"/>
        <w:rPr>
          <w:szCs w:val="22"/>
        </w:rPr>
      </w:pPr>
      <w:r>
        <w:rPr>
          <w:szCs w:val="22"/>
        </w:rPr>
        <w:t>provide a report to HDC on the actions it intends to take to ensure that all ICU/HDU patients have a senior lead clinician who takes ownership for managing the patient’s care at all times;</w:t>
      </w:r>
    </w:p>
    <w:p w:rsidR="00522AF6" w:rsidRDefault="00522AF6" w:rsidP="00522AF6">
      <w:pPr>
        <w:pStyle w:val="ListParagraph"/>
        <w:numPr>
          <w:ilvl w:val="0"/>
          <w:numId w:val="5"/>
        </w:numPr>
        <w:spacing w:after="120"/>
        <w:rPr>
          <w:szCs w:val="22"/>
        </w:rPr>
      </w:pPr>
      <w:r>
        <w:rPr>
          <w:szCs w:val="22"/>
        </w:rPr>
        <w:t>conduct an audit of clinical records to ensure that documentation by medical staff is being completed with sufficient detail;</w:t>
      </w:r>
    </w:p>
    <w:p w:rsidR="00522AF6" w:rsidRDefault="00522AF6" w:rsidP="00522AF6">
      <w:pPr>
        <w:pStyle w:val="ListParagraph"/>
        <w:numPr>
          <w:ilvl w:val="0"/>
          <w:numId w:val="5"/>
        </w:numPr>
        <w:spacing w:after="120"/>
        <w:rPr>
          <w:szCs w:val="22"/>
        </w:rPr>
      </w:pPr>
      <w:r>
        <w:rPr>
          <w:szCs w:val="22"/>
        </w:rPr>
        <w:t>arrange an independent review of its ERAS protocol and the manner in which it is implemented;</w:t>
      </w:r>
    </w:p>
    <w:p w:rsidR="00522AF6" w:rsidRDefault="00522AF6" w:rsidP="00522AF6">
      <w:pPr>
        <w:pStyle w:val="ListParagraph"/>
        <w:numPr>
          <w:ilvl w:val="0"/>
          <w:numId w:val="5"/>
        </w:numPr>
        <w:spacing w:after="120"/>
        <w:rPr>
          <w:szCs w:val="22"/>
        </w:rPr>
      </w:pPr>
      <w:r>
        <w:rPr>
          <w:szCs w:val="22"/>
        </w:rPr>
        <w:t>review its consent forms in light of this case;</w:t>
      </w:r>
    </w:p>
    <w:p w:rsidR="00522AF6" w:rsidRDefault="00522AF6" w:rsidP="00522AF6">
      <w:pPr>
        <w:pStyle w:val="ListParagraph"/>
        <w:numPr>
          <w:ilvl w:val="0"/>
          <w:numId w:val="5"/>
        </w:numPr>
        <w:spacing w:after="120"/>
        <w:rPr>
          <w:szCs w:val="22"/>
        </w:rPr>
      </w:pPr>
      <w:r>
        <w:rPr>
          <w:szCs w:val="22"/>
        </w:rPr>
        <w:t>provide training to staff on the legal requirements of informed consent; and</w:t>
      </w:r>
    </w:p>
    <w:p w:rsidR="00522AF6" w:rsidRDefault="00522AF6" w:rsidP="00522AF6">
      <w:pPr>
        <w:pStyle w:val="ListParagraph"/>
        <w:numPr>
          <w:ilvl w:val="0"/>
          <w:numId w:val="5"/>
        </w:numPr>
        <w:spacing w:after="240"/>
        <w:ind w:left="714" w:hanging="357"/>
        <w:rPr>
          <w:szCs w:val="22"/>
        </w:rPr>
      </w:pPr>
      <w:r>
        <w:rPr>
          <w:szCs w:val="22"/>
        </w:rPr>
        <w:t xml:space="preserve">provide a report to Mr A’s family on the changes it has made, and intends to make, to improve staff communication with patients and their families. </w:t>
      </w:r>
    </w:p>
    <w:p w:rsidR="00522AF6" w:rsidRPr="00BA6851" w:rsidRDefault="00522AF6" w:rsidP="00522AF6">
      <w:pPr>
        <w:spacing w:after="240"/>
        <w:rPr>
          <w:szCs w:val="22"/>
        </w:rPr>
      </w:pPr>
      <w:r w:rsidRPr="00BA6851">
        <w:rPr>
          <w:szCs w:val="22"/>
        </w:rPr>
        <w:t>These recommendations are due to be completed by the DHB within</w:t>
      </w:r>
      <w:r w:rsidRPr="00B53AE6">
        <w:t xml:space="preserve"> three months of the date of </w:t>
      </w:r>
      <w:r>
        <w:t>the investigation</w:t>
      </w:r>
      <w:r w:rsidRPr="00B53AE6">
        <w:t xml:space="preserve"> report</w:t>
      </w:r>
      <w:r>
        <w:t>.</w:t>
      </w:r>
    </w:p>
    <w:p w:rsidR="00522AF6" w:rsidRDefault="00522AF6" w:rsidP="00522AF6">
      <w:pPr>
        <w:spacing w:after="120"/>
        <w:rPr>
          <w:b/>
          <w:szCs w:val="22"/>
        </w:rPr>
      </w:pPr>
    </w:p>
    <w:p w:rsidR="00522AF6" w:rsidRDefault="00522AF6" w:rsidP="00522AF6">
      <w:pPr>
        <w:spacing w:after="120"/>
        <w:rPr>
          <w:b/>
          <w:szCs w:val="22"/>
        </w:rPr>
      </w:pPr>
    </w:p>
    <w:p w:rsidR="00522AF6" w:rsidRDefault="00522AF6" w:rsidP="00522AF6">
      <w:pPr>
        <w:spacing w:after="120"/>
        <w:rPr>
          <w:b/>
          <w:szCs w:val="22"/>
        </w:rPr>
      </w:pPr>
    </w:p>
    <w:p w:rsidR="00522AF6" w:rsidRDefault="00522AF6" w:rsidP="00522AF6">
      <w:pPr>
        <w:spacing w:after="120"/>
        <w:rPr>
          <w:b/>
          <w:szCs w:val="22"/>
        </w:rPr>
      </w:pPr>
    </w:p>
    <w:p w:rsidR="00522AF6" w:rsidRDefault="00522AF6" w:rsidP="00522AF6">
      <w:pPr>
        <w:spacing w:after="120"/>
        <w:rPr>
          <w:b/>
          <w:szCs w:val="22"/>
        </w:rPr>
      </w:pPr>
    </w:p>
    <w:p w:rsidR="00522AF6" w:rsidRDefault="00522AF6" w:rsidP="00522AF6">
      <w:pPr>
        <w:spacing w:after="120"/>
        <w:rPr>
          <w:b/>
          <w:szCs w:val="22"/>
        </w:rPr>
      </w:pPr>
    </w:p>
    <w:p w:rsidR="00522AF6" w:rsidRPr="009179EE" w:rsidRDefault="00522AF6" w:rsidP="00522AF6">
      <w:pPr>
        <w:spacing w:after="120"/>
        <w:rPr>
          <w:szCs w:val="22"/>
        </w:rPr>
      </w:pPr>
      <w:r>
        <w:rPr>
          <w:b/>
          <w:szCs w:val="22"/>
        </w:rPr>
        <w:t>Assessment of a mental health patient found on floor</w:t>
      </w:r>
      <w:r w:rsidRPr="009179EE">
        <w:rPr>
          <w:szCs w:val="22"/>
        </w:rPr>
        <w:t xml:space="preserve"> (</w:t>
      </w:r>
      <w:r>
        <w:rPr>
          <w:b/>
          <w:noProof/>
          <w:szCs w:val="22"/>
        </w:rPr>
        <w:t>13</w:t>
      </w:r>
      <w:r w:rsidRPr="009179EE">
        <w:rPr>
          <w:b/>
          <w:noProof/>
          <w:szCs w:val="22"/>
        </w:rPr>
        <w:t>HDC0</w:t>
      </w:r>
      <w:r>
        <w:rPr>
          <w:b/>
          <w:noProof/>
          <w:szCs w:val="22"/>
        </w:rPr>
        <w:t>1375</w:t>
      </w:r>
      <w:r w:rsidRPr="009179EE">
        <w:rPr>
          <w:szCs w:val="22"/>
        </w:rPr>
        <w:t>)</w:t>
      </w:r>
    </w:p>
    <w:p w:rsidR="00522AF6" w:rsidRDefault="00522AF6" w:rsidP="00522AF6">
      <w:pPr>
        <w:spacing w:before="120" w:after="120"/>
        <w:rPr>
          <w:i/>
          <w:szCs w:val="22"/>
        </w:rPr>
      </w:pPr>
      <w:r w:rsidRPr="009179EE">
        <w:rPr>
          <w:i/>
          <w:szCs w:val="22"/>
        </w:rPr>
        <w:t>Background</w:t>
      </w:r>
    </w:p>
    <w:p w:rsidR="00522AF6" w:rsidRDefault="00522AF6" w:rsidP="00522AF6">
      <w:pPr>
        <w:spacing w:before="120" w:after="120"/>
        <w:rPr>
          <w:szCs w:val="22"/>
        </w:rPr>
      </w:pPr>
      <w:r>
        <w:rPr>
          <w:szCs w:val="22"/>
        </w:rPr>
        <w:t xml:space="preserve">Mr A, an elderly man with a complex medical history including a diagnosis of bipolar affective disorder, was admitted as a voluntary patient to a psychiatric hospital. Mr A’s family were not informed of his transfer from his rest home to the hospital. </w:t>
      </w:r>
    </w:p>
    <w:p w:rsidR="00522AF6" w:rsidRDefault="00522AF6" w:rsidP="00522AF6">
      <w:pPr>
        <w:spacing w:before="120" w:after="120"/>
        <w:rPr>
          <w:szCs w:val="22"/>
        </w:rPr>
      </w:pPr>
      <w:r>
        <w:rPr>
          <w:szCs w:val="22"/>
        </w:rPr>
        <w:t>The following evening, Mr A was adamant that he was going back to his rest home and asked staff to take him there. However, Mr A was kept at the hospital.</w:t>
      </w:r>
    </w:p>
    <w:p w:rsidR="00522AF6" w:rsidRDefault="00522AF6" w:rsidP="00522AF6">
      <w:pPr>
        <w:spacing w:before="120" w:after="120"/>
        <w:rPr>
          <w:szCs w:val="22"/>
        </w:rPr>
      </w:pPr>
      <w:r>
        <w:rPr>
          <w:szCs w:val="22"/>
        </w:rPr>
        <w:t>Overnight, RN O and RN K were on duty. At 3.30am RN O heard water running in Mr A’s room. On investigation, she found Mr A on the floor, mostly naked, with his walker frame near the end of the bed. Mr A did not rouse to voice or gentle touch. RN O observed that he was breathing at a normal rate and rhythm and appeared to be asleep. She placed a blanket over him to keep him warm and to maintain his dignity. Both RN O and RN K then observed and assessed Mr A, including his breathing, colour, response, position and comfort. They made the decision to leave him, as it was not unusual to find patients sleeping on the floor during the night. They did not consider the possibility that Mr A might have fallen.</w:t>
      </w:r>
    </w:p>
    <w:p w:rsidR="00522AF6" w:rsidRDefault="00522AF6" w:rsidP="00522AF6">
      <w:pPr>
        <w:spacing w:before="120" w:after="120"/>
        <w:rPr>
          <w:szCs w:val="22"/>
        </w:rPr>
      </w:pPr>
      <w:r>
        <w:rPr>
          <w:szCs w:val="22"/>
        </w:rPr>
        <w:t>The next day RN P volunteered to work with Mr A. Following the morning shift handover, RN P checked on Mr A and said that he appeared to be asleep on the floor on his back, breathing regularly, that his colour was satisfactory, and there was no cause for concern. At approximately 1pm, Mr A was lifted into a chair by RN P, RN J and RN R.</w:t>
      </w:r>
    </w:p>
    <w:p w:rsidR="00522AF6" w:rsidRPr="006A3D68" w:rsidRDefault="00522AF6" w:rsidP="00522AF6">
      <w:pPr>
        <w:spacing w:before="120" w:after="120"/>
        <w:rPr>
          <w:szCs w:val="22"/>
        </w:rPr>
      </w:pPr>
      <w:r>
        <w:rPr>
          <w:szCs w:val="22"/>
        </w:rPr>
        <w:t xml:space="preserve">RN I, who was in charge of the afternoon shift, was told by RN P at handover that Mr A was still asleep as a result of over-sedation. RN I checked Mr A at RN P’s request. When RN I touched Mr A she noticed that his body felt cold and that he looked very pale. RN I took Mr A’s observations and he was transferred into bed. He did not show any signs of responding to staff. RN I called the duty house surgeon, who reviewed Mr A and rang an ambulance to transfer him to a public hospital. Following a CT scan, a large subdural bleed on the right side of his brain was identified but was considered too extensive to treat. Sadly, Mr A died that evening. </w:t>
      </w:r>
    </w:p>
    <w:p w:rsidR="00522AF6" w:rsidRDefault="00522AF6" w:rsidP="00522AF6">
      <w:pPr>
        <w:spacing w:before="120" w:after="120"/>
        <w:rPr>
          <w:i/>
          <w:szCs w:val="22"/>
        </w:rPr>
      </w:pPr>
      <w:r w:rsidRPr="009179EE">
        <w:rPr>
          <w:i/>
          <w:szCs w:val="22"/>
        </w:rPr>
        <w:t>Findings</w:t>
      </w:r>
    </w:p>
    <w:p w:rsidR="00522AF6" w:rsidRDefault="00522AF6" w:rsidP="00522AF6">
      <w:pPr>
        <w:spacing w:before="120" w:after="120"/>
        <w:rPr>
          <w:szCs w:val="22"/>
        </w:rPr>
      </w:pPr>
      <w:r>
        <w:rPr>
          <w:szCs w:val="22"/>
        </w:rPr>
        <w:t xml:space="preserve">The Deputy Commissioner found that RN O and RN K failed to assess Mr A adequately when they found him on the floor, breaching Right 4(1) of the Code. RN P failed to review Mr A’s notes correctly and also failed to assess him adequately, breaching Right 4(1) of the Code. The Deputy Commissioner was also critical of RN P’s failure to respond to concerns about Mr A raised to her by her colleagues. </w:t>
      </w:r>
    </w:p>
    <w:p w:rsidR="00522AF6" w:rsidRDefault="00522AF6" w:rsidP="00522AF6">
      <w:pPr>
        <w:spacing w:before="120" w:after="120"/>
      </w:pPr>
      <w:r>
        <w:rPr>
          <w:szCs w:val="22"/>
        </w:rPr>
        <w:t>The Deputy Commissioner found that the DHB did not comply with legal standards and breached Right 4(2) of the Code for the failure of its staff to communicate with Mr A’s family regarding his admission to hospital. It was also held that the DHB breached Right 7(7) as Mr A was prevented from leaving the hospital despite his voluntary status and express wish to return to his rest home. The Deputy Commissioner stated that the DHB failed to ensure continuity of care in this case, as there was no consultant oversight of the doses of Mr A’s medications, and the documentation</w:t>
      </w:r>
      <w:r w:rsidRPr="00377FED">
        <w:t xml:space="preserve"> of his medical issues in his clinical records was inconsistent. Furthermore, because of the separate electronic patient information used by the public hospital</w:t>
      </w:r>
      <w:r>
        <w:t xml:space="preserve"> and mental health services</w:t>
      </w:r>
      <w:r w:rsidRPr="00377FED">
        <w:t>, the staff at the psychiatric hospital were not fully aware of Mr A’s history.</w:t>
      </w:r>
      <w:r>
        <w:t xml:space="preserve"> For this lack of continuity of care, the DHB breached Right 4(5) of the Code.</w:t>
      </w:r>
    </w:p>
    <w:p w:rsidR="00522AF6" w:rsidRPr="00B937F7" w:rsidRDefault="00522AF6" w:rsidP="00522AF6">
      <w:pPr>
        <w:spacing w:after="240"/>
      </w:pPr>
      <w:r>
        <w:t xml:space="preserve">The Deputy Commissioner was also critical of the DHB regarding its environment, culture, and failure to ensure staff were familiar with policies and protocols. </w:t>
      </w:r>
      <w:r w:rsidRPr="00377FED">
        <w:t>The nurses concerned in providing care to Mr A pointed to a number of challenges in the physical working environment, including the disestablis</w:t>
      </w:r>
      <w:r>
        <w:t>hment of long established teams and</w:t>
      </w:r>
      <w:r w:rsidRPr="00377FED">
        <w:t xml:space="preserve"> new facilities</w:t>
      </w:r>
      <w:r>
        <w:t>. The Deputy Commissioner stated that there appeared</w:t>
      </w:r>
      <w:r w:rsidRPr="00377FED">
        <w:t xml:space="preserve"> to have been a lack of consideration by management of the possible effects that the break-up of long-established teams and an unfinished ward could have on staff performance, and the need for support.</w:t>
      </w:r>
      <w:r>
        <w:t xml:space="preserve"> There also appeared </w:t>
      </w:r>
      <w:r w:rsidRPr="00377FED">
        <w:t xml:space="preserve">to have been </w:t>
      </w:r>
      <w:r>
        <w:t xml:space="preserve">a culture within the psychiatric hospital at the time </w:t>
      </w:r>
      <w:r w:rsidRPr="00377FED">
        <w:t>where the less experienced staff felt disempowered and unable to advocate for Mr A despite their concerns about his presentation.</w:t>
      </w:r>
      <w:r>
        <w:t xml:space="preserve"> </w:t>
      </w:r>
    </w:p>
    <w:p w:rsidR="00522AF6" w:rsidRPr="009179EE" w:rsidRDefault="00522AF6" w:rsidP="00522AF6">
      <w:pPr>
        <w:spacing w:before="120" w:after="120"/>
        <w:rPr>
          <w:i/>
          <w:szCs w:val="22"/>
        </w:rPr>
      </w:pPr>
      <w:r w:rsidRPr="009179EE">
        <w:rPr>
          <w:i/>
          <w:szCs w:val="22"/>
        </w:rPr>
        <w:t>Recommendations</w:t>
      </w:r>
    </w:p>
    <w:p w:rsidR="00522AF6" w:rsidRDefault="00522AF6" w:rsidP="00522AF6">
      <w:r>
        <w:t>In response to the Deputy Commissioner’s recommendations, the DHB, RN K, RN O and RN P provided apologies to Mr A’s family. It was also recommended that the Nursing Council of New Zealand consider undertaking a competence review of RN P if/when she recommenced</w:t>
      </w:r>
      <w:r w:rsidRPr="00377FED">
        <w:t xml:space="preserve"> practice as a registered nurse</w:t>
      </w:r>
      <w:r>
        <w:t xml:space="preserve">, and that RN K and RN O undertake further training on identifying levels of consciousness, identifying the deteriorating patient, and falls management. </w:t>
      </w:r>
    </w:p>
    <w:p w:rsidR="00522AF6" w:rsidRDefault="00522AF6" w:rsidP="00522AF6"/>
    <w:p w:rsidR="00522AF6" w:rsidRDefault="00522AF6" w:rsidP="00522AF6">
      <w:pPr>
        <w:spacing w:after="120"/>
      </w:pPr>
      <w:r>
        <w:t>A number of recommendations were also made to the DHB, including that the DHB:</w:t>
      </w:r>
    </w:p>
    <w:p w:rsidR="00522AF6" w:rsidRDefault="00522AF6" w:rsidP="00522AF6">
      <w:pPr>
        <w:pStyle w:val="ListParagraph"/>
        <w:numPr>
          <w:ilvl w:val="0"/>
          <w:numId w:val="7"/>
        </w:numPr>
        <w:spacing w:after="120"/>
        <w:ind w:left="714" w:hanging="357"/>
      </w:pPr>
      <w:r>
        <w:t>audit the changes implemented since Mr A’s death;</w:t>
      </w:r>
    </w:p>
    <w:p w:rsidR="00522AF6" w:rsidRDefault="00522AF6" w:rsidP="00522AF6">
      <w:pPr>
        <w:pStyle w:val="ListParagraph"/>
        <w:numPr>
          <w:ilvl w:val="0"/>
          <w:numId w:val="7"/>
        </w:numPr>
        <w:spacing w:after="120"/>
        <w:ind w:left="714" w:hanging="357"/>
      </w:pPr>
      <w:r>
        <w:t>provide evidence that all relevant staff at the psychiatric hospital have been provided with training on patients’ legal status, the involvement of family members in patient care, handovers including clarification as to the responsibilities for physical assessment and medical handover, and the DHB’s existing policies;</w:t>
      </w:r>
    </w:p>
    <w:p w:rsidR="00522AF6" w:rsidRDefault="00522AF6" w:rsidP="00522AF6">
      <w:pPr>
        <w:pStyle w:val="ListParagraph"/>
        <w:numPr>
          <w:ilvl w:val="0"/>
          <w:numId w:val="7"/>
        </w:numPr>
        <w:spacing w:after="120"/>
        <w:ind w:left="714" w:hanging="357"/>
      </w:pPr>
      <w:r>
        <w:t>provide evidence of ongoing refresher updates of the training provided to staff;</w:t>
      </w:r>
    </w:p>
    <w:p w:rsidR="00522AF6" w:rsidRDefault="00522AF6" w:rsidP="00522AF6">
      <w:pPr>
        <w:pStyle w:val="ListParagraph"/>
        <w:numPr>
          <w:ilvl w:val="0"/>
          <w:numId w:val="7"/>
        </w:numPr>
        <w:spacing w:after="120"/>
        <w:ind w:left="714" w:hanging="357"/>
      </w:pPr>
      <w:r>
        <w:t>consider whether a policy requiring that staff concerned about a patient’s condition escalate their concerns to a senior clinician as required;</w:t>
      </w:r>
    </w:p>
    <w:p w:rsidR="00522AF6" w:rsidRDefault="00522AF6" w:rsidP="00522AF6">
      <w:pPr>
        <w:pStyle w:val="ListParagraph"/>
        <w:numPr>
          <w:ilvl w:val="0"/>
          <w:numId w:val="7"/>
        </w:numPr>
        <w:spacing w:after="120"/>
        <w:ind w:left="714" w:hanging="357"/>
      </w:pPr>
      <w:r>
        <w:t>review the on-call arrangements with psychiatrists on the weekends to assess the effectiveness of the arrangements;</w:t>
      </w:r>
    </w:p>
    <w:p w:rsidR="00522AF6" w:rsidRDefault="00522AF6" w:rsidP="00522AF6">
      <w:pPr>
        <w:pStyle w:val="ListParagraph"/>
        <w:numPr>
          <w:ilvl w:val="0"/>
          <w:numId w:val="7"/>
        </w:numPr>
        <w:spacing w:after="120"/>
        <w:ind w:left="714" w:hanging="357"/>
      </w:pPr>
      <w:r>
        <w:t>review electronic patient information systems to ensure that staff have access to required information;</w:t>
      </w:r>
    </w:p>
    <w:p w:rsidR="00522AF6" w:rsidRDefault="00522AF6" w:rsidP="00522AF6">
      <w:pPr>
        <w:pStyle w:val="ListParagraph"/>
        <w:numPr>
          <w:ilvl w:val="0"/>
          <w:numId w:val="7"/>
        </w:numPr>
        <w:spacing w:after="120"/>
        <w:ind w:left="714" w:hanging="357"/>
      </w:pPr>
      <w:r>
        <w:t>conduct an audit of documentation practices at the psychiatric hospital; and</w:t>
      </w:r>
    </w:p>
    <w:p w:rsidR="00522AF6" w:rsidRPr="009179EE" w:rsidRDefault="00522AF6" w:rsidP="00522AF6">
      <w:pPr>
        <w:pStyle w:val="ListParagraph"/>
        <w:numPr>
          <w:ilvl w:val="0"/>
          <w:numId w:val="7"/>
        </w:numPr>
      </w:pPr>
      <w:r>
        <w:t>review its handover processes.</w:t>
      </w:r>
    </w:p>
    <w:p w:rsidR="00522AF6" w:rsidRPr="009179EE" w:rsidRDefault="00522AF6" w:rsidP="00522AF6">
      <w:pPr>
        <w:rPr>
          <w:b/>
          <w:szCs w:val="22"/>
        </w:rPr>
      </w:pPr>
    </w:p>
    <w:p w:rsidR="00522AF6" w:rsidRPr="00BA6851" w:rsidRDefault="00522AF6" w:rsidP="00522AF6">
      <w:pPr>
        <w:spacing w:after="240"/>
        <w:rPr>
          <w:szCs w:val="22"/>
        </w:rPr>
      </w:pPr>
      <w:r>
        <w:rPr>
          <w:szCs w:val="22"/>
        </w:rPr>
        <w:t>These recommendations are due to be completed by the DHB within</w:t>
      </w:r>
      <w:r w:rsidRPr="00B53AE6">
        <w:t xml:space="preserve"> three months of the date of </w:t>
      </w:r>
      <w:r>
        <w:t>the investigation</w:t>
      </w:r>
      <w:r w:rsidRPr="00B53AE6">
        <w:t xml:space="preserve"> report</w:t>
      </w:r>
      <w:r>
        <w:t>.</w:t>
      </w:r>
    </w:p>
    <w:p w:rsidR="00E905EF" w:rsidRPr="009179EE" w:rsidRDefault="00E905EF" w:rsidP="00E905EF"/>
    <w:p w:rsidR="00AC33D1" w:rsidRPr="009179EE" w:rsidRDefault="00AC33D1" w:rsidP="000D5D72">
      <w:pPr>
        <w:rPr>
          <w:b/>
          <w:szCs w:val="22"/>
        </w:rPr>
      </w:pPr>
    </w:p>
    <w:p w:rsidR="00AC33D1" w:rsidRPr="009179EE" w:rsidRDefault="00AC33D1" w:rsidP="000D5D72"/>
    <w:p w:rsidR="00AC33D1" w:rsidRPr="009179EE" w:rsidRDefault="00AC33D1" w:rsidP="0079294B"/>
    <w:p w:rsidR="00E108ED" w:rsidRPr="009179EE" w:rsidRDefault="00AC33D1" w:rsidP="00E108ED">
      <w:pPr>
        <w:pStyle w:val="Heading1"/>
      </w:pPr>
      <w:r w:rsidRPr="009179EE">
        <w:rPr>
          <w:lang w:val="en-NZ"/>
        </w:rPr>
        <w:br w:type="page"/>
      </w:r>
    </w:p>
    <w:p w:rsidR="0013534C" w:rsidRPr="009179EE" w:rsidRDefault="0013534C" w:rsidP="008338EC">
      <w:pPr>
        <w:spacing w:after="240"/>
        <w:jc w:val="left"/>
      </w:pPr>
    </w:p>
    <w:sectPr w:rsidR="0013534C" w:rsidRPr="009179EE" w:rsidSect="00C84335">
      <w:footerReference w:type="even" r:id="rId23"/>
      <w:footerReference w:type="first" r:id="rId24"/>
      <w:type w:val="oddPage"/>
      <w:pgSz w:w="11906" w:h="16838" w:code="9"/>
      <w:pgMar w:top="1140" w:right="1412" w:bottom="851" w:left="1412" w:header="720" w:footer="5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8ED" w:rsidRDefault="00E108ED">
      <w:r>
        <w:separator/>
      </w:r>
    </w:p>
  </w:endnote>
  <w:endnote w:type="continuationSeparator" w:id="0">
    <w:p w:rsidR="00E108ED" w:rsidRDefault="00E1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ED" w:rsidRDefault="00E108ED" w:rsidP="004510F1">
    <w:pPr>
      <w:pStyle w:val="Footer"/>
      <w:tabs>
        <w:tab w:val="clear" w:pos="4153"/>
        <w:tab w:val="clear" w:pos="8306"/>
        <w:tab w:val="left" w:pos="567"/>
        <w:tab w:val="right" w:pos="9072"/>
      </w:tabs>
      <w:spacing w:before="240"/>
      <w:ind w:left="2160" w:hanging="2160"/>
      <w:jc w:val="center"/>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sidR="00CB78BB">
      <w:rPr>
        <w:noProof/>
        <w:szCs w:val="22"/>
      </w:rPr>
      <w:t>ii</w:t>
    </w:r>
    <w:r w:rsidRPr="0073317F">
      <w:rPr>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8BB" w:rsidRDefault="00CB78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ED" w:rsidRDefault="00E108ED" w:rsidP="00D30C28">
    <w:pPr>
      <w:pStyle w:val="Footer"/>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ED" w:rsidRDefault="00E108E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ED" w:rsidRPr="00F535C5" w:rsidRDefault="00E108ED" w:rsidP="00F535C5">
    <w:pPr>
      <w:pStyle w:val="Footer"/>
      <w:jc w:val="both"/>
      <w:rPr>
        <w:sz w:val="18"/>
        <w:szCs w:val="18"/>
      </w:rPr>
    </w:pPr>
    <w:r w:rsidRPr="00DD3AD4">
      <w:rPr>
        <w:sz w:val="18"/>
        <w:szCs w:val="18"/>
      </w:rPr>
      <w:tab/>
    </w:r>
    <w:r w:rsidRPr="00166DD6">
      <w:rPr>
        <w:szCs w:val="22"/>
      </w:rPr>
      <w:fldChar w:fldCharType="begin"/>
    </w:r>
    <w:r w:rsidRPr="00166DD6">
      <w:rPr>
        <w:szCs w:val="22"/>
      </w:rPr>
      <w:instrText xml:space="preserve"> PAGE   \* MERGEFORMAT </w:instrText>
    </w:r>
    <w:r w:rsidRPr="00166DD6">
      <w:rPr>
        <w:szCs w:val="22"/>
      </w:rPr>
      <w:fldChar w:fldCharType="separate"/>
    </w:r>
    <w:r w:rsidR="00CB78BB">
      <w:rPr>
        <w:noProof/>
        <w:szCs w:val="22"/>
      </w:rPr>
      <w:t>i</w:t>
    </w:r>
    <w:r w:rsidRPr="00166DD6">
      <w:rPr>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AF6" w:rsidRPr="00C84335" w:rsidRDefault="00522AF6" w:rsidP="006D0724">
    <w:pPr>
      <w:pStyle w:val="Footer"/>
      <w:jc w:val="left"/>
    </w:pPr>
    <w:r>
      <w:rPr>
        <w:sz w:val="18"/>
        <w:szCs w:val="18"/>
      </w:rPr>
      <w:t>Jan–Jun 2015</w:t>
    </w:r>
    <w:sdt>
      <w:sdtPr>
        <w:id w:val="-1269231132"/>
        <w:docPartObj>
          <w:docPartGallery w:val="Page Numbers (Bottom of Page)"/>
          <w:docPartUnique/>
        </w:docPartObj>
      </w:sdtPr>
      <w:sdtEndPr>
        <w:rPr>
          <w:noProof/>
        </w:rPr>
      </w:sdtEndPr>
      <w:sdtContent>
        <w:r>
          <w:tab/>
        </w:r>
        <w:r>
          <w:tab/>
        </w:r>
        <w:r>
          <w:tab/>
        </w:r>
        <w:r>
          <w:fldChar w:fldCharType="begin"/>
        </w:r>
        <w:r>
          <w:instrText xml:space="preserve"> PAGE   \* MERGEFORMAT </w:instrText>
        </w:r>
        <w:r>
          <w:fldChar w:fldCharType="separate"/>
        </w:r>
        <w:r w:rsidR="0013399A">
          <w:rPr>
            <w:noProof/>
          </w:rPr>
          <w:t>11</w:t>
        </w:r>
        <w:r>
          <w:rPr>
            <w:noProof/>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ED" w:rsidRPr="00C84335" w:rsidRDefault="00E108ED" w:rsidP="00C84335">
    <w:pPr>
      <w:pStyle w:val="Footer"/>
      <w:tabs>
        <w:tab w:val="clear" w:pos="4153"/>
        <w:tab w:val="clear" w:pos="8306"/>
        <w:tab w:val="left" w:pos="567"/>
        <w:tab w:val="right" w:pos="9072"/>
      </w:tabs>
      <w:spacing w:before="240"/>
      <w:ind w:left="2160" w:hanging="2160"/>
      <w:jc w:val="center"/>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sidR="0013399A">
      <w:rPr>
        <w:noProof/>
        <w:szCs w:val="22"/>
      </w:rPr>
      <w:t>12</w:t>
    </w:r>
    <w:r w:rsidRPr="0073317F">
      <w:rPr>
        <w:szCs w:val="22"/>
      </w:rPr>
      <w:fldChar w:fldCharType="end"/>
    </w:r>
    <w:r>
      <w:rPr>
        <w:szCs w:val="22"/>
      </w:rPr>
      <w:t xml:space="preserve"> </w:t>
    </w:r>
    <w:r>
      <w:rPr>
        <w:szCs w:val="22"/>
      </w:rPr>
      <w:tab/>
    </w:r>
    <w:r>
      <w:rPr>
        <w:szCs w:val="22"/>
      </w:rPr>
      <w:tab/>
    </w:r>
    <w:r>
      <w:rPr>
        <w:szCs w:val="22"/>
      </w:rPr>
      <w:tab/>
    </w:r>
    <w:r>
      <w:rPr>
        <w:sz w:val="18"/>
        <w:szCs w:val="18"/>
      </w:rPr>
      <w:t>Jan–Jun 2015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647964"/>
      <w:docPartObj>
        <w:docPartGallery w:val="Page Numbers (Bottom of Page)"/>
        <w:docPartUnique/>
      </w:docPartObj>
    </w:sdtPr>
    <w:sdtEndPr>
      <w:rPr>
        <w:noProof/>
      </w:rPr>
    </w:sdtEndPr>
    <w:sdtContent>
      <w:p w:rsidR="00E108ED" w:rsidRDefault="00E108ED" w:rsidP="00C84335">
        <w:pPr>
          <w:pStyle w:val="Footer"/>
          <w:jc w:val="both"/>
        </w:pPr>
        <w:r>
          <w:rPr>
            <w:sz w:val="18"/>
            <w:szCs w:val="18"/>
          </w:rPr>
          <w:t>Jan–Jun 2015</w:t>
        </w:r>
        <w:r>
          <w:rPr>
            <w:sz w:val="18"/>
            <w:szCs w:val="18"/>
          </w:rPr>
          <w:tab/>
        </w:r>
        <w:r>
          <w:rPr>
            <w:sz w:val="18"/>
            <w:szCs w:val="18"/>
          </w:rPr>
          <w:tab/>
        </w:r>
        <w:r>
          <w:rPr>
            <w:sz w:val="18"/>
            <w:szCs w:val="18"/>
          </w:rPr>
          <w:tab/>
        </w:r>
        <w:r>
          <w:fldChar w:fldCharType="begin"/>
        </w:r>
        <w:r>
          <w:instrText xml:space="preserve"> PAGE   \* MERGEFORMAT </w:instrText>
        </w:r>
        <w:r>
          <w:fldChar w:fldCharType="separate"/>
        </w:r>
        <w:r w:rsidR="0013399A">
          <w:rPr>
            <w:noProof/>
          </w:rPr>
          <w:t>1</w:t>
        </w:r>
        <w:r>
          <w:rPr>
            <w:noProof/>
          </w:rPr>
          <w:fldChar w:fldCharType="end"/>
        </w:r>
      </w:p>
    </w:sdtContent>
  </w:sdt>
  <w:p w:rsidR="00E108ED" w:rsidRPr="00C84335" w:rsidRDefault="00E108ED" w:rsidP="00C84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8ED" w:rsidRDefault="00E108ED">
      <w:r>
        <w:separator/>
      </w:r>
    </w:p>
  </w:footnote>
  <w:footnote w:type="continuationSeparator" w:id="0">
    <w:p w:rsidR="00E108ED" w:rsidRDefault="00E108ED">
      <w:r>
        <w:continuationSeparator/>
      </w:r>
    </w:p>
  </w:footnote>
  <w:footnote w:id="1">
    <w:p w:rsidR="00522AF6" w:rsidRPr="004A6AA5" w:rsidRDefault="00522AF6" w:rsidP="00522AF6">
      <w:pPr>
        <w:pStyle w:val="FootnoteText"/>
      </w:pPr>
      <w:r w:rsidRPr="00DA0206">
        <w:rPr>
          <w:rStyle w:val="FootnoteReference"/>
        </w:rPr>
        <w:footnoteRef/>
      </w:r>
      <w:r w:rsidRPr="00DA0206">
        <w:t xml:space="preserve"> The total number of discharges excludes </w:t>
      </w:r>
      <w:r w:rsidRPr="00DA0206">
        <w:rPr>
          <w:rFonts w:cs="Calibri"/>
          <w:lang w:val="en-US"/>
        </w:rPr>
        <w:t>short</w:t>
      </w:r>
      <w:r w:rsidRPr="00DA0206">
        <w:t xml:space="preserve"> stay </w:t>
      </w:r>
      <w:r>
        <w:t>emergency department discharges</w:t>
      </w:r>
      <w:r w:rsidRPr="00DA0206">
        <w:t xml:space="preserve"> and patients attending outpatient units and clinics.</w:t>
      </w:r>
    </w:p>
  </w:footnote>
  <w:footnote w:id="2">
    <w:p w:rsidR="00522AF6" w:rsidRPr="004A6AA5" w:rsidRDefault="00522AF6" w:rsidP="00522AF6">
      <w:pPr>
        <w:pStyle w:val="FootnoteText"/>
      </w:pPr>
      <w:r w:rsidRPr="00DA0206">
        <w:rPr>
          <w:rStyle w:val="FootnoteReference"/>
        </w:rPr>
        <w:footnoteRef/>
      </w:r>
      <w:r w:rsidRPr="00DA0206">
        <w:t xml:space="preserve"> </w:t>
      </w:r>
      <w:r w:rsidRPr="00DA0206">
        <w:rPr>
          <w:lang w:eastAsia="en-NZ" w:bidi="ar-SA"/>
        </w:rPr>
        <w:t>The rate f</w:t>
      </w:r>
      <w:r>
        <w:rPr>
          <w:lang w:eastAsia="en-NZ" w:bidi="ar-SA"/>
        </w:rPr>
        <w:t>or Jul</w:t>
      </w:r>
      <w:r>
        <w:rPr>
          <w:rFonts w:ascii="Calibri" w:hAnsi="Calibri"/>
          <w:lang w:eastAsia="en-NZ" w:bidi="ar-SA"/>
        </w:rPr>
        <w:t>–</w:t>
      </w:r>
      <w:r>
        <w:rPr>
          <w:lang w:eastAsia="en-NZ" w:bidi="ar-SA"/>
        </w:rPr>
        <w:t>Dec 2014</w:t>
      </w:r>
      <w:r w:rsidRPr="00DA0206">
        <w:rPr>
          <w:lang w:eastAsia="en-NZ" w:bidi="ar-SA"/>
        </w:rPr>
        <w:t xml:space="preserve"> has been recalculated based on the most recent discharge data.</w:t>
      </w:r>
    </w:p>
  </w:footnote>
  <w:footnote w:id="3">
    <w:p w:rsidR="00522AF6" w:rsidRPr="004A6AA5" w:rsidRDefault="00522AF6" w:rsidP="00522AF6">
      <w:pPr>
        <w:pStyle w:val="FootnoteText"/>
      </w:pPr>
      <w:r w:rsidRPr="00DA0206">
        <w:rPr>
          <w:rStyle w:val="FootnoteReference"/>
        </w:rPr>
        <w:footnoteRef/>
      </w:r>
      <w:r w:rsidRPr="00DA0206">
        <w:t xml:space="preserve"> </w:t>
      </w:r>
      <w:r w:rsidRPr="004A6AA5">
        <w:rPr>
          <w:lang w:val="en-US"/>
        </w:rPr>
        <w:t>Individual DHBs have not been named in this report given the small sample size and the short period covered (six months).</w:t>
      </w:r>
    </w:p>
  </w:footnote>
  <w:footnote w:id="4">
    <w:p w:rsidR="00522AF6" w:rsidRDefault="00522AF6" w:rsidP="00522AF6">
      <w:pPr>
        <w:pStyle w:val="FootnoteText"/>
        <w:spacing w:after="240"/>
      </w:pPr>
      <w:r>
        <w:rPr>
          <w:rStyle w:val="FootnoteReference"/>
        </w:rPr>
        <w:footnoteRef/>
      </w:r>
      <w:r>
        <w:t xml:space="preserve"> Note that complaints may be received</w:t>
      </w:r>
      <w:r w:rsidRPr="000E4BBA">
        <w:t xml:space="preserve"> in</w:t>
      </w:r>
      <w:r>
        <w:t xml:space="preserve"> one six month period and closed in another six </w:t>
      </w:r>
      <w:r w:rsidRPr="000E4BBA">
        <w:t>month period</w:t>
      </w:r>
      <w:r>
        <w:t xml:space="preserve"> </w:t>
      </w:r>
      <w:r>
        <w:rPr>
          <w:rFonts w:ascii="Calibri" w:hAnsi="Calibri"/>
        </w:rPr>
        <w:t>—</w:t>
      </w:r>
      <w:r w:rsidRPr="000E4BBA">
        <w:t xml:space="preserve"> </w:t>
      </w:r>
      <w:r>
        <w:t xml:space="preserve">  </w:t>
      </w:r>
      <w:r w:rsidRPr="000E4BBA">
        <w:t>therefore, the number of complaints received will not correlate with the number of complaints closed.</w:t>
      </w:r>
      <w:r>
        <w:t xml:space="preserve"> </w:t>
      </w:r>
    </w:p>
  </w:footnote>
  <w:footnote w:id="5">
    <w:p w:rsidR="00522AF6" w:rsidRPr="004E7EB3" w:rsidRDefault="00522AF6" w:rsidP="00522AF6">
      <w:pPr>
        <w:pStyle w:val="FootnoteText"/>
      </w:pPr>
      <w:r>
        <w:rPr>
          <w:rStyle w:val="FootnoteReference"/>
        </w:rPr>
        <w:footnoteRef/>
      </w:r>
      <w:r>
        <w:t xml:space="preserve"> Note that outcomes are displayed in descending order. If there is more than one outcome for a DHB upon resolution of a complaint then only the outcome which is listed highest in the table is included.</w:t>
      </w:r>
    </w:p>
  </w:footnote>
  <w:footnote w:id="6">
    <w:p w:rsidR="00522AF6" w:rsidRPr="004F35D7" w:rsidRDefault="00522AF6" w:rsidP="00522AF6">
      <w:pPr>
        <w:pStyle w:val="FootnoteText"/>
        <w:rPr>
          <w:lang w:val="en-US"/>
        </w:rPr>
      </w:pPr>
      <w:r>
        <w:rPr>
          <w:rStyle w:val="FootnoteReference"/>
        </w:rPr>
        <w:footnoteRef/>
      </w:r>
      <w:r>
        <w:t xml:space="preserve"> </w:t>
      </w:r>
      <w:r w:rsidRPr="00DA0206">
        <w:rPr>
          <w:lang w:val="en-US"/>
        </w:rPr>
        <w:t>The Commissioner has a wide discretion to take no further action on a complaint. For example, the Commissioner may take no further action because careful assessment indicates that a provider’s actions were reasonable in the circumstances, or a more appropriate outcome can be achieved in a more flexible and timely way than by means of formal investigation, or that the matters that are the subject of the complaint have been, or are being, or will be appropriately addressed by other means. This may happen, for example, where a DHB has carefully reviewed the case itself and no further value would be added by HDC investigating, or where another agency is reviewing, or has carefully reviewed the matter (for example, the Coroner, the Di</w:t>
      </w:r>
      <w:r>
        <w:rPr>
          <w:lang w:val="en-US"/>
        </w:rPr>
        <w:t>rector-General of Health, or a</w:t>
      </w:r>
      <w:r w:rsidRPr="00DA0206">
        <w:rPr>
          <w:lang w:val="en-US"/>
        </w:rPr>
        <w:t xml:space="preserve"> District Inspector).</w:t>
      </w:r>
      <w:r>
        <w:rPr>
          <w:lang w:val="en-US"/>
        </w:rPr>
        <w:t xml:space="preserve"> Assessment of a complaint prior to a decision to take no further action will usually involve obtaining and reviewing a response from the provider and, in many cases, expert clinical advice.</w:t>
      </w:r>
    </w:p>
  </w:footnote>
  <w:footnote w:id="7">
    <w:p w:rsidR="00522AF6" w:rsidRPr="00EE4DF6" w:rsidRDefault="00522AF6" w:rsidP="00522AF6">
      <w:pPr>
        <w:pStyle w:val="FootnoteText"/>
        <w:rPr>
          <w:lang w:val="en-US"/>
        </w:rPr>
      </w:pPr>
      <w:r>
        <w:rPr>
          <w:rStyle w:val="FootnoteReference"/>
        </w:rPr>
        <w:footnoteRef/>
      </w:r>
      <w:r>
        <w:t xml:space="preserve"> </w:t>
      </w:r>
      <w:r w:rsidRPr="00DA0206">
        <w:rPr>
          <w:lang w:val="en-US"/>
        </w:rPr>
        <w:t xml:space="preserve">In line with their responsibilities under the Code, DHBs have increasingly developed good systems to address complaints in a timely and appropriate way. It is often appropriate for HDC to refer a complaint to the </w:t>
      </w:r>
      <w:r>
        <w:rPr>
          <w:lang w:val="en-US"/>
        </w:rPr>
        <w:t xml:space="preserve">DHB </w:t>
      </w:r>
      <w:r w:rsidRPr="00DA0206">
        <w:rPr>
          <w:lang w:val="en-US"/>
        </w:rPr>
        <w:t xml:space="preserve">to resolve, with a requirement that the </w:t>
      </w:r>
      <w:r>
        <w:rPr>
          <w:lang w:val="en-US"/>
        </w:rPr>
        <w:t>DHB</w:t>
      </w:r>
      <w:r w:rsidRPr="00DA0206">
        <w:rPr>
          <w:lang w:val="en-US"/>
        </w:rPr>
        <w:t xml:space="preserve"> report back to HDC on the outcome of its handling of the complaint.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8BB" w:rsidRDefault="00CB78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8BB" w:rsidRDefault="00CB78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8BB" w:rsidRDefault="00CB78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ED" w:rsidRDefault="00E108E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ED" w:rsidRDefault="00E108E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AF6" w:rsidRDefault="00522A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554BE"/>
    <w:multiLevelType w:val="hybridMultilevel"/>
    <w:tmpl w:val="7F543826"/>
    <w:lvl w:ilvl="0" w:tplc="14090001">
      <w:start w:val="1"/>
      <w:numFmt w:val="bullet"/>
      <w:lvlText w:val=""/>
      <w:lvlJc w:val="left"/>
      <w:pPr>
        <w:ind w:left="772" w:hanging="360"/>
      </w:pPr>
      <w:rPr>
        <w:rFonts w:ascii="Symbol" w:hAnsi="Symbol" w:hint="default"/>
      </w:rPr>
    </w:lvl>
    <w:lvl w:ilvl="1" w:tplc="14090003" w:tentative="1">
      <w:start w:val="1"/>
      <w:numFmt w:val="bullet"/>
      <w:lvlText w:val="o"/>
      <w:lvlJc w:val="left"/>
      <w:pPr>
        <w:ind w:left="1492" w:hanging="360"/>
      </w:pPr>
      <w:rPr>
        <w:rFonts w:ascii="Courier New" w:hAnsi="Courier New" w:cs="Courier New" w:hint="default"/>
      </w:rPr>
    </w:lvl>
    <w:lvl w:ilvl="2" w:tplc="14090005" w:tentative="1">
      <w:start w:val="1"/>
      <w:numFmt w:val="bullet"/>
      <w:lvlText w:val=""/>
      <w:lvlJc w:val="left"/>
      <w:pPr>
        <w:ind w:left="2212" w:hanging="360"/>
      </w:pPr>
      <w:rPr>
        <w:rFonts w:ascii="Wingdings" w:hAnsi="Wingdings" w:hint="default"/>
      </w:rPr>
    </w:lvl>
    <w:lvl w:ilvl="3" w:tplc="14090001" w:tentative="1">
      <w:start w:val="1"/>
      <w:numFmt w:val="bullet"/>
      <w:lvlText w:val=""/>
      <w:lvlJc w:val="left"/>
      <w:pPr>
        <w:ind w:left="2932" w:hanging="360"/>
      </w:pPr>
      <w:rPr>
        <w:rFonts w:ascii="Symbol" w:hAnsi="Symbol" w:hint="default"/>
      </w:rPr>
    </w:lvl>
    <w:lvl w:ilvl="4" w:tplc="14090003" w:tentative="1">
      <w:start w:val="1"/>
      <w:numFmt w:val="bullet"/>
      <w:lvlText w:val="o"/>
      <w:lvlJc w:val="left"/>
      <w:pPr>
        <w:ind w:left="3652" w:hanging="360"/>
      </w:pPr>
      <w:rPr>
        <w:rFonts w:ascii="Courier New" w:hAnsi="Courier New" w:cs="Courier New" w:hint="default"/>
      </w:rPr>
    </w:lvl>
    <w:lvl w:ilvl="5" w:tplc="14090005" w:tentative="1">
      <w:start w:val="1"/>
      <w:numFmt w:val="bullet"/>
      <w:lvlText w:val=""/>
      <w:lvlJc w:val="left"/>
      <w:pPr>
        <w:ind w:left="4372" w:hanging="360"/>
      </w:pPr>
      <w:rPr>
        <w:rFonts w:ascii="Wingdings" w:hAnsi="Wingdings" w:hint="default"/>
      </w:rPr>
    </w:lvl>
    <w:lvl w:ilvl="6" w:tplc="14090001" w:tentative="1">
      <w:start w:val="1"/>
      <w:numFmt w:val="bullet"/>
      <w:lvlText w:val=""/>
      <w:lvlJc w:val="left"/>
      <w:pPr>
        <w:ind w:left="5092" w:hanging="360"/>
      </w:pPr>
      <w:rPr>
        <w:rFonts w:ascii="Symbol" w:hAnsi="Symbol" w:hint="default"/>
      </w:rPr>
    </w:lvl>
    <w:lvl w:ilvl="7" w:tplc="14090003" w:tentative="1">
      <w:start w:val="1"/>
      <w:numFmt w:val="bullet"/>
      <w:lvlText w:val="o"/>
      <w:lvlJc w:val="left"/>
      <w:pPr>
        <w:ind w:left="5812" w:hanging="360"/>
      </w:pPr>
      <w:rPr>
        <w:rFonts w:ascii="Courier New" w:hAnsi="Courier New" w:cs="Courier New" w:hint="default"/>
      </w:rPr>
    </w:lvl>
    <w:lvl w:ilvl="8" w:tplc="14090005" w:tentative="1">
      <w:start w:val="1"/>
      <w:numFmt w:val="bullet"/>
      <w:lvlText w:val=""/>
      <w:lvlJc w:val="left"/>
      <w:pPr>
        <w:ind w:left="6532" w:hanging="360"/>
      </w:pPr>
      <w:rPr>
        <w:rFonts w:ascii="Wingdings" w:hAnsi="Wingdings" w:hint="default"/>
      </w:rPr>
    </w:lvl>
  </w:abstractNum>
  <w:abstractNum w:abstractNumId="1">
    <w:nsid w:val="2B867B73"/>
    <w:multiLevelType w:val="hybridMultilevel"/>
    <w:tmpl w:val="7F8C9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445C2F95"/>
    <w:multiLevelType w:val="hybridMultilevel"/>
    <w:tmpl w:val="45982D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504704C7"/>
    <w:multiLevelType w:val="hybridMultilevel"/>
    <w:tmpl w:val="0E0430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72AC767D"/>
    <w:multiLevelType w:val="hybridMultilevel"/>
    <w:tmpl w:val="BFB65B34"/>
    <w:lvl w:ilvl="0" w:tplc="14090001">
      <w:start w:val="1"/>
      <w:numFmt w:val="bullet"/>
      <w:lvlText w:val=""/>
      <w:lvlJc w:val="left"/>
      <w:pPr>
        <w:ind w:left="772" w:hanging="360"/>
      </w:pPr>
      <w:rPr>
        <w:rFonts w:ascii="Symbol" w:hAnsi="Symbol" w:hint="default"/>
      </w:rPr>
    </w:lvl>
    <w:lvl w:ilvl="1" w:tplc="14090003" w:tentative="1">
      <w:start w:val="1"/>
      <w:numFmt w:val="bullet"/>
      <w:lvlText w:val="o"/>
      <w:lvlJc w:val="left"/>
      <w:pPr>
        <w:ind w:left="1492" w:hanging="360"/>
      </w:pPr>
      <w:rPr>
        <w:rFonts w:ascii="Courier New" w:hAnsi="Courier New" w:cs="Courier New" w:hint="default"/>
      </w:rPr>
    </w:lvl>
    <w:lvl w:ilvl="2" w:tplc="14090005" w:tentative="1">
      <w:start w:val="1"/>
      <w:numFmt w:val="bullet"/>
      <w:lvlText w:val=""/>
      <w:lvlJc w:val="left"/>
      <w:pPr>
        <w:ind w:left="2212" w:hanging="360"/>
      </w:pPr>
      <w:rPr>
        <w:rFonts w:ascii="Wingdings" w:hAnsi="Wingdings" w:hint="default"/>
      </w:rPr>
    </w:lvl>
    <w:lvl w:ilvl="3" w:tplc="14090001" w:tentative="1">
      <w:start w:val="1"/>
      <w:numFmt w:val="bullet"/>
      <w:lvlText w:val=""/>
      <w:lvlJc w:val="left"/>
      <w:pPr>
        <w:ind w:left="2932" w:hanging="360"/>
      </w:pPr>
      <w:rPr>
        <w:rFonts w:ascii="Symbol" w:hAnsi="Symbol" w:hint="default"/>
      </w:rPr>
    </w:lvl>
    <w:lvl w:ilvl="4" w:tplc="14090003" w:tentative="1">
      <w:start w:val="1"/>
      <w:numFmt w:val="bullet"/>
      <w:lvlText w:val="o"/>
      <w:lvlJc w:val="left"/>
      <w:pPr>
        <w:ind w:left="3652" w:hanging="360"/>
      </w:pPr>
      <w:rPr>
        <w:rFonts w:ascii="Courier New" w:hAnsi="Courier New" w:cs="Courier New" w:hint="default"/>
      </w:rPr>
    </w:lvl>
    <w:lvl w:ilvl="5" w:tplc="14090005" w:tentative="1">
      <w:start w:val="1"/>
      <w:numFmt w:val="bullet"/>
      <w:lvlText w:val=""/>
      <w:lvlJc w:val="left"/>
      <w:pPr>
        <w:ind w:left="4372" w:hanging="360"/>
      </w:pPr>
      <w:rPr>
        <w:rFonts w:ascii="Wingdings" w:hAnsi="Wingdings" w:hint="default"/>
      </w:rPr>
    </w:lvl>
    <w:lvl w:ilvl="6" w:tplc="14090001" w:tentative="1">
      <w:start w:val="1"/>
      <w:numFmt w:val="bullet"/>
      <w:lvlText w:val=""/>
      <w:lvlJc w:val="left"/>
      <w:pPr>
        <w:ind w:left="5092" w:hanging="360"/>
      </w:pPr>
      <w:rPr>
        <w:rFonts w:ascii="Symbol" w:hAnsi="Symbol" w:hint="default"/>
      </w:rPr>
    </w:lvl>
    <w:lvl w:ilvl="7" w:tplc="14090003" w:tentative="1">
      <w:start w:val="1"/>
      <w:numFmt w:val="bullet"/>
      <w:lvlText w:val="o"/>
      <w:lvlJc w:val="left"/>
      <w:pPr>
        <w:ind w:left="5812" w:hanging="360"/>
      </w:pPr>
      <w:rPr>
        <w:rFonts w:ascii="Courier New" w:hAnsi="Courier New" w:cs="Courier New" w:hint="default"/>
      </w:rPr>
    </w:lvl>
    <w:lvl w:ilvl="8" w:tplc="14090005" w:tentative="1">
      <w:start w:val="1"/>
      <w:numFmt w:val="bullet"/>
      <w:lvlText w:val=""/>
      <w:lvlJc w:val="left"/>
      <w:pPr>
        <w:ind w:left="6532" w:hanging="360"/>
      </w:pPr>
      <w:rPr>
        <w:rFonts w:ascii="Wingdings" w:hAnsi="Wingdings" w:hint="default"/>
      </w:rPr>
    </w:lvl>
  </w:abstractNum>
  <w:abstractNum w:abstractNumId="5">
    <w:nsid w:val="73EE45F9"/>
    <w:multiLevelType w:val="hybridMultilevel"/>
    <w:tmpl w:val="13480324"/>
    <w:lvl w:ilvl="0" w:tplc="FB2E97EE">
      <w:start w:val="1"/>
      <w:numFmt w:val="decimal"/>
      <w:lvlText w:val="%1."/>
      <w:lvlJc w:val="left"/>
      <w:pPr>
        <w:ind w:left="360" w:hanging="360"/>
      </w:pPr>
      <w:rPr>
        <w:b w:val="0"/>
        <w:i w:val="0"/>
        <w:sz w:val="16"/>
        <w:szCs w:val="16"/>
      </w:rPr>
    </w:lvl>
    <w:lvl w:ilvl="1" w:tplc="14090019">
      <w:start w:val="1"/>
      <w:numFmt w:val="lowerLetter"/>
      <w:lvlText w:val="%2."/>
      <w:lvlJc w:val="left"/>
      <w:pPr>
        <w:ind w:left="1069" w:hanging="360"/>
      </w:pPr>
    </w:lvl>
    <w:lvl w:ilvl="2" w:tplc="1409001B">
      <w:start w:val="1"/>
      <w:numFmt w:val="lowerRoman"/>
      <w:lvlText w:val="%3."/>
      <w:lvlJc w:val="right"/>
      <w:pPr>
        <w:ind w:left="9891" w:hanging="180"/>
      </w:pPr>
    </w:lvl>
    <w:lvl w:ilvl="3" w:tplc="1409000F" w:tentative="1">
      <w:start w:val="1"/>
      <w:numFmt w:val="decimal"/>
      <w:lvlText w:val="%4."/>
      <w:lvlJc w:val="left"/>
      <w:pPr>
        <w:ind w:left="10611" w:hanging="360"/>
      </w:pPr>
    </w:lvl>
    <w:lvl w:ilvl="4" w:tplc="14090019" w:tentative="1">
      <w:start w:val="1"/>
      <w:numFmt w:val="lowerLetter"/>
      <w:lvlText w:val="%5."/>
      <w:lvlJc w:val="left"/>
      <w:pPr>
        <w:ind w:left="11331" w:hanging="360"/>
      </w:pPr>
    </w:lvl>
    <w:lvl w:ilvl="5" w:tplc="1409001B" w:tentative="1">
      <w:start w:val="1"/>
      <w:numFmt w:val="lowerRoman"/>
      <w:lvlText w:val="%6."/>
      <w:lvlJc w:val="right"/>
      <w:pPr>
        <w:ind w:left="12051" w:hanging="180"/>
      </w:pPr>
    </w:lvl>
    <w:lvl w:ilvl="6" w:tplc="1409000F" w:tentative="1">
      <w:start w:val="1"/>
      <w:numFmt w:val="decimal"/>
      <w:lvlText w:val="%7."/>
      <w:lvlJc w:val="left"/>
      <w:pPr>
        <w:ind w:left="12771" w:hanging="360"/>
      </w:pPr>
    </w:lvl>
    <w:lvl w:ilvl="7" w:tplc="14090019" w:tentative="1">
      <w:start w:val="1"/>
      <w:numFmt w:val="lowerLetter"/>
      <w:lvlText w:val="%8."/>
      <w:lvlJc w:val="left"/>
      <w:pPr>
        <w:ind w:left="13491" w:hanging="360"/>
      </w:pPr>
    </w:lvl>
    <w:lvl w:ilvl="8" w:tplc="1409001B" w:tentative="1">
      <w:start w:val="1"/>
      <w:numFmt w:val="lowerRoman"/>
      <w:lvlText w:val="%9."/>
      <w:lvlJc w:val="right"/>
      <w:pPr>
        <w:ind w:left="14211" w:hanging="180"/>
      </w:pPr>
    </w:lvl>
  </w:abstractNum>
  <w:abstractNum w:abstractNumId="6">
    <w:nsid w:val="7D3A7E64"/>
    <w:multiLevelType w:val="hybridMultilevel"/>
    <w:tmpl w:val="0B483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5D"/>
    <w:rsid w:val="000001DB"/>
    <w:rsid w:val="00000A82"/>
    <w:rsid w:val="00001003"/>
    <w:rsid w:val="00001A40"/>
    <w:rsid w:val="00001B1B"/>
    <w:rsid w:val="000028E8"/>
    <w:rsid w:val="00002A84"/>
    <w:rsid w:val="00002CEE"/>
    <w:rsid w:val="00002E9F"/>
    <w:rsid w:val="00003B75"/>
    <w:rsid w:val="00003C5A"/>
    <w:rsid w:val="0000444B"/>
    <w:rsid w:val="000046C5"/>
    <w:rsid w:val="00004B3B"/>
    <w:rsid w:val="00004E0F"/>
    <w:rsid w:val="000051A4"/>
    <w:rsid w:val="0000669A"/>
    <w:rsid w:val="000067BD"/>
    <w:rsid w:val="00006FCF"/>
    <w:rsid w:val="0000705D"/>
    <w:rsid w:val="000076F1"/>
    <w:rsid w:val="00007766"/>
    <w:rsid w:val="00007796"/>
    <w:rsid w:val="00010801"/>
    <w:rsid w:val="000109CA"/>
    <w:rsid w:val="00010FC7"/>
    <w:rsid w:val="00011224"/>
    <w:rsid w:val="00011494"/>
    <w:rsid w:val="000115BC"/>
    <w:rsid w:val="00011652"/>
    <w:rsid w:val="00011D83"/>
    <w:rsid w:val="000123F2"/>
    <w:rsid w:val="0001264B"/>
    <w:rsid w:val="00012B15"/>
    <w:rsid w:val="00012D8B"/>
    <w:rsid w:val="000141AA"/>
    <w:rsid w:val="00014AD9"/>
    <w:rsid w:val="00015355"/>
    <w:rsid w:val="00015BA0"/>
    <w:rsid w:val="00015EBA"/>
    <w:rsid w:val="0001684E"/>
    <w:rsid w:val="000169F6"/>
    <w:rsid w:val="0001744A"/>
    <w:rsid w:val="00017A8D"/>
    <w:rsid w:val="0002017E"/>
    <w:rsid w:val="000207F4"/>
    <w:rsid w:val="00021738"/>
    <w:rsid w:val="00021856"/>
    <w:rsid w:val="00022358"/>
    <w:rsid w:val="00022E0E"/>
    <w:rsid w:val="0002311E"/>
    <w:rsid w:val="0002317B"/>
    <w:rsid w:val="000235FB"/>
    <w:rsid w:val="000238FD"/>
    <w:rsid w:val="00023A56"/>
    <w:rsid w:val="000246A5"/>
    <w:rsid w:val="000249EA"/>
    <w:rsid w:val="000249F1"/>
    <w:rsid w:val="00024F66"/>
    <w:rsid w:val="00025272"/>
    <w:rsid w:val="000256EA"/>
    <w:rsid w:val="00025BCA"/>
    <w:rsid w:val="00025D53"/>
    <w:rsid w:val="0002626E"/>
    <w:rsid w:val="000265B8"/>
    <w:rsid w:val="00026948"/>
    <w:rsid w:val="00026AD1"/>
    <w:rsid w:val="00027A68"/>
    <w:rsid w:val="00027AC7"/>
    <w:rsid w:val="000301DE"/>
    <w:rsid w:val="00030722"/>
    <w:rsid w:val="000308B4"/>
    <w:rsid w:val="00030C45"/>
    <w:rsid w:val="0003102D"/>
    <w:rsid w:val="000311DA"/>
    <w:rsid w:val="0003129A"/>
    <w:rsid w:val="00031901"/>
    <w:rsid w:val="00031D61"/>
    <w:rsid w:val="00031DE0"/>
    <w:rsid w:val="00032776"/>
    <w:rsid w:val="000337C0"/>
    <w:rsid w:val="00034D18"/>
    <w:rsid w:val="0003538F"/>
    <w:rsid w:val="000353B9"/>
    <w:rsid w:val="00035822"/>
    <w:rsid w:val="0003645A"/>
    <w:rsid w:val="000367C1"/>
    <w:rsid w:val="00036995"/>
    <w:rsid w:val="00036C5B"/>
    <w:rsid w:val="00036CB3"/>
    <w:rsid w:val="00036E3A"/>
    <w:rsid w:val="0003725E"/>
    <w:rsid w:val="000373A9"/>
    <w:rsid w:val="0004080E"/>
    <w:rsid w:val="00040C12"/>
    <w:rsid w:val="00040FD3"/>
    <w:rsid w:val="00041359"/>
    <w:rsid w:val="0004197F"/>
    <w:rsid w:val="00041FFF"/>
    <w:rsid w:val="00042551"/>
    <w:rsid w:val="00042B9A"/>
    <w:rsid w:val="000431EE"/>
    <w:rsid w:val="000462E4"/>
    <w:rsid w:val="0004631F"/>
    <w:rsid w:val="00046900"/>
    <w:rsid w:val="00046972"/>
    <w:rsid w:val="00046B42"/>
    <w:rsid w:val="00046D31"/>
    <w:rsid w:val="00046FD4"/>
    <w:rsid w:val="00047495"/>
    <w:rsid w:val="00047E9D"/>
    <w:rsid w:val="0005026E"/>
    <w:rsid w:val="000503B2"/>
    <w:rsid w:val="00050671"/>
    <w:rsid w:val="000506C1"/>
    <w:rsid w:val="00050A60"/>
    <w:rsid w:val="00050B16"/>
    <w:rsid w:val="0005117B"/>
    <w:rsid w:val="000518B0"/>
    <w:rsid w:val="00051E67"/>
    <w:rsid w:val="0005266C"/>
    <w:rsid w:val="0005291C"/>
    <w:rsid w:val="0005294D"/>
    <w:rsid w:val="000536A0"/>
    <w:rsid w:val="000537D7"/>
    <w:rsid w:val="000539C6"/>
    <w:rsid w:val="00053DC7"/>
    <w:rsid w:val="00053F6F"/>
    <w:rsid w:val="00054615"/>
    <w:rsid w:val="00055731"/>
    <w:rsid w:val="0005589D"/>
    <w:rsid w:val="00055EB0"/>
    <w:rsid w:val="00056044"/>
    <w:rsid w:val="000568F3"/>
    <w:rsid w:val="00056E5B"/>
    <w:rsid w:val="00057430"/>
    <w:rsid w:val="0006032A"/>
    <w:rsid w:val="00060755"/>
    <w:rsid w:val="0006162E"/>
    <w:rsid w:val="0006183D"/>
    <w:rsid w:val="00061C1A"/>
    <w:rsid w:val="0006295C"/>
    <w:rsid w:val="00062ED8"/>
    <w:rsid w:val="00062F28"/>
    <w:rsid w:val="00062F34"/>
    <w:rsid w:val="00063248"/>
    <w:rsid w:val="0006349C"/>
    <w:rsid w:val="0006353B"/>
    <w:rsid w:val="000635A1"/>
    <w:rsid w:val="0006531A"/>
    <w:rsid w:val="0006553E"/>
    <w:rsid w:val="0006633F"/>
    <w:rsid w:val="0006648E"/>
    <w:rsid w:val="000668B9"/>
    <w:rsid w:val="00066B64"/>
    <w:rsid w:val="000677CD"/>
    <w:rsid w:val="00067BB8"/>
    <w:rsid w:val="0007040F"/>
    <w:rsid w:val="00070776"/>
    <w:rsid w:val="00071171"/>
    <w:rsid w:val="000713E8"/>
    <w:rsid w:val="00072A8C"/>
    <w:rsid w:val="000730B6"/>
    <w:rsid w:val="000730EA"/>
    <w:rsid w:val="0007322F"/>
    <w:rsid w:val="00073557"/>
    <w:rsid w:val="00073996"/>
    <w:rsid w:val="0007467F"/>
    <w:rsid w:val="00074772"/>
    <w:rsid w:val="00074D9E"/>
    <w:rsid w:val="00075AEB"/>
    <w:rsid w:val="00075D76"/>
    <w:rsid w:val="00076965"/>
    <w:rsid w:val="00076CD6"/>
    <w:rsid w:val="0007714A"/>
    <w:rsid w:val="00077FA0"/>
    <w:rsid w:val="00080564"/>
    <w:rsid w:val="0008104A"/>
    <w:rsid w:val="0008260F"/>
    <w:rsid w:val="00082689"/>
    <w:rsid w:val="00082D18"/>
    <w:rsid w:val="00082F8E"/>
    <w:rsid w:val="0008411C"/>
    <w:rsid w:val="00084421"/>
    <w:rsid w:val="00084889"/>
    <w:rsid w:val="00084F39"/>
    <w:rsid w:val="000854AE"/>
    <w:rsid w:val="000855C3"/>
    <w:rsid w:val="00085D73"/>
    <w:rsid w:val="00086010"/>
    <w:rsid w:val="00086FE8"/>
    <w:rsid w:val="000872CE"/>
    <w:rsid w:val="00090868"/>
    <w:rsid w:val="00090A30"/>
    <w:rsid w:val="00091C97"/>
    <w:rsid w:val="00092313"/>
    <w:rsid w:val="0009255E"/>
    <w:rsid w:val="0009284C"/>
    <w:rsid w:val="00095164"/>
    <w:rsid w:val="0009557D"/>
    <w:rsid w:val="0009576A"/>
    <w:rsid w:val="00095820"/>
    <w:rsid w:val="00095BEA"/>
    <w:rsid w:val="000965D1"/>
    <w:rsid w:val="00096A15"/>
    <w:rsid w:val="00096A29"/>
    <w:rsid w:val="000972DA"/>
    <w:rsid w:val="00097461"/>
    <w:rsid w:val="00097866"/>
    <w:rsid w:val="00097989"/>
    <w:rsid w:val="00097A0C"/>
    <w:rsid w:val="000A0DE1"/>
    <w:rsid w:val="000A12CF"/>
    <w:rsid w:val="000A1A8B"/>
    <w:rsid w:val="000A1BEC"/>
    <w:rsid w:val="000A2018"/>
    <w:rsid w:val="000A29A6"/>
    <w:rsid w:val="000A31ED"/>
    <w:rsid w:val="000A4738"/>
    <w:rsid w:val="000A56F4"/>
    <w:rsid w:val="000A585E"/>
    <w:rsid w:val="000A5B4C"/>
    <w:rsid w:val="000A5D7C"/>
    <w:rsid w:val="000A5D8F"/>
    <w:rsid w:val="000A6275"/>
    <w:rsid w:val="000A67C1"/>
    <w:rsid w:val="000A718B"/>
    <w:rsid w:val="000A72CC"/>
    <w:rsid w:val="000B0789"/>
    <w:rsid w:val="000B07E5"/>
    <w:rsid w:val="000B081D"/>
    <w:rsid w:val="000B0A4D"/>
    <w:rsid w:val="000B0B46"/>
    <w:rsid w:val="000B158B"/>
    <w:rsid w:val="000B2764"/>
    <w:rsid w:val="000B34CD"/>
    <w:rsid w:val="000B3A1D"/>
    <w:rsid w:val="000B44DD"/>
    <w:rsid w:val="000B485A"/>
    <w:rsid w:val="000B49EA"/>
    <w:rsid w:val="000B52C6"/>
    <w:rsid w:val="000B5334"/>
    <w:rsid w:val="000B58E0"/>
    <w:rsid w:val="000B5936"/>
    <w:rsid w:val="000B5E01"/>
    <w:rsid w:val="000B676C"/>
    <w:rsid w:val="000B6EB6"/>
    <w:rsid w:val="000B7183"/>
    <w:rsid w:val="000B74C7"/>
    <w:rsid w:val="000B7877"/>
    <w:rsid w:val="000B791B"/>
    <w:rsid w:val="000C006A"/>
    <w:rsid w:val="000C0577"/>
    <w:rsid w:val="000C126F"/>
    <w:rsid w:val="000C178F"/>
    <w:rsid w:val="000C1E4F"/>
    <w:rsid w:val="000C2361"/>
    <w:rsid w:val="000C26FB"/>
    <w:rsid w:val="000C277A"/>
    <w:rsid w:val="000C278C"/>
    <w:rsid w:val="000C3003"/>
    <w:rsid w:val="000C39A4"/>
    <w:rsid w:val="000C3DFD"/>
    <w:rsid w:val="000C4397"/>
    <w:rsid w:val="000C491C"/>
    <w:rsid w:val="000C4D0A"/>
    <w:rsid w:val="000C4FB8"/>
    <w:rsid w:val="000C52E4"/>
    <w:rsid w:val="000C5545"/>
    <w:rsid w:val="000C5760"/>
    <w:rsid w:val="000C5962"/>
    <w:rsid w:val="000C5B56"/>
    <w:rsid w:val="000C6337"/>
    <w:rsid w:val="000C640E"/>
    <w:rsid w:val="000C7B78"/>
    <w:rsid w:val="000D00F4"/>
    <w:rsid w:val="000D01D7"/>
    <w:rsid w:val="000D092E"/>
    <w:rsid w:val="000D0D19"/>
    <w:rsid w:val="000D1E68"/>
    <w:rsid w:val="000D1EF4"/>
    <w:rsid w:val="000D21AD"/>
    <w:rsid w:val="000D2451"/>
    <w:rsid w:val="000D256D"/>
    <w:rsid w:val="000D29B8"/>
    <w:rsid w:val="000D2D59"/>
    <w:rsid w:val="000D336E"/>
    <w:rsid w:val="000D35F2"/>
    <w:rsid w:val="000D488E"/>
    <w:rsid w:val="000D49F9"/>
    <w:rsid w:val="000D4DFF"/>
    <w:rsid w:val="000D52E0"/>
    <w:rsid w:val="000D5354"/>
    <w:rsid w:val="000D5D72"/>
    <w:rsid w:val="000D6FC7"/>
    <w:rsid w:val="000D751E"/>
    <w:rsid w:val="000D77DE"/>
    <w:rsid w:val="000D7F2F"/>
    <w:rsid w:val="000E07E3"/>
    <w:rsid w:val="000E13C5"/>
    <w:rsid w:val="000E1F92"/>
    <w:rsid w:val="000E1FC0"/>
    <w:rsid w:val="000E25C2"/>
    <w:rsid w:val="000E2832"/>
    <w:rsid w:val="000E2BBD"/>
    <w:rsid w:val="000E319C"/>
    <w:rsid w:val="000E38CB"/>
    <w:rsid w:val="000E38F2"/>
    <w:rsid w:val="000E3DE3"/>
    <w:rsid w:val="000E433B"/>
    <w:rsid w:val="000E4659"/>
    <w:rsid w:val="000E4662"/>
    <w:rsid w:val="000E4BBA"/>
    <w:rsid w:val="000E4C6B"/>
    <w:rsid w:val="000E51B5"/>
    <w:rsid w:val="000E555C"/>
    <w:rsid w:val="000E5C41"/>
    <w:rsid w:val="000E6BA4"/>
    <w:rsid w:val="000E6E3A"/>
    <w:rsid w:val="000E7ACB"/>
    <w:rsid w:val="000F01E3"/>
    <w:rsid w:val="000F05AC"/>
    <w:rsid w:val="000F0D2E"/>
    <w:rsid w:val="000F0EB0"/>
    <w:rsid w:val="000F12AB"/>
    <w:rsid w:val="000F17F7"/>
    <w:rsid w:val="000F1BFB"/>
    <w:rsid w:val="000F1DD9"/>
    <w:rsid w:val="000F2AC5"/>
    <w:rsid w:val="000F2DE2"/>
    <w:rsid w:val="000F3150"/>
    <w:rsid w:val="000F3414"/>
    <w:rsid w:val="000F3AAA"/>
    <w:rsid w:val="000F40AD"/>
    <w:rsid w:val="000F4210"/>
    <w:rsid w:val="000F42C7"/>
    <w:rsid w:val="000F4A11"/>
    <w:rsid w:val="000F4CF4"/>
    <w:rsid w:val="000F54BC"/>
    <w:rsid w:val="000F5704"/>
    <w:rsid w:val="000F6025"/>
    <w:rsid w:val="000F7F2F"/>
    <w:rsid w:val="001005F1"/>
    <w:rsid w:val="00100F66"/>
    <w:rsid w:val="001011A9"/>
    <w:rsid w:val="001015C7"/>
    <w:rsid w:val="0010168B"/>
    <w:rsid w:val="00101CE2"/>
    <w:rsid w:val="001023CB"/>
    <w:rsid w:val="0010356A"/>
    <w:rsid w:val="001037C9"/>
    <w:rsid w:val="001040AD"/>
    <w:rsid w:val="00104415"/>
    <w:rsid w:val="001044AB"/>
    <w:rsid w:val="00104696"/>
    <w:rsid w:val="00104F8F"/>
    <w:rsid w:val="00104FD6"/>
    <w:rsid w:val="00106047"/>
    <w:rsid w:val="00106141"/>
    <w:rsid w:val="001064F1"/>
    <w:rsid w:val="00106795"/>
    <w:rsid w:val="00106E60"/>
    <w:rsid w:val="0010744D"/>
    <w:rsid w:val="00107938"/>
    <w:rsid w:val="001101F1"/>
    <w:rsid w:val="0011091A"/>
    <w:rsid w:val="00110D91"/>
    <w:rsid w:val="00111166"/>
    <w:rsid w:val="001111A9"/>
    <w:rsid w:val="001116D9"/>
    <w:rsid w:val="0011193B"/>
    <w:rsid w:val="00111996"/>
    <w:rsid w:val="00111ACC"/>
    <w:rsid w:val="00111B37"/>
    <w:rsid w:val="00112820"/>
    <w:rsid w:val="001130B0"/>
    <w:rsid w:val="0011440E"/>
    <w:rsid w:val="0011470E"/>
    <w:rsid w:val="0011476C"/>
    <w:rsid w:val="00114785"/>
    <w:rsid w:val="00114786"/>
    <w:rsid w:val="00114B9F"/>
    <w:rsid w:val="00114D38"/>
    <w:rsid w:val="00114FD6"/>
    <w:rsid w:val="00116458"/>
    <w:rsid w:val="0011685F"/>
    <w:rsid w:val="00117499"/>
    <w:rsid w:val="00117B37"/>
    <w:rsid w:val="001200E4"/>
    <w:rsid w:val="001206F6"/>
    <w:rsid w:val="00120701"/>
    <w:rsid w:val="00120DA7"/>
    <w:rsid w:val="00120FE6"/>
    <w:rsid w:val="00121484"/>
    <w:rsid w:val="00121BB7"/>
    <w:rsid w:val="00122DED"/>
    <w:rsid w:val="0012311E"/>
    <w:rsid w:val="00123208"/>
    <w:rsid w:val="00123813"/>
    <w:rsid w:val="00125235"/>
    <w:rsid w:val="001255A9"/>
    <w:rsid w:val="00125F07"/>
    <w:rsid w:val="001263AF"/>
    <w:rsid w:val="001263C5"/>
    <w:rsid w:val="001267F0"/>
    <w:rsid w:val="00126B97"/>
    <w:rsid w:val="001271FC"/>
    <w:rsid w:val="001276D8"/>
    <w:rsid w:val="00130084"/>
    <w:rsid w:val="001304B4"/>
    <w:rsid w:val="00130520"/>
    <w:rsid w:val="00130FFF"/>
    <w:rsid w:val="00131166"/>
    <w:rsid w:val="00132210"/>
    <w:rsid w:val="00132310"/>
    <w:rsid w:val="00132687"/>
    <w:rsid w:val="00132771"/>
    <w:rsid w:val="00132C99"/>
    <w:rsid w:val="00132CF1"/>
    <w:rsid w:val="0013333B"/>
    <w:rsid w:val="001334BB"/>
    <w:rsid w:val="0013353F"/>
    <w:rsid w:val="001336A6"/>
    <w:rsid w:val="0013399A"/>
    <w:rsid w:val="00134012"/>
    <w:rsid w:val="00134696"/>
    <w:rsid w:val="0013471D"/>
    <w:rsid w:val="00134D86"/>
    <w:rsid w:val="0013507B"/>
    <w:rsid w:val="0013534C"/>
    <w:rsid w:val="001357E0"/>
    <w:rsid w:val="00135FB5"/>
    <w:rsid w:val="0013645D"/>
    <w:rsid w:val="00136A1E"/>
    <w:rsid w:val="00136A29"/>
    <w:rsid w:val="00137337"/>
    <w:rsid w:val="00140097"/>
    <w:rsid w:val="00140227"/>
    <w:rsid w:val="00140552"/>
    <w:rsid w:val="001406B2"/>
    <w:rsid w:val="00140C5F"/>
    <w:rsid w:val="00141A3E"/>
    <w:rsid w:val="001420CF"/>
    <w:rsid w:val="0014219E"/>
    <w:rsid w:val="001427CA"/>
    <w:rsid w:val="00142B87"/>
    <w:rsid w:val="00143519"/>
    <w:rsid w:val="00143995"/>
    <w:rsid w:val="001449F2"/>
    <w:rsid w:val="00144A82"/>
    <w:rsid w:val="00144BD4"/>
    <w:rsid w:val="00145602"/>
    <w:rsid w:val="00145A13"/>
    <w:rsid w:val="001461A5"/>
    <w:rsid w:val="001465FB"/>
    <w:rsid w:val="00146EC2"/>
    <w:rsid w:val="00147055"/>
    <w:rsid w:val="001474C0"/>
    <w:rsid w:val="00147682"/>
    <w:rsid w:val="00147838"/>
    <w:rsid w:val="001502A6"/>
    <w:rsid w:val="0015035E"/>
    <w:rsid w:val="00150BCE"/>
    <w:rsid w:val="00150C83"/>
    <w:rsid w:val="00150F0E"/>
    <w:rsid w:val="0015145C"/>
    <w:rsid w:val="001517F7"/>
    <w:rsid w:val="00152132"/>
    <w:rsid w:val="00152208"/>
    <w:rsid w:val="00153061"/>
    <w:rsid w:val="001538B0"/>
    <w:rsid w:val="0015418F"/>
    <w:rsid w:val="001547B0"/>
    <w:rsid w:val="0015491B"/>
    <w:rsid w:val="00154AF7"/>
    <w:rsid w:val="00154E0A"/>
    <w:rsid w:val="001553DD"/>
    <w:rsid w:val="00156266"/>
    <w:rsid w:val="00156A3C"/>
    <w:rsid w:val="001570D7"/>
    <w:rsid w:val="0015767A"/>
    <w:rsid w:val="001578C6"/>
    <w:rsid w:val="00157E84"/>
    <w:rsid w:val="00157EAC"/>
    <w:rsid w:val="001600CC"/>
    <w:rsid w:val="001605FB"/>
    <w:rsid w:val="0016089A"/>
    <w:rsid w:val="00160CC3"/>
    <w:rsid w:val="00160D46"/>
    <w:rsid w:val="001610B0"/>
    <w:rsid w:val="00161213"/>
    <w:rsid w:val="00161927"/>
    <w:rsid w:val="00161D5F"/>
    <w:rsid w:val="0016204F"/>
    <w:rsid w:val="001622C1"/>
    <w:rsid w:val="00162500"/>
    <w:rsid w:val="001638AA"/>
    <w:rsid w:val="00163E95"/>
    <w:rsid w:val="00164739"/>
    <w:rsid w:val="00164814"/>
    <w:rsid w:val="00164949"/>
    <w:rsid w:val="00164E82"/>
    <w:rsid w:val="00164F39"/>
    <w:rsid w:val="00164FF5"/>
    <w:rsid w:val="00165248"/>
    <w:rsid w:val="001655EC"/>
    <w:rsid w:val="001661DE"/>
    <w:rsid w:val="001666B1"/>
    <w:rsid w:val="0016695D"/>
    <w:rsid w:val="00166960"/>
    <w:rsid w:val="00166DD6"/>
    <w:rsid w:val="001670A5"/>
    <w:rsid w:val="00167438"/>
    <w:rsid w:val="00167457"/>
    <w:rsid w:val="00167F01"/>
    <w:rsid w:val="00170136"/>
    <w:rsid w:val="00170892"/>
    <w:rsid w:val="001710C2"/>
    <w:rsid w:val="001711B9"/>
    <w:rsid w:val="001714F4"/>
    <w:rsid w:val="00171583"/>
    <w:rsid w:val="0017181E"/>
    <w:rsid w:val="0017197E"/>
    <w:rsid w:val="00171A81"/>
    <w:rsid w:val="00171E9D"/>
    <w:rsid w:val="00171FAE"/>
    <w:rsid w:val="001726F0"/>
    <w:rsid w:val="0017286B"/>
    <w:rsid w:val="00172BF4"/>
    <w:rsid w:val="001730BD"/>
    <w:rsid w:val="00173610"/>
    <w:rsid w:val="00173629"/>
    <w:rsid w:val="0017369A"/>
    <w:rsid w:val="00173977"/>
    <w:rsid w:val="001745A6"/>
    <w:rsid w:val="00174824"/>
    <w:rsid w:val="00174C99"/>
    <w:rsid w:val="001750A1"/>
    <w:rsid w:val="0017517F"/>
    <w:rsid w:val="00175995"/>
    <w:rsid w:val="00175F97"/>
    <w:rsid w:val="001760F5"/>
    <w:rsid w:val="00176A05"/>
    <w:rsid w:val="00177169"/>
    <w:rsid w:val="0017720A"/>
    <w:rsid w:val="0017731F"/>
    <w:rsid w:val="001777A8"/>
    <w:rsid w:val="00177F79"/>
    <w:rsid w:val="00180329"/>
    <w:rsid w:val="00180D7A"/>
    <w:rsid w:val="0018108A"/>
    <w:rsid w:val="00181714"/>
    <w:rsid w:val="001818F9"/>
    <w:rsid w:val="001819A2"/>
    <w:rsid w:val="0018206C"/>
    <w:rsid w:val="00182513"/>
    <w:rsid w:val="001830D3"/>
    <w:rsid w:val="001831B5"/>
    <w:rsid w:val="001832B1"/>
    <w:rsid w:val="0018338B"/>
    <w:rsid w:val="001835BB"/>
    <w:rsid w:val="001841FE"/>
    <w:rsid w:val="00184C29"/>
    <w:rsid w:val="00184D78"/>
    <w:rsid w:val="00185152"/>
    <w:rsid w:val="0018518A"/>
    <w:rsid w:val="0018518D"/>
    <w:rsid w:val="001856C9"/>
    <w:rsid w:val="001858CB"/>
    <w:rsid w:val="0018598D"/>
    <w:rsid w:val="001859E0"/>
    <w:rsid w:val="00185F65"/>
    <w:rsid w:val="001860D6"/>
    <w:rsid w:val="00186D73"/>
    <w:rsid w:val="00187B74"/>
    <w:rsid w:val="00187BD6"/>
    <w:rsid w:val="00190977"/>
    <w:rsid w:val="00190DD5"/>
    <w:rsid w:val="001918F2"/>
    <w:rsid w:val="00191F5B"/>
    <w:rsid w:val="001921A4"/>
    <w:rsid w:val="001934BD"/>
    <w:rsid w:val="00193DAA"/>
    <w:rsid w:val="00195032"/>
    <w:rsid w:val="0019665B"/>
    <w:rsid w:val="00196699"/>
    <w:rsid w:val="001966A0"/>
    <w:rsid w:val="00197534"/>
    <w:rsid w:val="00197757"/>
    <w:rsid w:val="00197C11"/>
    <w:rsid w:val="001A028F"/>
    <w:rsid w:val="001A0625"/>
    <w:rsid w:val="001A1478"/>
    <w:rsid w:val="001A1EE7"/>
    <w:rsid w:val="001A2BB2"/>
    <w:rsid w:val="001A2EA9"/>
    <w:rsid w:val="001A3101"/>
    <w:rsid w:val="001A32AF"/>
    <w:rsid w:val="001A3BBE"/>
    <w:rsid w:val="001A3F75"/>
    <w:rsid w:val="001A3FC8"/>
    <w:rsid w:val="001A45B3"/>
    <w:rsid w:val="001A4DC3"/>
    <w:rsid w:val="001A51BF"/>
    <w:rsid w:val="001A5238"/>
    <w:rsid w:val="001A5C58"/>
    <w:rsid w:val="001A64E6"/>
    <w:rsid w:val="001A6932"/>
    <w:rsid w:val="001A6B49"/>
    <w:rsid w:val="001A6D56"/>
    <w:rsid w:val="001A77EC"/>
    <w:rsid w:val="001A78CB"/>
    <w:rsid w:val="001A7D05"/>
    <w:rsid w:val="001B0024"/>
    <w:rsid w:val="001B0A9C"/>
    <w:rsid w:val="001B0D91"/>
    <w:rsid w:val="001B0FE7"/>
    <w:rsid w:val="001B1744"/>
    <w:rsid w:val="001B1DEF"/>
    <w:rsid w:val="001B1ED5"/>
    <w:rsid w:val="001B240F"/>
    <w:rsid w:val="001B2936"/>
    <w:rsid w:val="001B365E"/>
    <w:rsid w:val="001B3ED3"/>
    <w:rsid w:val="001B3FE9"/>
    <w:rsid w:val="001B4135"/>
    <w:rsid w:val="001B418F"/>
    <w:rsid w:val="001B4366"/>
    <w:rsid w:val="001B475A"/>
    <w:rsid w:val="001B5424"/>
    <w:rsid w:val="001B5440"/>
    <w:rsid w:val="001B5D57"/>
    <w:rsid w:val="001B633C"/>
    <w:rsid w:val="001B66F5"/>
    <w:rsid w:val="001B6B71"/>
    <w:rsid w:val="001B6B74"/>
    <w:rsid w:val="001B7AA3"/>
    <w:rsid w:val="001B7D57"/>
    <w:rsid w:val="001C05E0"/>
    <w:rsid w:val="001C0ABF"/>
    <w:rsid w:val="001C0CA6"/>
    <w:rsid w:val="001C1976"/>
    <w:rsid w:val="001C1C1E"/>
    <w:rsid w:val="001C1DFA"/>
    <w:rsid w:val="001C211F"/>
    <w:rsid w:val="001C2397"/>
    <w:rsid w:val="001C2515"/>
    <w:rsid w:val="001C2660"/>
    <w:rsid w:val="001C2686"/>
    <w:rsid w:val="001C2AB2"/>
    <w:rsid w:val="001C2DE8"/>
    <w:rsid w:val="001C3395"/>
    <w:rsid w:val="001C3637"/>
    <w:rsid w:val="001C3D12"/>
    <w:rsid w:val="001C3ECE"/>
    <w:rsid w:val="001C42AA"/>
    <w:rsid w:val="001C4482"/>
    <w:rsid w:val="001C4DE1"/>
    <w:rsid w:val="001C4FEF"/>
    <w:rsid w:val="001C57C2"/>
    <w:rsid w:val="001C5A07"/>
    <w:rsid w:val="001C5B3D"/>
    <w:rsid w:val="001C6012"/>
    <w:rsid w:val="001C6D27"/>
    <w:rsid w:val="001C73CD"/>
    <w:rsid w:val="001C7B56"/>
    <w:rsid w:val="001C7BDC"/>
    <w:rsid w:val="001D1591"/>
    <w:rsid w:val="001D32FD"/>
    <w:rsid w:val="001D36E4"/>
    <w:rsid w:val="001D40BF"/>
    <w:rsid w:val="001D5334"/>
    <w:rsid w:val="001D5CB6"/>
    <w:rsid w:val="001D63BB"/>
    <w:rsid w:val="001D683E"/>
    <w:rsid w:val="001D6DCB"/>
    <w:rsid w:val="001D6E8A"/>
    <w:rsid w:val="001D70DF"/>
    <w:rsid w:val="001D7735"/>
    <w:rsid w:val="001D7BE0"/>
    <w:rsid w:val="001D7BED"/>
    <w:rsid w:val="001E0020"/>
    <w:rsid w:val="001E012B"/>
    <w:rsid w:val="001E0373"/>
    <w:rsid w:val="001E0CA7"/>
    <w:rsid w:val="001E0F97"/>
    <w:rsid w:val="001E119E"/>
    <w:rsid w:val="001E2282"/>
    <w:rsid w:val="001E25D7"/>
    <w:rsid w:val="001E26F5"/>
    <w:rsid w:val="001E2E5B"/>
    <w:rsid w:val="001E30D7"/>
    <w:rsid w:val="001E33AC"/>
    <w:rsid w:val="001E3879"/>
    <w:rsid w:val="001E4465"/>
    <w:rsid w:val="001E4BFC"/>
    <w:rsid w:val="001E5667"/>
    <w:rsid w:val="001E5E29"/>
    <w:rsid w:val="001E6314"/>
    <w:rsid w:val="001E6451"/>
    <w:rsid w:val="001E68C7"/>
    <w:rsid w:val="001E6D32"/>
    <w:rsid w:val="001E73B5"/>
    <w:rsid w:val="001F039F"/>
    <w:rsid w:val="001F0402"/>
    <w:rsid w:val="001F1078"/>
    <w:rsid w:val="001F1188"/>
    <w:rsid w:val="001F1475"/>
    <w:rsid w:val="001F1515"/>
    <w:rsid w:val="001F16A6"/>
    <w:rsid w:val="001F18F2"/>
    <w:rsid w:val="001F1B21"/>
    <w:rsid w:val="001F1BBC"/>
    <w:rsid w:val="001F1EBE"/>
    <w:rsid w:val="001F1EF3"/>
    <w:rsid w:val="001F20A9"/>
    <w:rsid w:val="001F21D3"/>
    <w:rsid w:val="001F2505"/>
    <w:rsid w:val="001F2AEC"/>
    <w:rsid w:val="001F2BE7"/>
    <w:rsid w:val="001F2CF7"/>
    <w:rsid w:val="001F30EF"/>
    <w:rsid w:val="001F44C1"/>
    <w:rsid w:val="001F4B5F"/>
    <w:rsid w:val="001F52CE"/>
    <w:rsid w:val="001F656E"/>
    <w:rsid w:val="001F6E39"/>
    <w:rsid w:val="001F6EB5"/>
    <w:rsid w:val="001F771A"/>
    <w:rsid w:val="00200817"/>
    <w:rsid w:val="00200C04"/>
    <w:rsid w:val="002018EA"/>
    <w:rsid w:val="00202B2D"/>
    <w:rsid w:val="00203196"/>
    <w:rsid w:val="002037BC"/>
    <w:rsid w:val="002038A8"/>
    <w:rsid w:val="00203F98"/>
    <w:rsid w:val="00203FDA"/>
    <w:rsid w:val="002040F9"/>
    <w:rsid w:val="00204301"/>
    <w:rsid w:val="002044FF"/>
    <w:rsid w:val="00204CFE"/>
    <w:rsid w:val="00204E71"/>
    <w:rsid w:val="0020507A"/>
    <w:rsid w:val="002051A2"/>
    <w:rsid w:val="00205879"/>
    <w:rsid w:val="00205DED"/>
    <w:rsid w:val="0020626C"/>
    <w:rsid w:val="002064F0"/>
    <w:rsid w:val="002066FF"/>
    <w:rsid w:val="00206D8C"/>
    <w:rsid w:val="002073F2"/>
    <w:rsid w:val="00207D55"/>
    <w:rsid w:val="00210491"/>
    <w:rsid w:val="00210AF8"/>
    <w:rsid w:val="00211039"/>
    <w:rsid w:val="00211CF1"/>
    <w:rsid w:val="002131B7"/>
    <w:rsid w:val="0021391D"/>
    <w:rsid w:val="00213DD2"/>
    <w:rsid w:val="002146BD"/>
    <w:rsid w:val="00214AB1"/>
    <w:rsid w:val="00214D30"/>
    <w:rsid w:val="00214D5F"/>
    <w:rsid w:val="0021517C"/>
    <w:rsid w:val="00215346"/>
    <w:rsid w:val="0021575E"/>
    <w:rsid w:val="002158C4"/>
    <w:rsid w:val="00215C7E"/>
    <w:rsid w:val="00215CB9"/>
    <w:rsid w:val="0021635B"/>
    <w:rsid w:val="00216B81"/>
    <w:rsid w:val="00216EA3"/>
    <w:rsid w:val="002172C4"/>
    <w:rsid w:val="00217458"/>
    <w:rsid w:val="002200ED"/>
    <w:rsid w:val="00220531"/>
    <w:rsid w:val="0022096F"/>
    <w:rsid w:val="00220C79"/>
    <w:rsid w:val="0022181A"/>
    <w:rsid w:val="00222084"/>
    <w:rsid w:val="00222215"/>
    <w:rsid w:val="00222389"/>
    <w:rsid w:val="00222CC1"/>
    <w:rsid w:val="00222F69"/>
    <w:rsid w:val="002239B3"/>
    <w:rsid w:val="00223CFA"/>
    <w:rsid w:val="0022421D"/>
    <w:rsid w:val="00224375"/>
    <w:rsid w:val="00224EA3"/>
    <w:rsid w:val="0022673F"/>
    <w:rsid w:val="00226E4E"/>
    <w:rsid w:val="00226FCE"/>
    <w:rsid w:val="00227144"/>
    <w:rsid w:val="00227376"/>
    <w:rsid w:val="00227446"/>
    <w:rsid w:val="00227EBB"/>
    <w:rsid w:val="00230064"/>
    <w:rsid w:val="00230769"/>
    <w:rsid w:val="0023189A"/>
    <w:rsid w:val="00231A6A"/>
    <w:rsid w:val="00231A8C"/>
    <w:rsid w:val="00232144"/>
    <w:rsid w:val="002325FA"/>
    <w:rsid w:val="002329D2"/>
    <w:rsid w:val="0023342F"/>
    <w:rsid w:val="0023365E"/>
    <w:rsid w:val="00234148"/>
    <w:rsid w:val="002341DC"/>
    <w:rsid w:val="00234497"/>
    <w:rsid w:val="002344B3"/>
    <w:rsid w:val="002356FA"/>
    <w:rsid w:val="002358C2"/>
    <w:rsid w:val="00235945"/>
    <w:rsid w:val="00235BCA"/>
    <w:rsid w:val="00235C87"/>
    <w:rsid w:val="00236A48"/>
    <w:rsid w:val="00236E6A"/>
    <w:rsid w:val="00236E86"/>
    <w:rsid w:val="00236F57"/>
    <w:rsid w:val="0024039E"/>
    <w:rsid w:val="00241170"/>
    <w:rsid w:val="00241608"/>
    <w:rsid w:val="002416C7"/>
    <w:rsid w:val="00241765"/>
    <w:rsid w:val="0024178D"/>
    <w:rsid w:val="0024188B"/>
    <w:rsid w:val="00241CC6"/>
    <w:rsid w:val="00242A42"/>
    <w:rsid w:val="00242F2E"/>
    <w:rsid w:val="00243045"/>
    <w:rsid w:val="0024331D"/>
    <w:rsid w:val="00243913"/>
    <w:rsid w:val="00243E82"/>
    <w:rsid w:val="0024406B"/>
    <w:rsid w:val="002449F1"/>
    <w:rsid w:val="00244A07"/>
    <w:rsid w:val="00244EF5"/>
    <w:rsid w:val="00245666"/>
    <w:rsid w:val="00245F2E"/>
    <w:rsid w:val="0024615D"/>
    <w:rsid w:val="002463DC"/>
    <w:rsid w:val="00246839"/>
    <w:rsid w:val="00246B48"/>
    <w:rsid w:val="00246F1D"/>
    <w:rsid w:val="002472C4"/>
    <w:rsid w:val="002476FD"/>
    <w:rsid w:val="0024788E"/>
    <w:rsid w:val="00247BCF"/>
    <w:rsid w:val="00250E5D"/>
    <w:rsid w:val="0025151D"/>
    <w:rsid w:val="0025161C"/>
    <w:rsid w:val="002516A6"/>
    <w:rsid w:val="002517E7"/>
    <w:rsid w:val="00251F28"/>
    <w:rsid w:val="00252669"/>
    <w:rsid w:val="00252CB2"/>
    <w:rsid w:val="00252DC4"/>
    <w:rsid w:val="00252FEC"/>
    <w:rsid w:val="00253711"/>
    <w:rsid w:val="00254201"/>
    <w:rsid w:val="00254246"/>
    <w:rsid w:val="002547B4"/>
    <w:rsid w:val="0025497D"/>
    <w:rsid w:val="002549A0"/>
    <w:rsid w:val="00254A28"/>
    <w:rsid w:val="002551D5"/>
    <w:rsid w:val="00255572"/>
    <w:rsid w:val="00255573"/>
    <w:rsid w:val="002560F1"/>
    <w:rsid w:val="0025679A"/>
    <w:rsid w:val="002567AC"/>
    <w:rsid w:val="00256E32"/>
    <w:rsid w:val="00256E5E"/>
    <w:rsid w:val="0025734B"/>
    <w:rsid w:val="00257784"/>
    <w:rsid w:val="00257C76"/>
    <w:rsid w:val="00260208"/>
    <w:rsid w:val="002602FF"/>
    <w:rsid w:val="00260D4B"/>
    <w:rsid w:val="00260DF3"/>
    <w:rsid w:val="00261F1E"/>
    <w:rsid w:val="002625DE"/>
    <w:rsid w:val="00262D3D"/>
    <w:rsid w:val="00263293"/>
    <w:rsid w:val="00263E42"/>
    <w:rsid w:val="00264074"/>
    <w:rsid w:val="00264935"/>
    <w:rsid w:val="002656A1"/>
    <w:rsid w:val="00265817"/>
    <w:rsid w:val="00265E4F"/>
    <w:rsid w:val="00270091"/>
    <w:rsid w:val="002700C1"/>
    <w:rsid w:val="002707BF"/>
    <w:rsid w:val="0027097B"/>
    <w:rsid w:val="00271C4E"/>
    <w:rsid w:val="00272376"/>
    <w:rsid w:val="002724D1"/>
    <w:rsid w:val="002727CA"/>
    <w:rsid w:val="00272A35"/>
    <w:rsid w:val="002734BC"/>
    <w:rsid w:val="0027370D"/>
    <w:rsid w:val="00273ADE"/>
    <w:rsid w:val="00273C1B"/>
    <w:rsid w:val="00273E23"/>
    <w:rsid w:val="00274560"/>
    <w:rsid w:val="00274764"/>
    <w:rsid w:val="00275CCB"/>
    <w:rsid w:val="002760BD"/>
    <w:rsid w:val="00276CBB"/>
    <w:rsid w:val="00276DA4"/>
    <w:rsid w:val="002772BE"/>
    <w:rsid w:val="00280058"/>
    <w:rsid w:val="00280087"/>
    <w:rsid w:val="002804EE"/>
    <w:rsid w:val="00280DB1"/>
    <w:rsid w:val="00280F32"/>
    <w:rsid w:val="0028192D"/>
    <w:rsid w:val="0028236D"/>
    <w:rsid w:val="0028270D"/>
    <w:rsid w:val="00282B19"/>
    <w:rsid w:val="00282D28"/>
    <w:rsid w:val="00283086"/>
    <w:rsid w:val="0028358E"/>
    <w:rsid w:val="00283F13"/>
    <w:rsid w:val="00284185"/>
    <w:rsid w:val="00284E60"/>
    <w:rsid w:val="00285278"/>
    <w:rsid w:val="00285B45"/>
    <w:rsid w:val="00286175"/>
    <w:rsid w:val="002861AC"/>
    <w:rsid w:val="002866C3"/>
    <w:rsid w:val="00286AC2"/>
    <w:rsid w:val="00286B68"/>
    <w:rsid w:val="00287727"/>
    <w:rsid w:val="00290B10"/>
    <w:rsid w:val="00290BC4"/>
    <w:rsid w:val="00290F96"/>
    <w:rsid w:val="002927C9"/>
    <w:rsid w:val="00293330"/>
    <w:rsid w:val="00293473"/>
    <w:rsid w:val="002934D2"/>
    <w:rsid w:val="00293CBE"/>
    <w:rsid w:val="00294609"/>
    <w:rsid w:val="00294A32"/>
    <w:rsid w:val="00294B19"/>
    <w:rsid w:val="00295BDD"/>
    <w:rsid w:val="00295DFB"/>
    <w:rsid w:val="00295F19"/>
    <w:rsid w:val="00296A57"/>
    <w:rsid w:val="0029749A"/>
    <w:rsid w:val="0029751F"/>
    <w:rsid w:val="002A0644"/>
    <w:rsid w:val="002A11BC"/>
    <w:rsid w:val="002A13DD"/>
    <w:rsid w:val="002A196E"/>
    <w:rsid w:val="002A20B1"/>
    <w:rsid w:val="002A23AF"/>
    <w:rsid w:val="002A2D82"/>
    <w:rsid w:val="002A36A5"/>
    <w:rsid w:val="002A3F0F"/>
    <w:rsid w:val="002A3F6C"/>
    <w:rsid w:val="002A42E2"/>
    <w:rsid w:val="002A471B"/>
    <w:rsid w:val="002A48A7"/>
    <w:rsid w:val="002A4BAF"/>
    <w:rsid w:val="002A4FF1"/>
    <w:rsid w:val="002A50E7"/>
    <w:rsid w:val="002A5B65"/>
    <w:rsid w:val="002A5C1E"/>
    <w:rsid w:val="002A5D94"/>
    <w:rsid w:val="002A5E14"/>
    <w:rsid w:val="002A6063"/>
    <w:rsid w:val="002A6816"/>
    <w:rsid w:val="002A6BBE"/>
    <w:rsid w:val="002A6E55"/>
    <w:rsid w:val="002A70B4"/>
    <w:rsid w:val="002B0018"/>
    <w:rsid w:val="002B0A90"/>
    <w:rsid w:val="002B1034"/>
    <w:rsid w:val="002B2105"/>
    <w:rsid w:val="002B2822"/>
    <w:rsid w:val="002B2ADC"/>
    <w:rsid w:val="002B2B90"/>
    <w:rsid w:val="002B2EF2"/>
    <w:rsid w:val="002B2F40"/>
    <w:rsid w:val="002B4124"/>
    <w:rsid w:val="002B4966"/>
    <w:rsid w:val="002B4D86"/>
    <w:rsid w:val="002B4E1D"/>
    <w:rsid w:val="002B5222"/>
    <w:rsid w:val="002B5540"/>
    <w:rsid w:val="002B55C6"/>
    <w:rsid w:val="002B5CF1"/>
    <w:rsid w:val="002B5F20"/>
    <w:rsid w:val="002B6450"/>
    <w:rsid w:val="002B646C"/>
    <w:rsid w:val="002B6478"/>
    <w:rsid w:val="002B6F1A"/>
    <w:rsid w:val="002B750B"/>
    <w:rsid w:val="002C0575"/>
    <w:rsid w:val="002C0826"/>
    <w:rsid w:val="002C1B40"/>
    <w:rsid w:val="002C1EE4"/>
    <w:rsid w:val="002C1F16"/>
    <w:rsid w:val="002C2B01"/>
    <w:rsid w:val="002C36E2"/>
    <w:rsid w:val="002C4037"/>
    <w:rsid w:val="002C421E"/>
    <w:rsid w:val="002C42D2"/>
    <w:rsid w:val="002C4AD7"/>
    <w:rsid w:val="002C58E1"/>
    <w:rsid w:val="002C5AB2"/>
    <w:rsid w:val="002C5BDB"/>
    <w:rsid w:val="002C649E"/>
    <w:rsid w:val="002C7170"/>
    <w:rsid w:val="002C768A"/>
    <w:rsid w:val="002C7A50"/>
    <w:rsid w:val="002C7DAF"/>
    <w:rsid w:val="002C7EAC"/>
    <w:rsid w:val="002D0000"/>
    <w:rsid w:val="002D0312"/>
    <w:rsid w:val="002D0430"/>
    <w:rsid w:val="002D117B"/>
    <w:rsid w:val="002D13A8"/>
    <w:rsid w:val="002D1BB5"/>
    <w:rsid w:val="002D1D38"/>
    <w:rsid w:val="002D294D"/>
    <w:rsid w:val="002D29EB"/>
    <w:rsid w:val="002D2E7F"/>
    <w:rsid w:val="002D32A2"/>
    <w:rsid w:val="002D3B76"/>
    <w:rsid w:val="002D3E69"/>
    <w:rsid w:val="002D41B1"/>
    <w:rsid w:val="002D4E4F"/>
    <w:rsid w:val="002D5507"/>
    <w:rsid w:val="002D5621"/>
    <w:rsid w:val="002D5729"/>
    <w:rsid w:val="002D57AD"/>
    <w:rsid w:val="002D6C5A"/>
    <w:rsid w:val="002D6F63"/>
    <w:rsid w:val="002D7113"/>
    <w:rsid w:val="002D75EA"/>
    <w:rsid w:val="002D78B8"/>
    <w:rsid w:val="002E07E4"/>
    <w:rsid w:val="002E0913"/>
    <w:rsid w:val="002E2073"/>
    <w:rsid w:val="002E2153"/>
    <w:rsid w:val="002E26C9"/>
    <w:rsid w:val="002E2B6D"/>
    <w:rsid w:val="002E2C0A"/>
    <w:rsid w:val="002E3137"/>
    <w:rsid w:val="002E3D2C"/>
    <w:rsid w:val="002E3D3E"/>
    <w:rsid w:val="002E3E73"/>
    <w:rsid w:val="002E5252"/>
    <w:rsid w:val="002E5437"/>
    <w:rsid w:val="002E594D"/>
    <w:rsid w:val="002E59FE"/>
    <w:rsid w:val="002E5D15"/>
    <w:rsid w:val="002E60DD"/>
    <w:rsid w:val="002E6DD0"/>
    <w:rsid w:val="002F01EA"/>
    <w:rsid w:val="002F06B6"/>
    <w:rsid w:val="002F0780"/>
    <w:rsid w:val="002F082D"/>
    <w:rsid w:val="002F1602"/>
    <w:rsid w:val="002F1E79"/>
    <w:rsid w:val="002F2658"/>
    <w:rsid w:val="002F26E5"/>
    <w:rsid w:val="002F2751"/>
    <w:rsid w:val="002F2A7E"/>
    <w:rsid w:val="002F2C4E"/>
    <w:rsid w:val="002F2C95"/>
    <w:rsid w:val="002F30C9"/>
    <w:rsid w:val="002F320A"/>
    <w:rsid w:val="002F32A7"/>
    <w:rsid w:val="002F37FA"/>
    <w:rsid w:val="002F3863"/>
    <w:rsid w:val="002F3FD5"/>
    <w:rsid w:val="002F4781"/>
    <w:rsid w:val="002F55D6"/>
    <w:rsid w:val="002F5AD2"/>
    <w:rsid w:val="002F6379"/>
    <w:rsid w:val="002F704E"/>
    <w:rsid w:val="002F7318"/>
    <w:rsid w:val="002F7CF8"/>
    <w:rsid w:val="002F7F51"/>
    <w:rsid w:val="003003B3"/>
    <w:rsid w:val="00300ACA"/>
    <w:rsid w:val="00300D00"/>
    <w:rsid w:val="00301049"/>
    <w:rsid w:val="00301402"/>
    <w:rsid w:val="0030196B"/>
    <w:rsid w:val="00301F19"/>
    <w:rsid w:val="00302652"/>
    <w:rsid w:val="003028CA"/>
    <w:rsid w:val="00302EA9"/>
    <w:rsid w:val="003031BE"/>
    <w:rsid w:val="003033A8"/>
    <w:rsid w:val="00303D35"/>
    <w:rsid w:val="00303DDD"/>
    <w:rsid w:val="00303FA0"/>
    <w:rsid w:val="00304FE4"/>
    <w:rsid w:val="00305007"/>
    <w:rsid w:val="003051E2"/>
    <w:rsid w:val="0030586D"/>
    <w:rsid w:val="00305C5C"/>
    <w:rsid w:val="003064E1"/>
    <w:rsid w:val="003064FD"/>
    <w:rsid w:val="003066E5"/>
    <w:rsid w:val="00306823"/>
    <w:rsid w:val="00306C7B"/>
    <w:rsid w:val="00307A78"/>
    <w:rsid w:val="00310000"/>
    <w:rsid w:val="0031044E"/>
    <w:rsid w:val="00310CBA"/>
    <w:rsid w:val="003118ED"/>
    <w:rsid w:val="00311FE3"/>
    <w:rsid w:val="00312169"/>
    <w:rsid w:val="00312A60"/>
    <w:rsid w:val="00312F29"/>
    <w:rsid w:val="00313449"/>
    <w:rsid w:val="0031366F"/>
    <w:rsid w:val="0031389B"/>
    <w:rsid w:val="00313FE9"/>
    <w:rsid w:val="003146A7"/>
    <w:rsid w:val="003150BA"/>
    <w:rsid w:val="00315127"/>
    <w:rsid w:val="00315AB6"/>
    <w:rsid w:val="00316068"/>
    <w:rsid w:val="00316CDF"/>
    <w:rsid w:val="00321303"/>
    <w:rsid w:val="0032174D"/>
    <w:rsid w:val="003218E2"/>
    <w:rsid w:val="00321B9E"/>
    <w:rsid w:val="00321D16"/>
    <w:rsid w:val="00321E89"/>
    <w:rsid w:val="003221FA"/>
    <w:rsid w:val="0032223F"/>
    <w:rsid w:val="003223F6"/>
    <w:rsid w:val="003227DD"/>
    <w:rsid w:val="00322836"/>
    <w:rsid w:val="00322A65"/>
    <w:rsid w:val="00322AAE"/>
    <w:rsid w:val="00322DF3"/>
    <w:rsid w:val="003230CD"/>
    <w:rsid w:val="00323DB3"/>
    <w:rsid w:val="00324194"/>
    <w:rsid w:val="0032451D"/>
    <w:rsid w:val="0032456C"/>
    <w:rsid w:val="00324821"/>
    <w:rsid w:val="00324889"/>
    <w:rsid w:val="00324EFE"/>
    <w:rsid w:val="00325806"/>
    <w:rsid w:val="00326464"/>
    <w:rsid w:val="00326589"/>
    <w:rsid w:val="00326590"/>
    <w:rsid w:val="003265BC"/>
    <w:rsid w:val="00326A06"/>
    <w:rsid w:val="00326AF2"/>
    <w:rsid w:val="00326D37"/>
    <w:rsid w:val="00326E25"/>
    <w:rsid w:val="00327907"/>
    <w:rsid w:val="00330332"/>
    <w:rsid w:val="0033193A"/>
    <w:rsid w:val="0033302C"/>
    <w:rsid w:val="0033377D"/>
    <w:rsid w:val="00333962"/>
    <w:rsid w:val="00334269"/>
    <w:rsid w:val="0033498F"/>
    <w:rsid w:val="00334E00"/>
    <w:rsid w:val="00334E25"/>
    <w:rsid w:val="003352E7"/>
    <w:rsid w:val="003357BA"/>
    <w:rsid w:val="00335A29"/>
    <w:rsid w:val="00335A39"/>
    <w:rsid w:val="00335A47"/>
    <w:rsid w:val="00335F75"/>
    <w:rsid w:val="00337132"/>
    <w:rsid w:val="00337367"/>
    <w:rsid w:val="00340412"/>
    <w:rsid w:val="0034107C"/>
    <w:rsid w:val="00341EDF"/>
    <w:rsid w:val="003421B4"/>
    <w:rsid w:val="00342FEC"/>
    <w:rsid w:val="003439AE"/>
    <w:rsid w:val="00343AD5"/>
    <w:rsid w:val="00343D55"/>
    <w:rsid w:val="003441EC"/>
    <w:rsid w:val="00344459"/>
    <w:rsid w:val="003445D3"/>
    <w:rsid w:val="003452CB"/>
    <w:rsid w:val="00345963"/>
    <w:rsid w:val="0034602A"/>
    <w:rsid w:val="003460A6"/>
    <w:rsid w:val="003465BE"/>
    <w:rsid w:val="00346C00"/>
    <w:rsid w:val="00346D18"/>
    <w:rsid w:val="00347770"/>
    <w:rsid w:val="00347825"/>
    <w:rsid w:val="003479AA"/>
    <w:rsid w:val="00347D33"/>
    <w:rsid w:val="0035089F"/>
    <w:rsid w:val="003509C9"/>
    <w:rsid w:val="00350FFD"/>
    <w:rsid w:val="00351234"/>
    <w:rsid w:val="00351447"/>
    <w:rsid w:val="003514F5"/>
    <w:rsid w:val="0035192E"/>
    <w:rsid w:val="00354164"/>
    <w:rsid w:val="00354541"/>
    <w:rsid w:val="003545EF"/>
    <w:rsid w:val="00354676"/>
    <w:rsid w:val="00354AFE"/>
    <w:rsid w:val="00355A15"/>
    <w:rsid w:val="003563A7"/>
    <w:rsid w:val="00356585"/>
    <w:rsid w:val="00356670"/>
    <w:rsid w:val="00356E93"/>
    <w:rsid w:val="0035706D"/>
    <w:rsid w:val="00357338"/>
    <w:rsid w:val="00360228"/>
    <w:rsid w:val="00360EF9"/>
    <w:rsid w:val="00361040"/>
    <w:rsid w:val="00361869"/>
    <w:rsid w:val="00362199"/>
    <w:rsid w:val="00362E9D"/>
    <w:rsid w:val="003630FB"/>
    <w:rsid w:val="00363C64"/>
    <w:rsid w:val="003642E3"/>
    <w:rsid w:val="00364CAE"/>
    <w:rsid w:val="00364CC4"/>
    <w:rsid w:val="003651FD"/>
    <w:rsid w:val="0036544D"/>
    <w:rsid w:val="00365457"/>
    <w:rsid w:val="0036569E"/>
    <w:rsid w:val="0036581A"/>
    <w:rsid w:val="00365ACE"/>
    <w:rsid w:val="00365BCD"/>
    <w:rsid w:val="003662A5"/>
    <w:rsid w:val="00366EDE"/>
    <w:rsid w:val="00366F8E"/>
    <w:rsid w:val="003670F8"/>
    <w:rsid w:val="0036711F"/>
    <w:rsid w:val="00367568"/>
    <w:rsid w:val="00367BCA"/>
    <w:rsid w:val="00367E8C"/>
    <w:rsid w:val="003701FE"/>
    <w:rsid w:val="00370559"/>
    <w:rsid w:val="00370B4A"/>
    <w:rsid w:val="00371556"/>
    <w:rsid w:val="00371BD5"/>
    <w:rsid w:val="0037211A"/>
    <w:rsid w:val="00372477"/>
    <w:rsid w:val="0037260B"/>
    <w:rsid w:val="0037260D"/>
    <w:rsid w:val="00372745"/>
    <w:rsid w:val="00372F57"/>
    <w:rsid w:val="00372F8E"/>
    <w:rsid w:val="00372F9E"/>
    <w:rsid w:val="003730A4"/>
    <w:rsid w:val="00373157"/>
    <w:rsid w:val="00374062"/>
    <w:rsid w:val="00374084"/>
    <w:rsid w:val="0037416A"/>
    <w:rsid w:val="003744BB"/>
    <w:rsid w:val="00374626"/>
    <w:rsid w:val="00374EE5"/>
    <w:rsid w:val="00375715"/>
    <w:rsid w:val="00375AEC"/>
    <w:rsid w:val="00375FEA"/>
    <w:rsid w:val="003760B6"/>
    <w:rsid w:val="00376F06"/>
    <w:rsid w:val="00377989"/>
    <w:rsid w:val="003779F4"/>
    <w:rsid w:val="00377D5E"/>
    <w:rsid w:val="0038072E"/>
    <w:rsid w:val="00380B83"/>
    <w:rsid w:val="00381AFB"/>
    <w:rsid w:val="00381B73"/>
    <w:rsid w:val="00381E85"/>
    <w:rsid w:val="00382257"/>
    <w:rsid w:val="00383B33"/>
    <w:rsid w:val="00383D94"/>
    <w:rsid w:val="00383E7E"/>
    <w:rsid w:val="003842B9"/>
    <w:rsid w:val="00384FA4"/>
    <w:rsid w:val="003850C9"/>
    <w:rsid w:val="00385156"/>
    <w:rsid w:val="003855D0"/>
    <w:rsid w:val="003856A9"/>
    <w:rsid w:val="003868CB"/>
    <w:rsid w:val="00386A1C"/>
    <w:rsid w:val="00386C91"/>
    <w:rsid w:val="003870D5"/>
    <w:rsid w:val="003873A2"/>
    <w:rsid w:val="0039052B"/>
    <w:rsid w:val="00390572"/>
    <w:rsid w:val="00390835"/>
    <w:rsid w:val="0039085F"/>
    <w:rsid w:val="0039086F"/>
    <w:rsid w:val="00391821"/>
    <w:rsid w:val="00391A1C"/>
    <w:rsid w:val="003924AA"/>
    <w:rsid w:val="003926FB"/>
    <w:rsid w:val="00392B70"/>
    <w:rsid w:val="00392FEB"/>
    <w:rsid w:val="00393148"/>
    <w:rsid w:val="003932C6"/>
    <w:rsid w:val="0039342E"/>
    <w:rsid w:val="00393F4D"/>
    <w:rsid w:val="00394375"/>
    <w:rsid w:val="0039454F"/>
    <w:rsid w:val="00394821"/>
    <w:rsid w:val="00394C0B"/>
    <w:rsid w:val="00395CFE"/>
    <w:rsid w:val="00396071"/>
    <w:rsid w:val="00396205"/>
    <w:rsid w:val="003963A6"/>
    <w:rsid w:val="00396C28"/>
    <w:rsid w:val="00396D9F"/>
    <w:rsid w:val="00396E50"/>
    <w:rsid w:val="00397D02"/>
    <w:rsid w:val="003A0587"/>
    <w:rsid w:val="003A0FB8"/>
    <w:rsid w:val="003A1207"/>
    <w:rsid w:val="003A18D0"/>
    <w:rsid w:val="003A1CF2"/>
    <w:rsid w:val="003A1ED5"/>
    <w:rsid w:val="003A266F"/>
    <w:rsid w:val="003A34A8"/>
    <w:rsid w:val="003A3A01"/>
    <w:rsid w:val="003A4D9B"/>
    <w:rsid w:val="003A4E32"/>
    <w:rsid w:val="003A56C3"/>
    <w:rsid w:val="003A5BB9"/>
    <w:rsid w:val="003A62E8"/>
    <w:rsid w:val="003A6328"/>
    <w:rsid w:val="003A66DC"/>
    <w:rsid w:val="003A6E2F"/>
    <w:rsid w:val="003A6E41"/>
    <w:rsid w:val="003A74B8"/>
    <w:rsid w:val="003A775D"/>
    <w:rsid w:val="003A79DC"/>
    <w:rsid w:val="003A7C6C"/>
    <w:rsid w:val="003B0391"/>
    <w:rsid w:val="003B0777"/>
    <w:rsid w:val="003B0876"/>
    <w:rsid w:val="003B0A3A"/>
    <w:rsid w:val="003B0C3E"/>
    <w:rsid w:val="003B0F93"/>
    <w:rsid w:val="003B12F4"/>
    <w:rsid w:val="003B1642"/>
    <w:rsid w:val="003B2341"/>
    <w:rsid w:val="003B262E"/>
    <w:rsid w:val="003B279D"/>
    <w:rsid w:val="003B27D8"/>
    <w:rsid w:val="003B2E28"/>
    <w:rsid w:val="003B36C0"/>
    <w:rsid w:val="003B4127"/>
    <w:rsid w:val="003B41E5"/>
    <w:rsid w:val="003B456D"/>
    <w:rsid w:val="003B463E"/>
    <w:rsid w:val="003B4B1D"/>
    <w:rsid w:val="003B4B6D"/>
    <w:rsid w:val="003B4D67"/>
    <w:rsid w:val="003B51B1"/>
    <w:rsid w:val="003B51B2"/>
    <w:rsid w:val="003B5BC0"/>
    <w:rsid w:val="003B666B"/>
    <w:rsid w:val="003B70B0"/>
    <w:rsid w:val="003B79B6"/>
    <w:rsid w:val="003C00B9"/>
    <w:rsid w:val="003C011C"/>
    <w:rsid w:val="003C025A"/>
    <w:rsid w:val="003C0B43"/>
    <w:rsid w:val="003C131F"/>
    <w:rsid w:val="003C1BB2"/>
    <w:rsid w:val="003C2274"/>
    <w:rsid w:val="003C2990"/>
    <w:rsid w:val="003C2E09"/>
    <w:rsid w:val="003C300A"/>
    <w:rsid w:val="003C323C"/>
    <w:rsid w:val="003C32B6"/>
    <w:rsid w:val="003C3A5A"/>
    <w:rsid w:val="003C3DDF"/>
    <w:rsid w:val="003C3E56"/>
    <w:rsid w:val="003C3EC9"/>
    <w:rsid w:val="003C4296"/>
    <w:rsid w:val="003C476E"/>
    <w:rsid w:val="003C5554"/>
    <w:rsid w:val="003C55FE"/>
    <w:rsid w:val="003C610F"/>
    <w:rsid w:val="003C6D38"/>
    <w:rsid w:val="003C6DA9"/>
    <w:rsid w:val="003C743E"/>
    <w:rsid w:val="003C748C"/>
    <w:rsid w:val="003C75F5"/>
    <w:rsid w:val="003C798E"/>
    <w:rsid w:val="003C7A96"/>
    <w:rsid w:val="003D011D"/>
    <w:rsid w:val="003D045B"/>
    <w:rsid w:val="003D0749"/>
    <w:rsid w:val="003D0F44"/>
    <w:rsid w:val="003D138F"/>
    <w:rsid w:val="003D17D6"/>
    <w:rsid w:val="003D18C5"/>
    <w:rsid w:val="003D19BE"/>
    <w:rsid w:val="003D1C3E"/>
    <w:rsid w:val="003D1DF4"/>
    <w:rsid w:val="003D1E8B"/>
    <w:rsid w:val="003D2A90"/>
    <w:rsid w:val="003D321C"/>
    <w:rsid w:val="003D3580"/>
    <w:rsid w:val="003D37B2"/>
    <w:rsid w:val="003D3BFD"/>
    <w:rsid w:val="003D47FB"/>
    <w:rsid w:val="003D4A5B"/>
    <w:rsid w:val="003D4C7E"/>
    <w:rsid w:val="003D5226"/>
    <w:rsid w:val="003D5461"/>
    <w:rsid w:val="003D5627"/>
    <w:rsid w:val="003D5F3D"/>
    <w:rsid w:val="003D6458"/>
    <w:rsid w:val="003D6704"/>
    <w:rsid w:val="003D701C"/>
    <w:rsid w:val="003D7058"/>
    <w:rsid w:val="003D7B04"/>
    <w:rsid w:val="003D7E13"/>
    <w:rsid w:val="003D7EA3"/>
    <w:rsid w:val="003E0C53"/>
    <w:rsid w:val="003E11BB"/>
    <w:rsid w:val="003E11C8"/>
    <w:rsid w:val="003E288F"/>
    <w:rsid w:val="003E3963"/>
    <w:rsid w:val="003E43B1"/>
    <w:rsid w:val="003E4A4D"/>
    <w:rsid w:val="003E4E15"/>
    <w:rsid w:val="003E5019"/>
    <w:rsid w:val="003E5263"/>
    <w:rsid w:val="003E5875"/>
    <w:rsid w:val="003E6353"/>
    <w:rsid w:val="003E63B8"/>
    <w:rsid w:val="003E645C"/>
    <w:rsid w:val="003E6C93"/>
    <w:rsid w:val="003E6EF4"/>
    <w:rsid w:val="003E7877"/>
    <w:rsid w:val="003F0415"/>
    <w:rsid w:val="003F045A"/>
    <w:rsid w:val="003F07FB"/>
    <w:rsid w:val="003F11F2"/>
    <w:rsid w:val="003F1949"/>
    <w:rsid w:val="003F249E"/>
    <w:rsid w:val="003F25C7"/>
    <w:rsid w:val="003F2B5B"/>
    <w:rsid w:val="003F3D87"/>
    <w:rsid w:val="003F3F33"/>
    <w:rsid w:val="003F3F56"/>
    <w:rsid w:val="003F40EE"/>
    <w:rsid w:val="003F4D49"/>
    <w:rsid w:val="003F50F9"/>
    <w:rsid w:val="003F5745"/>
    <w:rsid w:val="003F5828"/>
    <w:rsid w:val="003F5A51"/>
    <w:rsid w:val="003F65C9"/>
    <w:rsid w:val="003F671E"/>
    <w:rsid w:val="003F70A2"/>
    <w:rsid w:val="003F7A33"/>
    <w:rsid w:val="003F7D93"/>
    <w:rsid w:val="004000EA"/>
    <w:rsid w:val="0040164C"/>
    <w:rsid w:val="00401A9D"/>
    <w:rsid w:val="00401DD6"/>
    <w:rsid w:val="00401EAB"/>
    <w:rsid w:val="00402109"/>
    <w:rsid w:val="00402AF5"/>
    <w:rsid w:val="00402C64"/>
    <w:rsid w:val="00403271"/>
    <w:rsid w:val="00403378"/>
    <w:rsid w:val="00403883"/>
    <w:rsid w:val="00404714"/>
    <w:rsid w:val="00404856"/>
    <w:rsid w:val="00404C31"/>
    <w:rsid w:val="00404EFC"/>
    <w:rsid w:val="00404FA4"/>
    <w:rsid w:val="00406247"/>
    <w:rsid w:val="004064DF"/>
    <w:rsid w:val="004064F9"/>
    <w:rsid w:val="004072BB"/>
    <w:rsid w:val="004072EC"/>
    <w:rsid w:val="00410FE9"/>
    <w:rsid w:val="004110EC"/>
    <w:rsid w:val="0041114D"/>
    <w:rsid w:val="00411808"/>
    <w:rsid w:val="00412332"/>
    <w:rsid w:val="004124A3"/>
    <w:rsid w:val="00412B62"/>
    <w:rsid w:val="004130D2"/>
    <w:rsid w:val="004131ED"/>
    <w:rsid w:val="00413A99"/>
    <w:rsid w:val="00413B38"/>
    <w:rsid w:val="00413C5E"/>
    <w:rsid w:val="004143D6"/>
    <w:rsid w:val="00414465"/>
    <w:rsid w:val="00414956"/>
    <w:rsid w:val="00414CB1"/>
    <w:rsid w:val="00414D82"/>
    <w:rsid w:val="0041599B"/>
    <w:rsid w:val="00415B9E"/>
    <w:rsid w:val="004160F7"/>
    <w:rsid w:val="004162EE"/>
    <w:rsid w:val="00417C8A"/>
    <w:rsid w:val="00417F83"/>
    <w:rsid w:val="004207BE"/>
    <w:rsid w:val="00420A3A"/>
    <w:rsid w:val="00420D27"/>
    <w:rsid w:val="00420D50"/>
    <w:rsid w:val="00421D5E"/>
    <w:rsid w:val="00421F41"/>
    <w:rsid w:val="0042220C"/>
    <w:rsid w:val="00422B36"/>
    <w:rsid w:val="00422F85"/>
    <w:rsid w:val="00423D91"/>
    <w:rsid w:val="00424392"/>
    <w:rsid w:val="00424505"/>
    <w:rsid w:val="004245F3"/>
    <w:rsid w:val="00424A55"/>
    <w:rsid w:val="00424A68"/>
    <w:rsid w:val="00424B94"/>
    <w:rsid w:val="004251E1"/>
    <w:rsid w:val="00425A64"/>
    <w:rsid w:val="00425E4A"/>
    <w:rsid w:val="00426ED9"/>
    <w:rsid w:val="00427035"/>
    <w:rsid w:val="00427077"/>
    <w:rsid w:val="004274D1"/>
    <w:rsid w:val="0043062F"/>
    <w:rsid w:val="00430CDF"/>
    <w:rsid w:val="004317F9"/>
    <w:rsid w:val="00431E0F"/>
    <w:rsid w:val="004323F0"/>
    <w:rsid w:val="00433020"/>
    <w:rsid w:val="0043308E"/>
    <w:rsid w:val="00433210"/>
    <w:rsid w:val="00433284"/>
    <w:rsid w:val="0043341A"/>
    <w:rsid w:val="0043356D"/>
    <w:rsid w:val="004336B3"/>
    <w:rsid w:val="00433B14"/>
    <w:rsid w:val="00433D43"/>
    <w:rsid w:val="00434838"/>
    <w:rsid w:val="00434FC2"/>
    <w:rsid w:val="00435326"/>
    <w:rsid w:val="004357D2"/>
    <w:rsid w:val="0043661D"/>
    <w:rsid w:val="004402AC"/>
    <w:rsid w:val="00440561"/>
    <w:rsid w:val="00440739"/>
    <w:rsid w:val="00440D50"/>
    <w:rsid w:val="004417E6"/>
    <w:rsid w:val="00441C62"/>
    <w:rsid w:val="00442628"/>
    <w:rsid w:val="00442A50"/>
    <w:rsid w:val="00442B8C"/>
    <w:rsid w:val="0044303D"/>
    <w:rsid w:val="00444428"/>
    <w:rsid w:val="00444A5D"/>
    <w:rsid w:val="00444DD4"/>
    <w:rsid w:val="00444DE2"/>
    <w:rsid w:val="00445187"/>
    <w:rsid w:val="00446161"/>
    <w:rsid w:val="00446B49"/>
    <w:rsid w:val="00446C19"/>
    <w:rsid w:val="00447647"/>
    <w:rsid w:val="004477ED"/>
    <w:rsid w:val="004477F6"/>
    <w:rsid w:val="004502F7"/>
    <w:rsid w:val="00450611"/>
    <w:rsid w:val="00450B93"/>
    <w:rsid w:val="00451035"/>
    <w:rsid w:val="004510A7"/>
    <w:rsid w:val="004510F1"/>
    <w:rsid w:val="004511DD"/>
    <w:rsid w:val="004515B2"/>
    <w:rsid w:val="00452621"/>
    <w:rsid w:val="00452A4B"/>
    <w:rsid w:val="00452FED"/>
    <w:rsid w:val="004532F1"/>
    <w:rsid w:val="00453D6E"/>
    <w:rsid w:val="00454A4D"/>
    <w:rsid w:val="00455201"/>
    <w:rsid w:val="00455619"/>
    <w:rsid w:val="00455A1D"/>
    <w:rsid w:val="00455B2A"/>
    <w:rsid w:val="004561B7"/>
    <w:rsid w:val="004566C1"/>
    <w:rsid w:val="00456B79"/>
    <w:rsid w:val="00456F09"/>
    <w:rsid w:val="00457639"/>
    <w:rsid w:val="004577D7"/>
    <w:rsid w:val="004578F6"/>
    <w:rsid w:val="00457AEB"/>
    <w:rsid w:val="0046012A"/>
    <w:rsid w:val="004614CE"/>
    <w:rsid w:val="00461C98"/>
    <w:rsid w:val="004626BC"/>
    <w:rsid w:val="00463231"/>
    <w:rsid w:val="004637AF"/>
    <w:rsid w:val="00463A0E"/>
    <w:rsid w:val="004642E9"/>
    <w:rsid w:val="0046448C"/>
    <w:rsid w:val="0046474C"/>
    <w:rsid w:val="00464811"/>
    <w:rsid w:val="004648B2"/>
    <w:rsid w:val="004649A4"/>
    <w:rsid w:val="004649FF"/>
    <w:rsid w:val="00464CD2"/>
    <w:rsid w:val="00465321"/>
    <w:rsid w:val="004653CE"/>
    <w:rsid w:val="0046569C"/>
    <w:rsid w:val="00465CA9"/>
    <w:rsid w:val="004662DE"/>
    <w:rsid w:val="00466345"/>
    <w:rsid w:val="00466759"/>
    <w:rsid w:val="00467232"/>
    <w:rsid w:val="004674F6"/>
    <w:rsid w:val="00467F85"/>
    <w:rsid w:val="0047063C"/>
    <w:rsid w:val="00470817"/>
    <w:rsid w:val="0047082D"/>
    <w:rsid w:val="00470998"/>
    <w:rsid w:val="004711CF"/>
    <w:rsid w:val="004713CD"/>
    <w:rsid w:val="00471F6C"/>
    <w:rsid w:val="00472718"/>
    <w:rsid w:val="00472A8B"/>
    <w:rsid w:val="00472C52"/>
    <w:rsid w:val="00472D6F"/>
    <w:rsid w:val="00472EBB"/>
    <w:rsid w:val="004733B2"/>
    <w:rsid w:val="00473F8A"/>
    <w:rsid w:val="00474596"/>
    <w:rsid w:val="00474A26"/>
    <w:rsid w:val="00474AF3"/>
    <w:rsid w:val="004754D2"/>
    <w:rsid w:val="0047560C"/>
    <w:rsid w:val="00475B5D"/>
    <w:rsid w:val="00476252"/>
    <w:rsid w:val="00476895"/>
    <w:rsid w:val="00476BC4"/>
    <w:rsid w:val="00476F6E"/>
    <w:rsid w:val="004773DD"/>
    <w:rsid w:val="0047799D"/>
    <w:rsid w:val="0048003E"/>
    <w:rsid w:val="00480171"/>
    <w:rsid w:val="00480760"/>
    <w:rsid w:val="00480766"/>
    <w:rsid w:val="00481316"/>
    <w:rsid w:val="00481561"/>
    <w:rsid w:val="004815DD"/>
    <w:rsid w:val="00481972"/>
    <w:rsid w:val="00481EEA"/>
    <w:rsid w:val="00482389"/>
    <w:rsid w:val="004826E0"/>
    <w:rsid w:val="0048331B"/>
    <w:rsid w:val="004835BB"/>
    <w:rsid w:val="00483737"/>
    <w:rsid w:val="004838AB"/>
    <w:rsid w:val="00483C27"/>
    <w:rsid w:val="00483FB9"/>
    <w:rsid w:val="00484451"/>
    <w:rsid w:val="004844B1"/>
    <w:rsid w:val="00484708"/>
    <w:rsid w:val="00485112"/>
    <w:rsid w:val="0048531B"/>
    <w:rsid w:val="00485512"/>
    <w:rsid w:val="004855C4"/>
    <w:rsid w:val="00486046"/>
    <w:rsid w:val="00486203"/>
    <w:rsid w:val="0048626D"/>
    <w:rsid w:val="0048650F"/>
    <w:rsid w:val="004866AB"/>
    <w:rsid w:val="00486E34"/>
    <w:rsid w:val="004874A9"/>
    <w:rsid w:val="004902D5"/>
    <w:rsid w:val="00490CD7"/>
    <w:rsid w:val="004915DA"/>
    <w:rsid w:val="00491603"/>
    <w:rsid w:val="00491780"/>
    <w:rsid w:val="00491BBF"/>
    <w:rsid w:val="004920D3"/>
    <w:rsid w:val="00492930"/>
    <w:rsid w:val="00492B84"/>
    <w:rsid w:val="00493117"/>
    <w:rsid w:val="004934D5"/>
    <w:rsid w:val="0049359D"/>
    <w:rsid w:val="0049360B"/>
    <w:rsid w:val="00493942"/>
    <w:rsid w:val="00494706"/>
    <w:rsid w:val="00494C68"/>
    <w:rsid w:val="00495745"/>
    <w:rsid w:val="004959E1"/>
    <w:rsid w:val="00495A64"/>
    <w:rsid w:val="00495F59"/>
    <w:rsid w:val="00496CAA"/>
    <w:rsid w:val="00496FC7"/>
    <w:rsid w:val="004977F9"/>
    <w:rsid w:val="004A03DD"/>
    <w:rsid w:val="004A07C6"/>
    <w:rsid w:val="004A07F8"/>
    <w:rsid w:val="004A0D18"/>
    <w:rsid w:val="004A1270"/>
    <w:rsid w:val="004A1535"/>
    <w:rsid w:val="004A1537"/>
    <w:rsid w:val="004A1801"/>
    <w:rsid w:val="004A1A42"/>
    <w:rsid w:val="004A20C8"/>
    <w:rsid w:val="004A23AF"/>
    <w:rsid w:val="004A24EE"/>
    <w:rsid w:val="004A2682"/>
    <w:rsid w:val="004A280B"/>
    <w:rsid w:val="004A2CD6"/>
    <w:rsid w:val="004A2E34"/>
    <w:rsid w:val="004A30F5"/>
    <w:rsid w:val="004A4AB4"/>
    <w:rsid w:val="004A4D5E"/>
    <w:rsid w:val="004A5A08"/>
    <w:rsid w:val="004A5A4F"/>
    <w:rsid w:val="004A5BB5"/>
    <w:rsid w:val="004A5EAA"/>
    <w:rsid w:val="004A5F9C"/>
    <w:rsid w:val="004A62B1"/>
    <w:rsid w:val="004A63FD"/>
    <w:rsid w:val="004A689C"/>
    <w:rsid w:val="004A6A44"/>
    <w:rsid w:val="004A6AA5"/>
    <w:rsid w:val="004A6EC5"/>
    <w:rsid w:val="004A7AD3"/>
    <w:rsid w:val="004A7F74"/>
    <w:rsid w:val="004B03C9"/>
    <w:rsid w:val="004B0439"/>
    <w:rsid w:val="004B113A"/>
    <w:rsid w:val="004B1C77"/>
    <w:rsid w:val="004B1EB7"/>
    <w:rsid w:val="004B2E17"/>
    <w:rsid w:val="004B2F04"/>
    <w:rsid w:val="004B486D"/>
    <w:rsid w:val="004B48E3"/>
    <w:rsid w:val="004B536A"/>
    <w:rsid w:val="004B5407"/>
    <w:rsid w:val="004B59F4"/>
    <w:rsid w:val="004B5C4D"/>
    <w:rsid w:val="004B60CB"/>
    <w:rsid w:val="004B6979"/>
    <w:rsid w:val="004B6A7A"/>
    <w:rsid w:val="004B6AF2"/>
    <w:rsid w:val="004B6F8C"/>
    <w:rsid w:val="004B73D6"/>
    <w:rsid w:val="004B76C0"/>
    <w:rsid w:val="004B7AB7"/>
    <w:rsid w:val="004C0366"/>
    <w:rsid w:val="004C0695"/>
    <w:rsid w:val="004C0B41"/>
    <w:rsid w:val="004C0C71"/>
    <w:rsid w:val="004C0CD6"/>
    <w:rsid w:val="004C0D40"/>
    <w:rsid w:val="004C18D6"/>
    <w:rsid w:val="004C2154"/>
    <w:rsid w:val="004C28A5"/>
    <w:rsid w:val="004C2AE1"/>
    <w:rsid w:val="004C44A4"/>
    <w:rsid w:val="004C4633"/>
    <w:rsid w:val="004C4F0F"/>
    <w:rsid w:val="004C59E0"/>
    <w:rsid w:val="004C6B21"/>
    <w:rsid w:val="004C745A"/>
    <w:rsid w:val="004C74E4"/>
    <w:rsid w:val="004C755B"/>
    <w:rsid w:val="004C77BE"/>
    <w:rsid w:val="004C7CCD"/>
    <w:rsid w:val="004D0136"/>
    <w:rsid w:val="004D026C"/>
    <w:rsid w:val="004D0609"/>
    <w:rsid w:val="004D1CD1"/>
    <w:rsid w:val="004D20A4"/>
    <w:rsid w:val="004D315F"/>
    <w:rsid w:val="004D3179"/>
    <w:rsid w:val="004D3640"/>
    <w:rsid w:val="004D3A38"/>
    <w:rsid w:val="004D3BF8"/>
    <w:rsid w:val="004D4693"/>
    <w:rsid w:val="004D51E0"/>
    <w:rsid w:val="004D5215"/>
    <w:rsid w:val="004D5852"/>
    <w:rsid w:val="004D5895"/>
    <w:rsid w:val="004D5A3A"/>
    <w:rsid w:val="004D6266"/>
    <w:rsid w:val="004D6456"/>
    <w:rsid w:val="004D6774"/>
    <w:rsid w:val="004D6DC1"/>
    <w:rsid w:val="004D6E16"/>
    <w:rsid w:val="004E014F"/>
    <w:rsid w:val="004E0E21"/>
    <w:rsid w:val="004E0FA0"/>
    <w:rsid w:val="004E12AA"/>
    <w:rsid w:val="004E1F2B"/>
    <w:rsid w:val="004E220B"/>
    <w:rsid w:val="004E3384"/>
    <w:rsid w:val="004E3BB5"/>
    <w:rsid w:val="004E3EE8"/>
    <w:rsid w:val="004E43B0"/>
    <w:rsid w:val="004E4457"/>
    <w:rsid w:val="004E4B3D"/>
    <w:rsid w:val="004E4E15"/>
    <w:rsid w:val="004E4F96"/>
    <w:rsid w:val="004E5EDE"/>
    <w:rsid w:val="004E691F"/>
    <w:rsid w:val="004E7331"/>
    <w:rsid w:val="004E7A6E"/>
    <w:rsid w:val="004E7CDC"/>
    <w:rsid w:val="004E7DC1"/>
    <w:rsid w:val="004E7EB3"/>
    <w:rsid w:val="004F01E4"/>
    <w:rsid w:val="004F05F9"/>
    <w:rsid w:val="004F0A72"/>
    <w:rsid w:val="004F1916"/>
    <w:rsid w:val="004F2623"/>
    <w:rsid w:val="004F2654"/>
    <w:rsid w:val="004F3138"/>
    <w:rsid w:val="004F337C"/>
    <w:rsid w:val="004F3846"/>
    <w:rsid w:val="004F3CEE"/>
    <w:rsid w:val="004F401E"/>
    <w:rsid w:val="004F41CB"/>
    <w:rsid w:val="004F462E"/>
    <w:rsid w:val="004F5A1E"/>
    <w:rsid w:val="004F7198"/>
    <w:rsid w:val="004F75DF"/>
    <w:rsid w:val="0050015A"/>
    <w:rsid w:val="00500349"/>
    <w:rsid w:val="00500C30"/>
    <w:rsid w:val="00501163"/>
    <w:rsid w:val="00501866"/>
    <w:rsid w:val="00501896"/>
    <w:rsid w:val="00501D29"/>
    <w:rsid w:val="00502249"/>
    <w:rsid w:val="00502792"/>
    <w:rsid w:val="00502D3A"/>
    <w:rsid w:val="005035E6"/>
    <w:rsid w:val="00503C42"/>
    <w:rsid w:val="00504002"/>
    <w:rsid w:val="00504796"/>
    <w:rsid w:val="00504C35"/>
    <w:rsid w:val="0050559C"/>
    <w:rsid w:val="00506722"/>
    <w:rsid w:val="00506D5E"/>
    <w:rsid w:val="00506D99"/>
    <w:rsid w:val="00506DCC"/>
    <w:rsid w:val="005076ED"/>
    <w:rsid w:val="0050797F"/>
    <w:rsid w:val="00510CA1"/>
    <w:rsid w:val="00511458"/>
    <w:rsid w:val="005119A4"/>
    <w:rsid w:val="00511F98"/>
    <w:rsid w:val="00512175"/>
    <w:rsid w:val="00512CF2"/>
    <w:rsid w:val="00512DAB"/>
    <w:rsid w:val="00513B20"/>
    <w:rsid w:val="0051474A"/>
    <w:rsid w:val="00515399"/>
    <w:rsid w:val="0051546E"/>
    <w:rsid w:val="00515722"/>
    <w:rsid w:val="0051595D"/>
    <w:rsid w:val="00515F64"/>
    <w:rsid w:val="00516235"/>
    <w:rsid w:val="0051684F"/>
    <w:rsid w:val="00516D74"/>
    <w:rsid w:val="00517069"/>
    <w:rsid w:val="00517766"/>
    <w:rsid w:val="00520001"/>
    <w:rsid w:val="0052012A"/>
    <w:rsid w:val="00520483"/>
    <w:rsid w:val="005209E2"/>
    <w:rsid w:val="00520D65"/>
    <w:rsid w:val="00520E95"/>
    <w:rsid w:val="005219E1"/>
    <w:rsid w:val="00521B2D"/>
    <w:rsid w:val="00521B5D"/>
    <w:rsid w:val="00521C7A"/>
    <w:rsid w:val="0052247B"/>
    <w:rsid w:val="00522597"/>
    <w:rsid w:val="00522AF6"/>
    <w:rsid w:val="00522F1C"/>
    <w:rsid w:val="00523EA3"/>
    <w:rsid w:val="005243F7"/>
    <w:rsid w:val="005247F0"/>
    <w:rsid w:val="00525673"/>
    <w:rsid w:val="00526113"/>
    <w:rsid w:val="00526F50"/>
    <w:rsid w:val="005270CD"/>
    <w:rsid w:val="00527A2C"/>
    <w:rsid w:val="005300AF"/>
    <w:rsid w:val="005304FE"/>
    <w:rsid w:val="005307AF"/>
    <w:rsid w:val="00530C89"/>
    <w:rsid w:val="0053143C"/>
    <w:rsid w:val="0053165E"/>
    <w:rsid w:val="0053198F"/>
    <w:rsid w:val="00531A48"/>
    <w:rsid w:val="00531E6D"/>
    <w:rsid w:val="00533311"/>
    <w:rsid w:val="005338A2"/>
    <w:rsid w:val="005338D4"/>
    <w:rsid w:val="0053448C"/>
    <w:rsid w:val="005345BE"/>
    <w:rsid w:val="005349A0"/>
    <w:rsid w:val="005356A3"/>
    <w:rsid w:val="00535730"/>
    <w:rsid w:val="00535923"/>
    <w:rsid w:val="00536134"/>
    <w:rsid w:val="005364F0"/>
    <w:rsid w:val="00536AE6"/>
    <w:rsid w:val="00537AC7"/>
    <w:rsid w:val="00537CA0"/>
    <w:rsid w:val="00540069"/>
    <w:rsid w:val="00540526"/>
    <w:rsid w:val="005408DB"/>
    <w:rsid w:val="00540962"/>
    <w:rsid w:val="00540BC4"/>
    <w:rsid w:val="00540DD5"/>
    <w:rsid w:val="0054101B"/>
    <w:rsid w:val="0054112C"/>
    <w:rsid w:val="005412FA"/>
    <w:rsid w:val="005418CB"/>
    <w:rsid w:val="00541A24"/>
    <w:rsid w:val="00542487"/>
    <w:rsid w:val="00542638"/>
    <w:rsid w:val="005428C4"/>
    <w:rsid w:val="00542C42"/>
    <w:rsid w:val="00543055"/>
    <w:rsid w:val="005431F3"/>
    <w:rsid w:val="00543A8E"/>
    <w:rsid w:val="0054484A"/>
    <w:rsid w:val="00544A64"/>
    <w:rsid w:val="00544E36"/>
    <w:rsid w:val="00545429"/>
    <w:rsid w:val="005454D4"/>
    <w:rsid w:val="00545BB8"/>
    <w:rsid w:val="005467DD"/>
    <w:rsid w:val="0054689B"/>
    <w:rsid w:val="00546DA7"/>
    <w:rsid w:val="00546F2A"/>
    <w:rsid w:val="00547573"/>
    <w:rsid w:val="00547E58"/>
    <w:rsid w:val="00550866"/>
    <w:rsid w:val="00550ABA"/>
    <w:rsid w:val="005511EB"/>
    <w:rsid w:val="00551A66"/>
    <w:rsid w:val="00551EC4"/>
    <w:rsid w:val="00552287"/>
    <w:rsid w:val="0055251C"/>
    <w:rsid w:val="00553D1B"/>
    <w:rsid w:val="005540A0"/>
    <w:rsid w:val="00554D79"/>
    <w:rsid w:val="0055527E"/>
    <w:rsid w:val="00555B00"/>
    <w:rsid w:val="00556167"/>
    <w:rsid w:val="0055651F"/>
    <w:rsid w:val="0055665E"/>
    <w:rsid w:val="00556F8F"/>
    <w:rsid w:val="0055744C"/>
    <w:rsid w:val="00557526"/>
    <w:rsid w:val="00557768"/>
    <w:rsid w:val="0056023D"/>
    <w:rsid w:val="0056057C"/>
    <w:rsid w:val="00561838"/>
    <w:rsid w:val="00561D2C"/>
    <w:rsid w:val="00561F4A"/>
    <w:rsid w:val="00562341"/>
    <w:rsid w:val="00563256"/>
    <w:rsid w:val="005638B7"/>
    <w:rsid w:val="00563EFA"/>
    <w:rsid w:val="0056403A"/>
    <w:rsid w:val="00564D63"/>
    <w:rsid w:val="00565951"/>
    <w:rsid w:val="005662A1"/>
    <w:rsid w:val="00566FA7"/>
    <w:rsid w:val="005674D6"/>
    <w:rsid w:val="0056757D"/>
    <w:rsid w:val="00567796"/>
    <w:rsid w:val="00567B33"/>
    <w:rsid w:val="005701A1"/>
    <w:rsid w:val="005704AF"/>
    <w:rsid w:val="005705D1"/>
    <w:rsid w:val="00570B0C"/>
    <w:rsid w:val="005715F9"/>
    <w:rsid w:val="00572502"/>
    <w:rsid w:val="00572DAB"/>
    <w:rsid w:val="00572F5B"/>
    <w:rsid w:val="0057387C"/>
    <w:rsid w:val="00573FDE"/>
    <w:rsid w:val="0057407A"/>
    <w:rsid w:val="00574765"/>
    <w:rsid w:val="00575578"/>
    <w:rsid w:val="0057571D"/>
    <w:rsid w:val="00575A17"/>
    <w:rsid w:val="00575A21"/>
    <w:rsid w:val="00576DE4"/>
    <w:rsid w:val="00577791"/>
    <w:rsid w:val="005777A1"/>
    <w:rsid w:val="00577922"/>
    <w:rsid w:val="005802C4"/>
    <w:rsid w:val="00581F5D"/>
    <w:rsid w:val="00583F43"/>
    <w:rsid w:val="00584432"/>
    <w:rsid w:val="00584721"/>
    <w:rsid w:val="00585F71"/>
    <w:rsid w:val="0058694D"/>
    <w:rsid w:val="00586961"/>
    <w:rsid w:val="00586C08"/>
    <w:rsid w:val="00587018"/>
    <w:rsid w:val="00587090"/>
    <w:rsid w:val="005871AB"/>
    <w:rsid w:val="00587950"/>
    <w:rsid w:val="00587ABE"/>
    <w:rsid w:val="005907FF"/>
    <w:rsid w:val="00590F25"/>
    <w:rsid w:val="005913FE"/>
    <w:rsid w:val="00591E9F"/>
    <w:rsid w:val="005923F3"/>
    <w:rsid w:val="005929B9"/>
    <w:rsid w:val="005929EB"/>
    <w:rsid w:val="00592C59"/>
    <w:rsid w:val="0059324A"/>
    <w:rsid w:val="005934A2"/>
    <w:rsid w:val="0059384F"/>
    <w:rsid w:val="00593B20"/>
    <w:rsid w:val="00593DC3"/>
    <w:rsid w:val="00593E66"/>
    <w:rsid w:val="005946F5"/>
    <w:rsid w:val="00594BB2"/>
    <w:rsid w:val="00594CD9"/>
    <w:rsid w:val="00594E01"/>
    <w:rsid w:val="005953CE"/>
    <w:rsid w:val="00595610"/>
    <w:rsid w:val="00595847"/>
    <w:rsid w:val="00595B60"/>
    <w:rsid w:val="00595CFF"/>
    <w:rsid w:val="00595FC5"/>
    <w:rsid w:val="0059766C"/>
    <w:rsid w:val="00597B4F"/>
    <w:rsid w:val="00597D52"/>
    <w:rsid w:val="00597F65"/>
    <w:rsid w:val="005A031B"/>
    <w:rsid w:val="005A203B"/>
    <w:rsid w:val="005A20C9"/>
    <w:rsid w:val="005A22DC"/>
    <w:rsid w:val="005A2FBB"/>
    <w:rsid w:val="005A307E"/>
    <w:rsid w:val="005A3457"/>
    <w:rsid w:val="005A397A"/>
    <w:rsid w:val="005A39C2"/>
    <w:rsid w:val="005A4C7F"/>
    <w:rsid w:val="005A4DDE"/>
    <w:rsid w:val="005A567D"/>
    <w:rsid w:val="005A59CF"/>
    <w:rsid w:val="005A5A50"/>
    <w:rsid w:val="005A5BAF"/>
    <w:rsid w:val="005A6063"/>
    <w:rsid w:val="005A644B"/>
    <w:rsid w:val="005A66DA"/>
    <w:rsid w:val="005A6B8F"/>
    <w:rsid w:val="005A6D65"/>
    <w:rsid w:val="005A7155"/>
    <w:rsid w:val="005A77C3"/>
    <w:rsid w:val="005B0466"/>
    <w:rsid w:val="005B087E"/>
    <w:rsid w:val="005B0C9A"/>
    <w:rsid w:val="005B0E6B"/>
    <w:rsid w:val="005B1164"/>
    <w:rsid w:val="005B11D6"/>
    <w:rsid w:val="005B1802"/>
    <w:rsid w:val="005B29D0"/>
    <w:rsid w:val="005B3218"/>
    <w:rsid w:val="005B3C2D"/>
    <w:rsid w:val="005B3F59"/>
    <w:rsid w:val="005B4C6B"/>
    <w:rsid w:val="005B4D90"/>
    <w:rsid w:val="005B55B9"/>
    <w:rsid w:val="005B5D02"/>
    <w:rsid w:val="005B6A87"/>
    <w:rsid w:val="005B7185"/>
    <w:rsid w:val="005B74D3"/>
    <w:rsid w:val="005B7B3B"/>
    <w:rsid w:val="005C046F"/>
    <w:rsid w:val="005C078A"/>
    <w:rsid w:val="005C0B8D"/>
    <w:rsid w:val="005C1230"/>
    <w:rsid w:val="005C1837"/>
    <w:rsid w:val="005C1C6F"/>
    <w:rsid w:val="005C25D4"/>
    <w:rsid w:val="005C2F16"/>
    <w:rsid w:val="005C33FF"/>
    <w:rsid w:val="005C3EAB"/>
    <w:rsid w:val="005C40B3"/>
    <w:rsid w:val="005C40D7"/>
    <w:rsid w:val="005C46B2"/>
    <w:rsid w:val="005C47E5"/>
    <w:rsid w:val="005C48EA"/>
    <w:rsid w:val="005C545E"/>
    <w:rsid w:val="005C54F0"/>
    <w:rsid w:val="005C5CCA"/>
    <w:rsid w:val="005C5FC6"/>
    <w:rsid w:val="005C6380"/>
    <w:rsid w:val="005C64FD"/>
    <w:rsid w:val="005C6611"/>
    <w:rsid w:val="005C6B36"/>
    <w:rsid w:val="005C709A"/>
    <w:rsid w:val="005C7963"/>
    <w:rsid w:val="005D0474"/>
    <w:rsid w:val="005D0532"/>
    <w:rsid w:val="005D07D4"/>
    <w:rsid w:val="005D0C31"/>
    <w:rsid w:val="005D14ED"/>
    <w:rsid w:val="005D16F6"/>
    <w:rsid w:val="005D1B71"/>
    <w:rsid w:val="005D23FE"/>
    <w:rsid w:val="005D3117"/>
    <w:rsid w:val="005D371E"/>
    <w:rsid w:val="005D3BC9"/>
    <w:rsid w:val="005D4268"/>
    <w:rsid w:val="005D481F"/>
    <w:rsid w:val="005D491B"/>
    <w:rsid w:val="005D586E"/>
    <w:rsid w:val="005D5939"/>
    <w:rsid w:val="005D5F4D"/>
    <w:rsid w:val="005D5FE0"/>
    <w:rsid w:val="005D6810"/>
    <w:rsid w:val="005D6F95"/>
    <w:rsid w:val="005D7222"/>
    <w:rsid w:val="005D7AB0"/>
    <w:rsid w:val="005D7F6B"/>
    <w:rsid w:val="005E01F6"/>
    <w:rsid w:val="005E07FC"/>
    <w:rsid w:val="005E0A42"/>
    <w:rsid w:val="005E14C1"/>
    <w:rsid w:val="005E157E"/>
    <w:rsid w:val="005E1EBC"/>
    <w:rsid w:val="005E265F"/>
    <w:rsid w:val="005E2A82"/>
    <w:rsid w:val="005E2DB7"/>
    <w:rsid w:val="005E3282"/>
    <w:rsid w:val="005E3814"/>
    <w:rsid w:val="005E38BE"/>
    <w:rsid w:val="005E4616"/>
    <w:rsid w:val="005E4C45"/>
    <w:rsid w:val="005E4E34"/>
    <w:rsid w:val="005E4F50"/>
    <w:rsid w:val="005E6082"/>
    <w:rsid w:val="005E6463"/>
    <w:rsid w:val="005E7181"/>
    <w:rsid w:val="005E7374"/>
    <w:rsid w:val="005E7BC5"/>
    <w:rsid w:val="005F01B9"/>
    <w:rsid w:val="005F096B"/>
    <w:rsid w:val="005F0C23"/>
    <w:rsid w:val="005F0CD7"/>
    <w:rsid w:val="005F0F0F"/>
    <w:rsid w:val="005F0F18"/>
    <w:rsid w:val="005F128C"/>
    <w:rsid w:val="005F1CBE"/>
    <w:rsid w:val="005F277D"/>
    <w:rsid w:val="005F2C64"/>
    <w:rsid w:val="005F2CFA"/>
    <w:rsid w:val="005F2D8A"/>
    <w:rsid w:val="005F42DA"/>
    <w:rsid w:val="005F459C"/>
    <w:rsid w:val="005F5073"/>
    <w:rsid w:val="005F530F"/>
    <w:rsid w:val="005F638B"/>
    <w:rsid w:val="005F697F"/>
    <w:rsid w:val="005F6AF2"/>
    <w:rsid w:val="005F6D50"/>
    <w:rsid w:val="005F7178"/>
    <w:rsid w:val="005F7562"/>
    <w:rsid w:val="00600314"/>
    <w:rsid w:val="00600520"/>
    <w:rsid w:val="00601214"/>
    <w:rsid w:val="006013E1"/>
    <w:rsid w:val="00601461"/>
    <w:rsid w:val="006015B0"/>
    <w:rsid w:val="00601FC3"/>
    <w:rsid w:val="00602876"/>
    <w:rsid w:val="00602E21"/>
    <w:rsid w:val="006033A2"/>
    <w:rsid w:val="006035AF"/>
    <w:rsid w:val="006037C4"/>
    <w:rsid w:val="00604147"/>
    <w:rsid w:val="0060488E"/>
    <w:rsid w:val="0060490E"/>
    <w:rsid w:val="00604CDE"/>
    <w:rsid w:val="00605080"/>
    <w:rsid w:val="0060571F"/>
    <w:rsid w:val="0060588D"/>
    <w:rsid w:val="00605C4B"/>
    <w:rsid w:val="0060608D"/>
    <w:rsid w:val="006065B5"/>
    <w:rsid w:val="00606D0E"/>
    <w:rsid w:val="006076EB"/>
    <w:rsid w:val="00610126"/>
    <w:rsid w:val="00610330"/>
    <w:rsid w:val="0061039C"/>
    <w:rsid w:val="006104D9"/>
    <w:rsid w:val="00610788"/>
    <w:rsid w:val="00610E83"/>
    <w:rsid w:val="0061105A"/>
    <w:rsid w:val="0061174C"/>
    <w:rsid w:val="00611B2E"/>
    <w:rsid w:val="00611C4E"/>
    <w:rsid w:val="00611EC4"/>
    <w:rsid w:val="00612086"/>
    <w:rsid w:val="0061219A"/>
    <w:rsid w:val="00612832"/>
    <w:rsid w:val="00612D7E"/>
    <w:rsid w:val="006130C0"/>
    <w:rsid w:val="006135EB"/>
    <w:rsid w:val="00613AFB"/>
    <w:rsid w:val="00613B7A"/>
    <w:rsid w:val="00613F5D"/>
    <w:rsid w:val="00614149"/>
    <w:rsid w:val="00614D23"/>
    <w:rsid w:val="00614D29"/>
    <w:rsid w:val="00614D6E"/>
    <w:rsid w:val="00614DA8"/>
    <w:rsid w:val="006153BC"/>
    <w:rsid w:val="006155DE"/>
    <w:rsid w:val="006165DA"/>
    <w:rsid w:val="00616EDA"/>
    <w:rsid w:val="0061719B"/>
    <w:rsid w:val="00617ED4"/>
    <w:rsid w:val="00617F15"/>
    <w:rsid w:val="00617F71"/>
    <w:rsid w:val="006204B7"/>
    <w:rsid w:val="0062071D"/>
    <w:rsid w:val="00621151"/>
    <w:rsid w:val="00621717"/>
    <w:rsid w:val="00621E9B"/>
    <w:rsid w:val="00621F6F"/>
    <w:rsid w:val="00621FFF"/>
    <w:rsid w:val="00622070"/>
    <w:rsid w:val="0062233E"/>
    <w:rsid w:val="00622A3B"/>
    <w:rsid w:val="00622AB0"/>
    <w:rsid w:val="00622B79"/>
    <w:rsid w:val="00623CA1"/>
    <w:rsid w:val="00623E79"/>
    <w:rsid w:val="00623EC4"/>
    <w:rsid w:val="006242A4"/>
    <w:rsid w:val="006242FD"/>
    <w:rsid w:val="00624985"/>
    <w:rsid w:val="0062531C"/>
    <w:rsid w:val="00625BB9"/>
    <w:rsid w:val="00625BE4"/>
    <w:rsid w:val="00626369"/>
    <w:rsid w:val="00626E76"/>
    <w:rsid w:val="006270A6"/>
    <w:rsid w:val="006272D2"/>
    <w:rsid w:val="0062748A"/>
    <w:rsid w:val="00627A9C"/>
    <w:rsid w:val="00627C3B"/>
    <w:rsid w:val="00627E36"/>
    <w:rsid w:val="0063004F"/>
    <w:rsid w:val="00630357"/>
    <w:rsid w:val="00630392"/>
    <w:rsid w:val="00630937"/>
    <w:rsid w:val="00630D43"/>
    <w:rsid w:val="00630D52"/>
    <w:rsid w:val="00631139"/>
    <w:rsid w:val="006314B4"/>
    <w:rsid w:val="006315AC"/>
    <w:rsid w:val="00631EFD"/>
    <w:rsid w:val="00633130"/>
    <w:rsid w:val="00633423"/>
    <w:rsid w:val="00634168"/>
    <w:rsid w:val="0063439D"/>
    <w:rsid w:val="006348B6"/>
    <w:rsid w:val="00634BFD"/>
    <w:rsid w:val="00634C05"/>
    <w:rsid w:val="00634D29"/>
    <w:rsid w:val="00634DC6"/>
    <w:rsid w:val="00635635"/>
    <w:rsid w:val="0063590D"/>
    <w:rsid w:val="00635B8F"/>
    <w:rsid w:val="00635F65"/>
    <w:rsid w:val="00636502"/>
    <w:rsid w:val="00636611"/>
    <w:rsid w:val="00636965"/>
    <w:rsid w:val="00636A02"/>
    <w:rsid w:val="00636CED"/>
    <w:rsid w:val="006374F4"/>
    <w:rsid w:val="006375E2"/>
    <w:rsid w:val="00637A29"/>
    <w:rsid w:val="006406E2"/>
    <w:rsid w:val="00641231"/>
    <w:rsid w:val="006412D4"/>
    <w:rsid w:val="00641544"/>
    <w:rsid w:val="00641583"/>
    <w:rsid w:val="00641BD1"/>
    <w:rsid w:val="006423A9"/>
    <w:rsid w:val="006427DF"/>
    <w:rsid w:val="0064286C"/>
    <w:rsid w:val="00642AC4"/>
    <w:rsid w:val="0064349D"/>
    <w:rsid w:val="00643A3E"/>
    <w:rsid w:val="00643C46"/>
    <w:rsid w:val="0064445D"/>
    <w:rsid w:val="00644676"/>
    <w:rsid w:val="006448C2"/>
    <w:rsid w:val="00644BB8"/>
    <w:rsid w:val="00645A2C"/>
    <w:rsid w:val="0064678C"/>
    <w:rsid w:val="00646998"/>
    <w:rsid w:val="00646AB2"/>
    <w:rsid w:val="00646B46"/>
    <w:rsid w:val="00647281"/>
    <w:rsid w:val="006478B5"/>
    <w:rsid w:val="00647E2A"/>
    <w:rsid w:val="00650CF7"/>
    <w:rsid w:val="006511D0"/>
    <w:rsid w:val="0065169E"/>
    <w:rsid w:val="0065183A"/>
    <w:rsid w:val="00651899"/>
    <w:rsid w:val="00651D48"/>
    <w:rsid w:val="00651D7A"/>
    <w:rsid w:val="006527A4"/>
    <w:rsid w:val="00652847"/>
    <w:rsid w:val="00652959"/>
    <w:rsid w:val="006530B6"/>
    <w:rsid w:val="00653399"/>
    <w:rsid w:val="00653817"/>
    <w:rsid w:val="00653C97"/>
    <w:rsid w:val="00653DE8"/>
    <w:rsid w:val="00654586"/>
    <w:rsid w:val="00654D31"/>
    <w:rsid w:val="00654ECA"/>
    <w:rsid w:val="00655324"/>
    <w:rsid w:val="00655929"/>
    <w:rsid w:val="00655D37"/>
    <w:rsid w:val="00656A6D"/>
    <w:rsid w:val="00657278"/>
    <w:rsid w:val="0065777C"/>
    <w:rsid w:val="006577FE"/>
    <w:rsid w:val="00657CA6"/>
    <w:rsid w:val="0066013F"/>
    <w:rsid w:val="00660483"/>
    <w:rsid w:val="00660CD0"/>
    <w:rsid w:val="006619DD"/>
    <w:rsid w:val="00662979"/>
    <w:rsid w:val="006629B0"/>
    <w:rsid w:val="00662A09"/>
    <w:rsid w:val="006633D5"/>
    <w:rsid w:val="006638CE"/>
    <w:rsid w:val="00663EC6"/>
    <w:rsid w:val="00664196"/>
    <w:rsid w:val="006642E4"/>
    <w:rsid w:val="00664B50"/>
    <w:rsid w:val="00664BA8"/>
    <w:rsid w:val="00664DE5"/>
    <w:rsid w:val="00664EB6"/>
    <w:rsid w:val="0066501D"/>
    <w:rsid w:val="00665686"/>
    <w:rsid w:val="00665A3F"/>
    <w:rsid w:val="00665C41"/>
    <w:rsid w:val="00665E13"/>
    <w:rsid w:val="00666905"/>
    <w:rsid w:val="00666C92"/>
    <w:rsid w:val="006670D2"/>
    <w:rsid w:val="0067082E"/>
    <w:rsid w:val="00670A5A"/>
    <w:rsid w:val="00670B0E"/>
    <w:rsid w:val="0067125B"/>
    <w:rsid w:val="006713A7"/>
    <w:rsid w:val="00671E40"/>
    <w:rsid w:val="00671F10"/>
    <w:rsid w:val="006721F6"/>
    <w:rsid w:val="00672520"/>
    <w:rsid w:val="00673668"/>
    <w:rsid w:val="006738C3"/>
    <w:rsid w:val="00673D32"/>
    <w:rsid w:val="006740CA"/>
    <w:rsid w:val="0067466F"/>
    <w:rsid w:val="00674ACB"/>
    <w:rsid w:val="006750AF"/>
    <w:rsid w:val="0067573D"/>
    <w:rsid w:val="00675B14"/>
    <w:rsid w:val="00675BC2"/>
    <w:rsid w:val="00675DB4"/>
    <w:rsid w:val="006764A0"/>
    <w:rsid w:val="006764B6"/>
    <w:rsid w:val="00676801"/>
    <w:rsid w:val="0067687C"/>
    <w:rsid w:val="00677356"/>
    <w:rsid w:val="00677495"/>
    <w:rsid w:val="00677A93"/>
    <w:rsid w:val="006808EE"/>
    <w:rsid w:val="00680C02"/>
    <w:rsid w:val="006815B1"/>
    <w:rsid w:val="00681691"/>
    <w:rsid w:val="006817A8"/>
    <w:rsid w:val="0068347C"/>
    <w:rsid w:val="00683492"/>
    <w:rsid w:val="006834CE"/>
    <w:rsid w:val="00683B6C"/>
    <w:rsid w:val="0068422B"/>
    <w:rsid w:val="00684455"/>
    <w:rsid w:val="0068453F"/>
    <w:rsid w:val="00684EBF"/>
    <w:rsid w:val="0068554A"/>
    <w:rsid w:val="00685657"/>
    <w:rsid w:val="00687F9F"/>
    <w:rsid w:val="00690553"/>
    <w:rsid w:val="0069060C"/>
    <w:rsid w:val="00690A2E"/>
    <w:rsid w:val="00690ADF"/>
    <w:rsid w:val="00690B19"/>
    <w:rsid w:val="00691EAE"/>
    <w:rsid w:val="00691F30"/>
    <w:rsid w:val="00692165"/>
    <w:rsid w:val="0069268A"/>
    <w:rsid w:val="0069365D"/>
    <w:rsid w:val="00693BD7"/>
    <w:rsid w:val="00693C1D"/>
    <w:rsid w:val="006944A6"/>
    <w:rsid w:val="0069492F"/>
    <w:rsid w:val="00694D5F"/>
    <w:rsid w:val="006957AC"/>
    <w:rsid w:val="00695872"/>
    <w:rsid w:val="006959C1"/>
    <w:rsid w:val="00695FBC"/>
    <w:rsid w:val="0069619D"/>
    <w:rsid w:val="00696576"/>
    <w:rsid w:val="00696A44"/>
    <w:rsid w:val="00696E96"/>
    <w:rsid w:val="006A0559"/>
    <w:rsid w:val="006A084E"/>
    <w:rsid w:val="006A0974"/>
    <w:rsid w:val="006A14A8"/>
    <w:rsid w:val="006A1956"/>
    <w:rsid w:val="006A1EC0"/>
    <w:rsid w:val="006A1F40"/>
    <w:rsid w:val="006A24F1"/>
    <w:rsid w:val="006A2668"/>
    <w:rsid w:val="006A27F0"/>
    <w:rsid w:val="006A300B"/>
    <w:rsid w:val="006A3159"/>
    <w:rsid w:val="006A3B36"/>
    <w:rsid w:val="006A3B66"/>
    <w:rsid w:val="006A3C0A"/>
    <w:rsid w:val="006A3C5F"/>
    <w:rsid w:val="006A3D68"/>
    <w:rsid w:val="006A40F7"/>
    <w:rsid w:val="006A4501"/>
    <w:rsid w:val="006A55F7"/>
    <w:rsid w:val="006A65F3"/>
    <w:rsid w:val="006A687B"/>
    <w:rsid w:val="006A6965"/>
    <w:rsid w:val="006A6998"/>
    <w:rsid w:val="006A6BA7"/>
    <w:rsid w:val="006A6DE1"/>
    <w:rsid w:val="006A6ED3"/>
    <w:rsid w:val="006A6EED"/>
    <w:rsid w:val="006A6F49"/>
    <w:rsid w:val="006A738F"/>
    <w:rsid w:val="006A7EA6"/>
    <w:rsid w:val="006B0546"/>
    <w:rsid w:val="006B0558"/>
    <w:rsid w:val="006B084C"/>
    <w:rsid w:val="006B0DE4"/>
    <w:rsid w:val="006B19E7"/>
    <w:rsid w:val="006B1BD6"/>
    <w:rsid w:val="006B1D45"/>
    <w:rsid w:val="006B1F38"/>
    <w:rsid w:val="006B2753"/>
    <w:rsid w:val="006B3263"/>
    <w:rsid w:val="006B3A57"/>
    <w:rsid w:val="006B3CF5"/>
    <w:rsid w:val="006B3D53"/>
    <w:rsid w:val="006B3D90"/>
    <w:rsid w:val="006B3DDF"/>
    <w:rsid w:val="006B4228"/>
    <w:rsid w:val="006B44F8"/>
    <w:rsid w:val="006B4783"/>
    <w:rsid w:val="006B5B97"/>
    <w:rsid w:val="006B600A"/>
    <w:rsid w:val="006B652C"/>
    <w:rsid w:val="006B668A"/>
    <w:rsid w:val="006B6CE5"/>
    <w:rsid w:val="006B7AAA"/>
    <w:rsid w:val="006B7BFA"/>
    <w:rsid w:val="006B7C21"/>
    <w:rsid w:val="006B7F78"/>
    <w:rsid w:val="006C00E7"/>
    <w:rsid w:val="006C016B"/>
    <w:rsid w:val="006C01A8"/>
    <w:rsid w:val="006C177C"/>
    <w:rsid w:val="006C20EE"/>
    <w:rsid w:val="006C212C"/>
    <w:rsid w:val="006C21BD"/>
    <w:rsid w:val="006C2F26"/>
    <w:rsid w:val="006C3699"/>
    <w:rsid w:val="006C3760"/>
    <w:rsid w:val="006C39F6"/>
    <w:rsid w:val="006C4034"/>
    <w:rsid w:val="006C4794"/>
    <w:rsid w:val="006C53CB"/>
    <w:rsid w:val="006C559E"/>
    <w:rsid w:val="006C59E8"/>
    <w:rsid w:val="006C5C96"/>
    <w:rsid w:val="006C60DE"/>
    <w:rsid w:val="006C696C"/>
    <w:rsid w:val="006C6EB4"/>
    <w:rsid w:val="006C6ED0"/>
    <w:rsid w:val="006C72BE"/>
    <w:rsid w:val="006C7C41"/>
    <w:rsid w:val="006D0140"/>
    <w:rsid w:val="006D0724"/>
    <w:rsid w:val="006D099B"/>
    <w:rsid w:val="006D129D"/>
    <w:rsid w:val="006D1753"/>
    <w:rsid w:val="006D1ADC"/>
    <w:rsid w:val="006D1E46"/>
    <w:rsid w:val="006D2232"/>
    <w:rsid w:val="006D29ED"/>
    <w:rsid w:val="006D2AAA"/>
    <w:rsid w:val="006D33C4"/>
    <w:rsid w:val="006D352B"/>
    <w:rsid w:val="006D3A49"/>
    <w:rsid w:val="006D3F5B"/>
    <w:rsid w:val="006D40BE"/>
    <w:rsid w:val="006D4184"/>
    <w:rsid w:val="006D4358"/>
    <w:rsid w:val="006D450A"/>
    <w:rsid w:val="006D4871"/>
    <w:rsid w:val="006D4EDB"/>
    <w:rsid w:val="006D55F6"/>
    <w:rsid w:val="006D590C"/>
    <w:rsid w:val="006D59BD"/>
    <w:rsid w:val="006D603F"/>
    <w:rsid w:val="006D6955"/>
    <w:rsid w:val="006D73BA"/>
    <w:rsid w:val="006D7582"/>
    <w:rsid w:val="006D75A5"/>
    <w:rsid w:val="006E0889"/>
    <w:rsid w:val="006E09DE"/>
    <w:rsid w:val="006E0C11"/>
    <w:rsid w:val="006E0EA0"/>
    <w:rsid w:val="006E17CF"/>
    <w:rsid w:val="006E1BD1"/>
    <w:rsid w:val="006E1F4D"/>
    <w:rsid w:val="006E22D9"/>
    <w:rsid w:val="006E2B7B"/>
    <w:rsid w:val="006E2DEE"/>
    <w:rsid w:val="006E315A"/>
    <w:rsid w:val="006E37B7"/>
    <w:rsid w:val="006E39D2"/>
    <w:rsid w:val="006E3A45"/>
    <w:rsid w:val="006E433B"/>
    <w:rsid w:val="006E4427"/>
    <w:rsid w:val="006E4C11"/>
    <w:rsid w:val="006E4D31"/>
    <w:rsid w:val="006E52D4"/>
    <w:rsid w:val="006E5A43"/>
    <w:rsid w:val="006E5BE1"/>
    <w:rsid w:val="006E6111"/>
    <w:rsid w:val="006E6147"/>
    <w:rsid w:val="006E6D09"/>
    <w:rsid w:val="006E7328"/>
    <w:rsid w:val="006E78B8"/>
    <w:rsid w:val="006E7CF2"/>
    <w:rsid w:val="006F0002"/>
    <w:rsid w:val="006F28AF"/>
    <w:rsid w:val="006F29EB"/>
    <w:rsid w:val="006F302A"/>
    <w:rsid w:val="006F31C4"/>
    <w:rsid w:val="006F325A"/>
    <w:rsid w:val="006F3C38"/>
    <w:rsid w:val="006F4886"/>
    <w:rsid w:val="006F48BF"/>
    <w:rsid w:val="006F5063"/>
    <w:rsid w:val="006F514E"/>
    <w:rsid w:val="006F5739"/>
    <w:rsid w:val="006F79F4"/>
    <w:rsid w:val="006F7FA0"/>
    <w:rsid w:val="007004DC"/>
    <w:rsid w:val="00700DC3"/>
    <w:rsid w:val="00701295"/>
    <w:rsid w:val="0070135E"/>
    <w:rsid w:val="00701427"/>
    <w:rsid w:val="007016CF"/>
    <w:rsid w:val="00701A95"/>
    <w:rsid w:val="0070212A"/>
    <w:rsid w:val="00703498"/>
    <w:rsid w:val="00703499"/>
    <w:rsid w:val="00703587"/>
    <w:rsid w:val="0070378F"/>
    <w:rsid w:val="00704179"/>
    <w:rsid w:val="00704294"/>
    <w:rsid w:val="0070513B"/>
    <w:rsid w:val="007057C4"/>
    <w:rsid w:val="00705900"/>
    <w:rsid w:val="0070627C"/>
    <w:rsid w:val="00706A34"/>
    <w:rsid w:val="0070735A"/>
    <w:rsid w:val="00707521"/>
    <w:rsid w:val="0070752B"/>
    <w:rsid w:val="00707578"/>
    <w:rsid w:val="00707D6A"/>
    <w:rsid w:val="00711BD8"/>
    <w:rsid w:val="00711CB7"/>
    <w:rsid w:val="007120D2"/>
    <w:rsid w:val="00712B86"/>
    <w:rsid w:val="00712BAF"/>
    <w:rsid w:val="007132CE"/>
    <w:rsid w:val="0071333E"/>
    <w:rsid w:val="00713444"/>
    <w:rsid w:val="0071369D"/>
    <w:rsid w:val="00713900"/>
    <w:rsid w:val="00714B9C"/>
    <w:rsid w:val="00714E1E"/>
    <w:rsid w:val="00714F7E"/>
    <w:rsid w:val="0071545A"/>
    <w:rsid w:val="00715B17"/>
    <w:rsid w:val="00716E86"/>
    <w:rsid w:val="00716EAE"/>
    <w:rsid w:val="007171F7"/>
    <w:rsid w:val="00717996"/>
    <w:rsid w:val="00717CD2"/>
    <w:rsid w:val="00717FD5"/>
    <w:rsid w:val="00720D99"/>
    <w:rsid w:val="00720F31"/>
    <w:rsid w:val="007211C3"/>
    <w:rsid w:val="007219E1"/>
    <w:rsid w:val="00721AE1"/>
    <w:rsid w:val="00721B33"/>
    <w:rsid w:val="00721DF6"/>
    <w:rsid w:val="007224AF"/>
    <w:rsid w:val="007226C2"/>
    <w:rsid w:val="0072270E"/>
    <w:rsid w:val="00722D68"/>
    <w:rsid w:val="007232E7"/>
    <w:rsid w:val="007232FE"/>
    <w:rsid w:val="007234DE"/>
    <w:rsid w:val="00724018"/>
    <w:rsid w:val="00724A86"/>
    <w:rsid w:val="00724F10"/>
    <w:rsid w:val="0072575C"/>
    <w:rsid w:val="0072580C"/>
    <w:rsid w:val="007259EE"/>
    <w:rsid w:val="007268D5"/>
    <w:rsid w:val="007271B6"/>
    <w:rsid w:val="00727374"/>
    <w:rsid w:val="0072739F"/>
    <w:rsid w:val="00727AC2"/>
    <w:rsid w:val="00727BE7"/>
    <w:rsid w:val="00727EF2"/>
    <w:rsid w:val="00731ED0"/>
    <w:rsid w:val="00732243"/>
    <w:rsid w:val="007329A1"/>
    <w:rsid w:val="0073317F"/>
    <w:rsid w:val="007338AA"/>
    <w:rsid w:val="007339A8"/>
    <w:rsid w:val="00734309"/>
    <w:rsid w:val="007343BC"/>
    <w:rsid w:val="00734DF1"/>
    <w:rsid w:val="007350C0"/>
    <w:rsid w:val="0073539D"/>
    <w:rsid w:val="00735BE9"/>
    <w:rsid w:val="00735DAD"/>
    <w:rsid w:val="00736435"/>
    <w:rsid w:val="007366ED"/>
    <w:rsid w:val="0073690F"/>
    <w:rsid w:val="00736C87"/>
    <w:rsid w:val="00736E6F"/>
    <w:rsid w:val="00736FAC"/>
    <w:rsid w:val="00737174"/>
    <w:rsid w:val="007376ED"/>
    <w:rsid w:val="00737724"/>
    <w:rsid w:val="00737A47"/>
    <w:rsid w:val="00737DDB"/>
    <w:rsid w:val="00737F69"/>
    <w:rsid w:val="00740072"/>
    <w:rsid w:val="007410C1"/>
    <w:rsid w:val="00741414"/>
    <w:rsid w:val="00741B6C"/>
    <w:rsid w:val="00741C33"/>
    <w:rsid w:val="00742086"/>
    <w:rsid w:val="00742CBD"/>
    <w:rsid w:val="00742E2E"/>
    <w:rsid w:val="00742E42"/>
    <w:rsid w:val="00743030"/>
    <w:rsid w:val="00743B33"/>
    <w:rsid w:val="007442DF"/>
    <w:rsid w:val="007452AB"/>
    <w:rsid w:val="00745A0C"/>
    <w:rsid w:val="00745BAE"/>
    <w:rsid w:val="007469B3"/>
    <w:rsid w:val="00747161"/>
    <w:rsid w:val="0074780A"/>
    <w:rsid w:val="007478FB"/>
    <w:rsid w:val="007479AD"/>
    <w:rsid w:val="00747A73"/>
    <w:rsid w:val="00747EF4"/>
    <w:rsid w:val="00750DB2"/>
    <w:rsid w:val="00750F4B"/>
    <w:rsid w:val="00751672"/>
    <w:rsid w:val="00751B1D"/>
    <w:rsid w:val="00752258"/>
    <w:rsid w:val="00753238"/>
    <w:rsid w:val="00753611"/>
    <w:rsid w:val="0075373D"/>
    <w:rsid w:val="00753BB7"/>
    <w:rsid w:val="00753CA0"/>
    <w:rsid w:val="00753EEE"/>
    <w:rsid w:val="00754234"/>
    <w:rsid w:val="0075462A"/>
    <w:rsid w:val="00754CA6"/>
    <w:rsid w:val="00755144"/>
    <w:rsid w:val="00755F32"/>
    <w:rsid w:val="007561DC"/>
    <w:rsid w:val="007565CE"/>
    <w:rsid w:val="00756AA6"/>
    <w:rsid w:val="0075760C"/>
    <w:rsid w:val="0076099E"/>
    <w:rsid w:val="007609DA"/>
    <w:rsid w:val="00760DE6"/>
    <w:rsid w:val="00761032"/>
    <w:rsid w:val="007610F3"/>
    <w:rsid w:val="00761133"/>
    <w:rsid w:val="00761560"/>
    <w:rsid w:val="0076163E"/>
    <w:rsid w:val="0076187B"/>
    <w:rsid w:val="00762287"/>
    <w:rsid w:val="00762CBC"/>
    <w:rsid w:val="00764221"/>
    <w:rsid w:val="00764274"/>
    <w:rsid w:val="00764F5B"/>
    <w:rsid w:val="007652B8"/>
    <w:rsid w:val="00765331"/>
    <w:rsid w:val="00765CC9"/>
    <w:rsid w:val="0076672D"/>
    <w:rsid w:val="00767260"/>
    <w:rsid w:val="00767F1E"/>
    <w:rsid w:val="0077036C"/>
    <w:rsid w:val="007706C3"/>
    <w:rsid w:val="00770D90"/>
    <w:rsid w:val="00771D3E"/>
    <w:rsid w:val="007724AD"/>
    <w:rsid w:val="00772567"/>
    <w:rsid w:val="007725A8"/>
    <w:rsid w:val="007729D1"/>
    <w:rsid w:val="00772E21"/>
    <w:rsid w:val="00773AE6"/>
    <w:rsid w:val="00773E14"/>
    <w:rsid w:val="00774236"/>
    <w:rsid w:val="00774712"/>
    <w:rsid w:val="007747CD"/>
    <w:rsid w:val="00774DBC"/>
    <w:rsid w:val="00775AD7"/>
    <w:rsid w:val="00775BDB"/>
    <w:rsid w:val="00775FDF"/>
    <w:rsid w:val="007761EA"/>
    <w:rsid w:val="0077644F"/>
    <w:rsid w:val="007765F6"/>
    <w:rsid w:val="00776ADA"/>
    <w:rsid w:val="00777606"/>
    <w:rsid w:val="00777970"/>
    <w:rsid w:val="007779F7"/>
    <w:rsid w:val="007802E5"/>
    <w:rsid w:val="007810A3"/>
    <w:rsid w:val="0078146A"/>
    <w:rsid w:val="0078165C"/>
    <w:rsid w:val="007819A9"/>
    <w:rsid w:val="00781A5F"/>
    <w:rsid w:val="0078237B"/>
    <w:rsid w:val="007825CE"/>
    <w:rsid w:val="007825F7"/>
    <w:rsid w:val="00782927"/>
    <w:rsid w:val="00782A09"/>
    <w:rsid w:val="007834F6"/>
    <w:rsid w:val="007838FB"/>
    <w:rsid w:val="0078438B"/>
    <w:rsid w:val="00784486"/>
    <w:rsid w:val="007849A6"/>
    <w:rsid w:val="00784E4F"/>
    <w:rsid w:val="00785C94"/>
    <w:rsid w:val="00785C9F"/>
    <w:rsid w:val="00786469"/>
    <w:rsid w:val="0078658D"/>
    <w:rsid w:val="0078667F"/>
    <w:rsid w:val="007867AC"/>
    <w:rsid w:val="007871C6"/>
    <w:rsid w:val="00787D5B"/>
    <w:rsid w:val="00790BCC"/>
    <w:rsid w:val="00791076"/>
    <w:rsid w:val="0079123A"/>
    <w:rsid w:val="0079162D"/>
    <w:rsid w:val="00792672"/>
    <w:rsid w:val="00792792"/>
    <w:rsid w:val="0079294B"/>
    <w:rsid w:val="00792DF2"/>
    <w:rsid w:val="00793359"/>
    <w:rsid w:val="0079429C"/>
    <w:rsid w:val="0079532A"/>
    <w:rsid w:val="00795BA3"/>
    <w:rsid w:val="00795DE4"/>
    <w:rsid w:val="00795ED5"/>
    <w:rsid w:val="00796CD2"/>
    <w:rsid w:val="0079790F"/>
    <w:rsid w:val="00797F0C"/>
    <w:rsid w:val="007A0068"/>
    <w:rsid w:val="007A097D"/>
    <w:rsid w:val="007A1548"/>
    <w:rsid w:val="007A193F"/>
    <w:rsid w:val="007A1EE2"/>
    <w:rsid w:val="007A255B"/>
    <w:rsid w:val="007A2590"/>
    <w:rsid w:val="007A28CE"/>
    <w:rsid w:val="007A2E1C"/>
    <w:rsid w:val="007A30B2"/>
    <w:rsid w:val="007A371B"/>
    <w:rsid w:val="007A4223"/>
    <w:rsid w:val="007A4231"/>
    <w:rsid w:val="007A599C"/>
    <w:rsid w:val="007A61DD"/>
    <w:rsid w:val="007A64CB"/>
    <w:rsid w:val="007A6952"/>
    <w:rsid w:val="007A6E21"/>
    <w:rsid w:val="007B08E8"/>
    <w:rsid w:val="007B0AB8"/>
    <w:rsid w:val="007B0B96"/>
    <w:rsid w:val="007B1226"/>
    <w:rsid w:val="007B138D"/>
    <w:rsid w:val="007B165C"/>
    <w:rsid w:val="007B1F15"/>
    <w:rsid w:val="007B2B80"/>
    <w:rsid w:val="007B2F4D"/>
    <w:rsid w:val="007B3132"/>
    <w:rsid w:val="007B31CC"/>
    <w:rsid w:val="007B3CED"/>
    <w:rsid w:val="007B44A7"/>
    <w:rsid w:val="007B4B28"/>
    <w:rsid w:val="007B4C59"/>
    <w:rsid w:val="007B4D5D"/>
    <w:rsid w:val="007B54C9"/>
    <w:rsid w:val="007B5ACB"/>
    <w:rsid w:val="007B7D9F"/>
    <w:rsid w:val="007C0414"/>
    <w:rsid w:val="007C0914"/>
    <w:rsid w:val="007C0AE8"/>
    <w:rsid w:val="007C0B6B"/>
    <w:rsid w:val="007C1391"/>
    <w:rsid w:val="007C15FC"/>
    <w:rsid w:val="007C185D"/>
    <w:rsid w:val="007C1880"/>
    <w:rsid w:val="007C19D6"/>
    <w:rsid w:val="007C1D68"/>
    <w:rsid w:val="007C1DA1"/>
    <w:rsid w:val="007C1E1D"/>
    <w:rsid w:val="007C248D"/>
    <w:rsid w:val="007C26DD"/>
    <w:rsid w:val="007C276C"/>
    <w:rsid w:val="007C278F"/>
    <w:rsid w:val="007C2C76"/>
    <w:rsid w:val="007C2ED9"/>
    <w:rsid w:val="007C331C"/>
    <w:rsid w:val="007C3576"/>
    <w:rsid w:val="007C4231"/>
    <w:rsid w:val="007C44FC"/>
    <w:rsid w:val="007C45C3"/>
    <w:rsid w:val="007C491B"/>
    <w:rsid w:val="007C4EC8"/>
    <w:rsid w:val="007C51CF"/>
    <w:rsid w:val="007C5357"/>
    <w:rsid w:val="007C5A02"/>
    <w:rsid w:val="007C5A3D"/>
    <w:rsid w:val="007C6289"/>
    <w:rsid w:val="007C6707"/>
    <w:rsid w:val="007C73B6"/>
    <w:rsid w:val="007D00B9"/>
    <w:rsid w:val="007D074D"/>
    <w:rsid w:val="007D0D64"/>
    <w:rsid w:val="007D1F1E"/>
    <w:rsid w:val="007D398D"/>
    <w:rsid w:val="007D3EB4"/>
    <w:rsid w:val="007D3EBA"/>
    <w:rsid w:val="007D425A"/>
    <w:rsid w:val="007D4366"/>
    <w:rsid w:val="007D4E4E"/>
    <w:rsid w:val="007D5DC7"/>
    <w:rsid w:val="007D64CC"/>
    <w:rsid w:val="007D67AD"/>
    <w:rsid w:val="007D72C3"/>
    <w:rsid w:val="007D75F2"/>
    <w:rsid w:val="007D79CC"/>
    <w:rsid w:val="007D7BF9"/>
    <w:rsid w:val="007E0B90"/>
    <w:rsid w:val="007E0EA4"/>
    <w:rsid w:val="007E0EE7"/>
    <w:rsid w:val="007E145F"/>
    <w:rsid w:val="007E2E68"/>
    <w:rsid w:val="007E3A61"/>
    <w:rsid w:val="007E438A"/>
    <w:rsid w:val="007E4537"/>
    <w:rsid w:val="007E4D65"/>
    <w:rsid w:val="007E4FC2"/>
    <w:rsid w:val="007E5049"/>
    <w:rsid w:val="007E53CA"/>
    <w:rsid w:val="007E5847"/>
    <w:rsid w:val="007E5B34"/>
    <w:rsid w:val="007E5C9B"/>
    <w:rsid w:val="007E62D6"/>
    <w:rsid w:val="007E6D23"/>
    <w:rsid w:val="007E6EB7"/>
    <w:rsid w:val="007E7409"/>
    <w:rsid w:val="007E76F3"/>
    <w:rsid w:val="007E7855"/>
    <w:rsid w:val="007F08A9"/>
    <w:rsid w:val="007F1840"/>
    <w:rsid w:val="007F1AEC"/>
    <w:rsid w:val="007F254C"/>
    <w:rsid w:val="007F2B9E"/>
    <w:rsid w:val="007F414E"/>
    <w:rsid w:val="007F44C0"/>
    <w:rsid w:val="007F482C"/>
    <w:rsid w:val="007F48A3"/>
    <w:rsid w:val="007F4AFE"/>
    <w:rsid w:val="007F4BA4"/>
    <w:rsid w:val="007F4F3B"/>
    <w:rsid w:val="007F5EA8"/>
    <w:rsid w:val="007F60FC"/>
    <w:rsid w:val="007F63D8"/>
    <w:rsid w:val="007F6FE0"/>
    <w:rsid w:val="007F7163"/>
    <w:rsid w:val="007F761B"/>
    <w:rsid w:val="007F7944"/>
    <w:rsid w:val="007F7C2C"/>
    <w:rsid w:val="007F7E71"/>
    <w:rsid w:val="008001A6"/>
    <w:rsid w:val="0080045A"/>
    <w:rsid w:val="00800959"/>
    <w:rsid w:val="00800F05"/>
    <w:rsid w:val="00800F8C"/>
    <w:rsid w:val="00801049"/>
    <w:rsid w:val="008015E1"/>
    <w:rsid w:val="008019CF"/>
    <w:rsid w:val="00801B8A"/>
    <w:rsid w:val="00801FA3"/>
    <w:rsid w:val="008028DF"/>
    <w:rsid w:val="00802D34"/>
    <w:rsid w:val="00802F9A"/>
    <w:rsid w:val="00804202"/>
    <w:rsid w:val="008051A6"/>
    <w:rsid w:val="00805452"/>
    <w:rsid w:val="008057A1"/>
    <w:rsid w:val="00805AD4"/>
    <w:rsid w:val="00805CEB"/>
    <w:rsid w:val="00805D4E"/>
    <w:rsid w:val="008060F2"/>
    <w:rsid w:val="008072A8"/>
    <w:rsid w:val="00807BA4"/>
    <w:rsid w:val="00810F3C"/>
    <w:rsid w:val="0081101B"/>
    <w:rsid w:val="0081149D"/>
    <w:rsid w:val="00812767"/>
    <w:rsid w:val="00812836"/>
    <w:rsid w:val="00812B4C"/>
    <w:rsid w:val="00813072"/>
    <w:rsid w:val="00814DBB"/>
    <w:rsid w:val="00815413"/>
    <w:rsid w:val="008154C3"/>
    <w:rsid w:val="00815687"/>
    <w:rsid w:val="00815EB1"/>
    <w:rsid w:val="00815FCA"/>
    <w:rsid w:val="008160FB"/>
    <w:rsid w:val="0081661A"/>
    <w:rsid w:val="008166E2"/>
    <w:rsid w:val="008167C9"/>
    <w:rsid w:val="008168D9"/>
    <w:rsid w:val="0081754C"/>
    <w:rsid w:val="00817CA8"/>
    <w:rsid w:val="00820220"/>
    <w:rsid w:val="0082064E"/>
    <w:rsid w:val="0082172C"/>
    <w:rsid w:val="00821E08"/>
    <w:rsid w:val="0082266F"/>
    <w:rsid w:val="00822A31"/>
    <w:rsid w:val="00823783"/>
    <w:rsid w:val="00823A9D"/>
    <w:rsid w:val="00823EDF"/>
    <w:rsid w:val="0082447D"/>
    <w:rsid w:val="0082453C"/>
    <w:rsid w:val="00824604"/>
    <w:rsid w:val="00824704"/>
    <w:rsid w:val="0082547D"/>
    <w:rsid w:val="00825490"/>
    <w:rsid w:val="008255E9"/>
    <w:rsid w:val="00825752"/>
    <w:rsid w:val="0082764B"/>
    <w:rsid w:val="00830556"/>
    <w:rsid w:val="00830590"/>
    <w:rsid w:val="00830B9F"/>
    <w:rsid w:val="00830F8E"/>
    <w:rsid w:val="008312B0"/>
    <w:rsid w:val="0083134A"/>
    <w:rsid w:val="00831456"/>
    <w:rsid w:val="008322F1"/>
    <w:rsid w:val="008329CC"/>
    <w:rsid w:val="00832AB4"/>
    <w:rsid w:val="00832FC0"/>
    <w:rsid w:val="00833357"/>
    <w:rsid w:val="00833449"/>
    <w:rsid w:val="008338EC"/>
    <w:rsid w:val="00833907"/>
    <w:rsid w:val="00833A8E"/>
    <w:rsid w:val="00834446"/>
    <w:rsid w:val="0083473E"/>
    <w:rsid w:val="00835069"/>
    <w:rsid w:val="00835145"/>
    <w:rsid w:val="00835179"/>
    <w:rsid w:val="0083550C"/>
    <w:rsid w:val="00835BA1"/>
    <w:rsid w:val="008361B2"/>
    <w:rsid w:val="00836260"/>
    <w:rsid w:val="00836399"/>
    <w:rsid w:val="00836457"/>
    <w:rsid w:val="0083681D"/>
    <w:rsid w:val="008368BB"/>
    <w:rsid w:val="0083779B"/>
    <w:rsid w:val="00837AB6"/>
    <w:rsid w:val="00837BDE"/>
    <w:rsid w:val="00837CCB"/>
    <w:rsid w:val="0084032E"/>
    <w:rsid w:val="00840A7C"/>
    <w:rsid w:val="00840A95"/>
    <w:rsid w:val="0084258C"/>
    <w:rsid w:val="00842715"/>
    <w:rsid w:val="00842BEE"/>
    <w:rsid w:val="00842E05"/>
    <w:rsid w:val="00842E21"/>
    <w:rsid w:val="00843230"/>
    <w:rsid w:val="0084346F"/>
    <w:rsid w:val="00843B82"/>
    <w:rsid w:val="00843C69"/>
    <w:rsid w:val="0084421B"/>
    <w:rsid w:val="00844569"/>
    <w:rsid w:val="00844E81"/>
    <w:rsid w:val="00845169"/>
    <w:rsid w:val="00845245"/>
    <w:rsid w:val="008455A6"/>
    <w:rsid w:val="008455FF"/>
    <w:rsid w:val="00845A8B"/>
    <w:rsid w:val="00845B0E"/>
    <w:rsid w:val="00846A55"/>
    <w:rsid w:val="0084702D"/>
    <w:rsid w:val="00850933"/>
    <w:rsid w:val="00850C97"/>
    <w:rsid w:val="008513A9"/>
    <w:rsid w:val="00853237"/>
    <w:rsid w:val="00853EAA"/>
    <w:rsid w:val="00854221"/>
    <w:rsid w:val="00854CEB"/>
    <w:rsid w:val="00854FF1"/>
    <w:rsid w:val="00855C31"/>
    <w:rsid w:val="008565BF"/>
    <w:rsid w:val="00856D3C"/>
    <w:rsid w:val="00856EC5"/>
    <w:rsid w:val="00857392"/>
    <w:rsid w:val="00857E4A"/>
    <w:rsid w:val="00857F8F"/>
    <w:rsid w:val="008601EC"/>
    <w:rsid w:val="00860288"/>
    <w:rsid w:val="00860358"/>
    <w:rsid w:val="00861165"/>
    <w:rsid w:val="008612F7"/>
    <w:rsid w:val="008613D0"/>
    <w:rsid w:val="008616EB"/>
    <w:rsid w:val="0086275F"/>
    <w:rsid w:val="008627CD"/>
    <w:rsid w:val="00862B84"/>
    <w:rsid w:val="00862BF6"/>
    <w:rsid w:val="00863376"/>
    <w:rsid w:val="008633AE"/>
    <w:rsid w:val="008636BB"/>
    <w:rsid w:val="00863790"/>
    <w:rsid w:val="008639F4"/>
    <w:rsid w:val="00863AEC"/>
    <w:rsid w:val="00863C9C"/>
    <w:rsid w:val="00864785"/>
    <w:rsid w:val="008648CD"/>
    <w:rsid w:val="0086531E"/>
    <w:rsid w:val="0086557B"/>
    <w:rsid w:val="008657C0"/>
    <w:rsid w:val="008657EA"/>
    <w:rsid w:val="008659FF"/>
    <w:rsid w:val="00865A6D"/>
    <w:rsid w:val="00865C3B"/>
    <w:rsid w:val="00865D97"/>
    <w:rsid w:val="00866484"/>
    <w:rsid w:val="00867188"/>
    <w:rsid w:val="00867435"/>
    <w:rsid w:val="00867723"/>
    <w:rsid w:val="00867971"/>
    <w:rsid w:val="008700C9"/>
    <w:rsid w:val="00870291"/>
    <w:rsid w:val="00870EB9"/>
    <w:rsid w:val="00870F5A"/>
    <w:rsid w:val="0087129C"/>
    <w:rsid w:val="008712FA"/>
    <w:rsid w:val="00871BEB"/>
    <w:rsid w:val="00871C13"/>
    <w:rsid w:val="00872156"/>
    <w:rsid w:val="00872D37"/>
    <w:rsid w:val="00873568"/>
    <w:rsid w:val="00873C2E"/>
    <w:rsid w:val="008752FB"/>
    <w:rsid w:val="008753AA"/>
    <w:rsid w:val="00875C65"/>
    <w:rsid w:val="00875F52"/>
    <w:rsid w:val="008762A4"/>
    <w:rsid w:val="008765B0"/>
    <w:rsid w:val="008765D1"/>
    <w:rsid w:val="00876D3B"/>
    <w:rsid w:val="00876EC4"/>
    <w:rsid w:val="008777F4"/>
    <w:rsid w:val="00877BFE"/>
    <w:rsid w:val="00880153"/>
    <w:rsid w:val="00880932"/>
    <w:rsid w:val="008819B1"/>
    <w:rsid w:val="00881B9E"/>
    <w:rsid w:val="00883008"/>
    <w:rsid w:val="0088300E"/>
    <w:rsid w:val="0088318D"/>
    <w:rsid w:val="00883815"/>
    <w:rsid w:val="00883A8A"/>
    <w:rsid w:val="00883D46"/>
    <w:rsid w:val="00883D7F"/>
    <w:rsid w:val="00883ECE"/>
    <w:rsid w:val="00884068"/>
    <w:rsid w:val="0088499F"/>
    <w:rsid w:val="00884E99"/>
    <w:rsid w:val="00886F11"/>
    <w:rsid w:val="00886F35"/>
    <w:rsid w:val="0088713B"/>
    <w:rsid w:val="00887406"/>
    <w:rsid w:val="00887458"/>
    <w:rsid w:val="00887C49"/>
    <w:rsid w:val="00887D87"/>
    <w:rsid w:val="00890F29"/>
    <w:rsid w:val="00891550"/>
    <w:rsid w:val="00891D45"/>
    <w:rsid w:val="00891E2F"/>
    <w:rsid w:val="008923C7"/>
    <w:rsid w:val="00892452"/>
    <w:rsid w:val="00892944"/>
    <w:rsid w:val="008929C6"/>
    <w:rsid w:val="00892C22"/>
    <w:rsid w:val="00893180"/>
    <w:rsid w:val="00893573"/>
    <w:rsid w:val="008935EB"/>
    <w:rsid w:val="00893E7A"/>
    <w:rsid w:val="00894CA4"/>
    <w:rsid w:val="0089517E"/>
    <w:rsid w:val="00895A1B"/>
    <w:rsid w:val="00895A9F"/>
    <w:rsid w:val="00896A4F"/>
    <w:rsid w:val="008975C4"/>
    <w:rsid w:val="00897CE0"/>
    <w:rsid w:val="008A0953"/>
    <w:rsid w:val="008A102D"/>
    <w:rsid w:val="008A2DD7"/>
    <w:rsid w:val="008A3350"/>
    <w:rsid w:val="008A337E"/>
    <w:rsid w:val="008A3637"/>
    <w:rsid w:val="008A3CD3"/>
    <w:rsid w:val="008A3E4C"/>
    <w:rsid w:val="008A43E5"/>
    <w:rsid w:val="008A5219"/>
    <w:rsid w:val="008A57DF"/>
    <w:rsid w:val="008A5A78"/>
    <w:rsid w:val="008A65A3"/>
    <w:rsid w:val="008A673B"/>
    <w:rsid w:val="008A67AE"/>
    <w:rsid w:val="008A681C"/>
    <w:rsid w:val="008A6AB6"/>
    <w:rsid w:val="008A6B63"/>
    <w:rsid w:val="008A6E01"/>
    <w:rsid w:val="008A6F4C"/>
    <w:rsid w:val="008A704F"/>
    <w:rsid w:val="008A7362"/>
    <w:rsid w:val="008A7B6A"/>
    <w:rsid w:val="008A7CD0"/>
    <w:rsid w:val="008A7E35"/>
    <w:rsid w:val="008B0033"/>
    <w:rsid w:val="008B0581"/>
    <w:rsid w:val="008B088D"/>
    <w:rsid w:val="008B10F0"/>
    <w:rsid w:val="008B1D95"/>
    <w:rsid w:val="008B22C0"/>
    <w:rsid w:val="008B243A"/>
    <w:rsid w:val="008B2870"/>
    <w:rsid w:val="008B2ACD"/>
    <w:rsid w:val="008B2F38"/>
    <w:rsid w:val="008B31E4"/>
    <w:rsid w:val="008B354E"/>
    <w:rsid w:val="008B3C2C"/>
    <w:rsid w:val="008B3E27"/>
    <w:rsid w:val="008B43D0"/>
    <w:rsid w:val="008B581B"/>
    <w:rsid w:val="008B5AB9"/>
    <w:rsid w:val="008B6587"/>
    <w:rsid w:val="008B6611"/>
    <w:rsid w:val="008B70AE"/>
    <w:rsid w:val="008B71A7"/>
    <w:rsid w:val="008B747B"/>
    <w:rsid w:val="008B76E4"/>
    <w:rsid w:val="008B7CCF"/>
    <w:rsid w:val="008C063F"/>
    <w:rsid w:val="008C099E"/>
    <w:rsid w:val="008C1101"/>
    <w:rsid w:val="008C13B0"/>
    <w:rsid w:val="008C1578"/>
    <w:rsid w:val="008C16B8"/>
    <w:rsid w:val="008C22C1"/>
    <w:rsid w:val="008C23DF"/>
    <w:rsid w:val="008C2902"/>
    <w:rsid w:val="008C31DC"/>
    <w:rsid w:val="008C330E"/>
    <w:rsid w:val="008C3CA0"/>
    <w:rsid w:val="008C3F0C"/>
    <w:rsid w:val="008C4FDC"/>
    <w:rsid w:val="008C5ACF"/>
    <w:rsid w:val="008C6AE2"/>
    <w:rsid w:val="008C703A"/>
    <w:rsid w:val="008C7633"/>
    <w:rsid w:val="008C77D0"/>
    <w:rsid w:val="008D00FC"/>
    <w:rsid w:val="008D0916"/>
    <w:rsid w:val="008D0940"/>
    <w:rsid w:val="008D0C37"/>
    <w:rsid w:val="008D0D4E"/>
    <w:rsid w:val="008D0E4E"/>
    <w:rsid w:val="008D10F4"/>
    <w:rsid w:val="008D287C"/>
    <w:rsid w:val="008D2929"/>
    <w:rsid w:val="008D2E7A"/>
    <w:rsid w:val="008D3142"/>
    <w:rsid w:val="008D31D1"/>
    <w:rsid w:val="008D3734"/>
    <w:rsid w:val="008D38D6"/>
    <w:rsid w:val="008D3EB6"/>
    <w:rsid w:val="008D402D"/>
    <w:rsid w:val="008D411D"/>
    <w:rsid w:val="008D4169"/>
    <w:rsid w:val="008D443C"/>
    <w:rsid w:val="008D4E65"/>
    <w:rsid w:val="008D57F3"/>
    <w:rsid w:val="008D6821"/>
    <w:rsid w:val="008D73DA"/>
    <w:rsid w:val="008D7923"/>
    <w:rsid w:val="008E051D"/>
    <w:rsid w:val="008E07C0"/>
    <w:rsid w:val="008E0842"/>
    <w:rsid w:val="008E159E"/>
    <w:rsid w:val="008E1751"/>
    <w:rsid w:val="008E176E"/>
    <w:rsid w:val="008E1DF2"/>
    <w:rsid w:val="008E21EC"/>
    <w:rsid w:val="008E26D7"/>
    <w:rsid w:val="008E2BD8"/>
    <w:rsid w:val="008E340E"/>
    <w:rsid w:val="008E354C"/>
    <w:rsid w:val="008E35FD"/>
    <w:rsid w:val="008E3A10"/>
    <w:rsid w:val="008E3CA1"/>
    <w:rsid w:val="008E3D09"/>
    <w:rsid w:val="008E4896"/>
    <w:rsid w:val="008E536F"/>
    <w:rsid w:val="008E5ABC"/>
    <w:rsid w:val="008E61EC"/>
    <w:rsid w:val="008E65FA"/>
    <w:rsid w:val="008E6AB3"/>
    <w:rsid w:val="008E6DA1"/>
    <w:rsid w:val="008E7820"/>
    <w:rsid w:val="008E7FFB"/>
    <w:rsid w:val="008F127C"/>
    <w:rsid w:val="008F17CF"/>
    <w:rsid w:val="008F1B62"/>
    <w:rsid w:val="008F2105"/>
    <w:rsid w:val="008F25EF"/>
    <w:rsid w:val="008F2A35"/>
    <w:rsid w:val="008F3203"/>
    <w:rsid w:val="008F323A"/>
    <w:rsid w:val="008F3AB2"/>
    <w:rsid w:val="008F41C8"/>
    <w:rsid w:val="008F4544"/>
    <w:rsid w:val="008F4743"/>
    <w:rsid w:val="008F47D5"/>
    <w:rsid w:val="008F5031"/>
    <w:rsid w:val="008F50D7"/>
    <w:rsid w:val="008F512E"/>
    <w:rsid w:val="008F52B6"/>
    <w:rsid w:val="008F6273"/>
    <w:rsid w:val="008F6A9D"/>
    <w:rsid w:val="008F6AB2"/>
    <w:rsid w:val="008F6D08"/>
    <w:rsid w:val="008F6D4E"/>
    <w:rsid w:val="008F708C"/>
    <w:rsid w:val="008F7254"/>
    <w:rsid w:val="008F7762"/>
    <w:rsid w:val="008F7ABC"/>
    <w:rsid w:val="008F7DDC"/>
    <w:rsid w:val="008F7E31"/>
    <w:rsid w:val="008F7FA8"/>
    <w:rsid w:val="00900E7C"/>
    <w:rsid w:val="0090143B"/>
    <w:rsid w:val="00901811"/>
    <w:rsid w:val="00901D9C"/>
    <w:rsid w:val="009024BD"/>
    <w:rsid w:val="009033FA"/>
    <w:rsid w:val="009034AC"/>
    <w:rsid w:val="009042AD"/>
    <w:rsid w:val="009044AD"/>
    <w:rsid w:val="009047B4"/>
    <w:rsid w:val="00904A27"/>
    <w:rsid w:val="00904A7E"/>
    <w:rsid w:val="009052D1"/>
    <w:rsid w:val="009059B6"/>
    <w:rsid w:val="00905E4B"/>
    <w:rsid w:val="00906430"/>
    <w:rsid w:val="00906C44"/>
    <w:rsid w:val="00906EAB"/>
    <w:rsid w:val="009071FE"/>
    <w:rsid w:val="00907242"/>
    <w:rsid w:val="00907C53"/>
    <w:rsid w:val="00907D28"/>
    <w:rsid w:val="00907FC1"/>
    <w:rsid w:val="009104AC"/>
    <w:rsid w:val="00910689"/>
    <w:rsid w:val="00910A55"/>
    <w:rsid w:val="00910F31"/>
    <w:rsid w:val="009111D5"/>
    <w:rsid w:val="00911675"/>
    <w:rsid w:val="0091181D"/>
    <w:rsid w:val="009119B3"/>
    <w:rsid w:val="00911AC8"/>
    <w:rsid w:val="00911E77"/>
    <w:rsid w:val="0091218F"/>
    <w:rsid w:val="00912CE1"/>
    <w:rsid w:val="00913562"/>
    <w:rsid w:val="00913816"/>
    <w:rsid w:val="00913979"/>
    <w:rsid w:val="009139AF"/>
    <w:rsid w:val="00913B4E"/>
    <w:rsid w:val="00914F33"/>
    <w:rsid w:val="00915204"/>
    <w:rsid w:val="00915248"/>
    <w:rsid w:val="00915323"/>
    <w:rsid w:val="00916FA9"/>
    <w:rsid w:val="00917138"/>
    <w:rsid w:val="00917467"/>
    <w:rsid w:val="0091757E"/>
    <w:rsid w:val="009179EE"/>
    <w:rsid w:val="00917C20"/>
    <w:rsid w:val="009205A1"/>
    <w:rsid w:val="00920F09"/>
    <w:rsid w:val="00921671"/>
    <w:rsid w:val="0092183C"/>
    <w:rsid w:val="00922641"/>
    <w:rsid w:val="009226DD"/>
    <w:rsid w:val="00923500"/>
    <w:rsid w:val="00923C8E"/>
    <w:rsid w:val="00923ED7"/>
    <w:rsid w:val="009240E4"/>
    <w:rsid w:val="009241AD"/>
    <w:rsid w:val="00924B3F"/>
    <w:rsid w:val="009255EE"/>
    <w:rsid w:val="00925C7E"/>
    <w:rsid w:val="009260C7"/>
    <w:rsid w:val="00926548"/>
    <w:rsid w:val="009268EA"/>
    <w:rsid w:val="009278F3"/>
    <w:rsid w:val="00927B2D"/>
    <w:rsid w:val="00930D5A"/>
    <w:rsid w:val="00930FF9"/>
    <w:rsid w:val="00931525"/>
    <w:rsid w:val="009317D4"/>
    <w:rsid w:val="00931836"/>
    <w:rsid w:val="00931DB2"/>
    <w:rsid w:val="00931FE4"/>
    <w:rsid w:val="009321E3"/>
    <w:rsid w:val="0093274D"/>
    <w:rsid w:val="00932901"/>
    <w:rsid w:val="00932A4D"/>
    <w:rsid w:val="00932AEC"/>
    <w:rsid w:val="009334B3"/>
    <w:rsid w:val="00933B7C"/>
    <w:rsid w:val="00933EC2"/>
    <w:rsid w:val="00934124"/>
    <w:rsid w:val="009343E8"/>
    <w:rsid w:val="009351FC"/>
    <w:rsid w:val="00935A2C"/>
    <w:rsid w:val="00935D02"/>
    <w:rsid w:val="00936181"/>
    <w:rsid w:val="009363E0"/>
    <w:rsid w:val="00936B18"/>
    <w:rsid w:val="009377EE"/>
    <w:rsid w:val="00937EF6"/>
    <w:rsid w:val="00940AD3"/>
    <w:rsid w:val="00941245"/>
    <w:rsid w:val="009416E5"/>
    <w:rsid w:val="00941A21"/>
    <w:rsid w:val="00941F09"/>
    <w:rsid w:val="009422E1"/>
    <w:rsid w:val="009427F5"/>
    <w:rsid w:val="00942E12"/>
    <w:rsid w:val="00942EC5"/>
    <w:rsid w:val="00944E17"/>
    <w:rsid w:val="00945253"/>
    <w:rsid w:val="00945529"/>
    <w:rsid w:val="00946409"/>
    <w:rsid w:val="00946624"/>
    <w:rsid w:val="00947433"/>
    <w:rsid w:val="009477B2"/>
    <w:rsid w:val="0095081A"/>
    <w:rsid w:val="00950FAA"/>
    <w:rsid w:val="0095189E"/>
    <w:rsid w:val="00952196"/>
    <w:rsid w:val="00952F92"/>
    <w:rsid w:val="00953005"/>
    <w:rsid w:val="009531F0"/>
    <w:rsid w:val="00953433"/>
    <w:rsid w:val="00953883"/>
    <w:rsid w:val="009543FF"/>
    <w:rsid w:val="0095445F"/>
    <w:rsid w:val="00954E7E"/>
    <w:rsid w:val="00955B96"/>
    <w:rsid w:val="0095618D"/>
    <w:rsid w:val="00956B12"/>
    <w:rsid w:val="00957274"/>
    <w:rsid w:val="009577F0"/>
    <w:rsid w:val="009602B8"/>
    <w:rsid w:val="0096050D"/>
    <w:rsid w:val="0096103F"/>
    <w:rsid w:val="0096110F"/>
    <w:rsid w:val="00961D41"/>
    <w:rsid w:val="009623EF"/>
    <w:rsid w:val="00962484"/>
    <w:rsid w:val="0096250B"/>
    <w:rsid w:val="00962AC2"/>
    <w:rsid w:val="00963798"/>
    <w:rsid w:val="00963F69"/>
    <w:rsid w:val="009643B2"/>
    <w:rsid w:val="00964F2F"/>
    <w:rsid w:val="009650CD"/>
    <w:rsid w:val="00965336"/>
    <w:rsid w:val="00965AA5"/>
    <w:rsid w:val="00965E72"/>
    <w:rsid w:val="00965F60"/>
    <w:rsid w:val="00966224"/>
    <w:rsid w:val="009672F3"/>
    <w:rsid w:val="00967D71"/>
    <w:rsid w:val="009711A6"/>
    <w:rsid w:val="00971562"/>
    <w:rsid w:val="0097169E"/>
    <w:rsid w:val="00971A32"/>
    <w:rsid w:val="00971B01"/>
    <w:rsid w:val="00971B32"/>
    <w:rsid w:val="00972227"/>
    <w:rsid w:val="0097222B"/>
    <w:rsid w:val="0097265F"/>
    <w:rsid w:val="009730E7"/>
    <w:rsid w:val="00973D76"/>
    <w:rsid w:val="009743B4"/>
    <w:rsid w:val="009744B7"/>
    <w:rsid w:val="00974C2D"/>
    <w:rsid w:val="00974CD9"/>
    <w:rsid w:val="00974E2B"/>
    <w:rsid w:val="00975459"/>
    <w:rsid w:val="00975644"/>
    <w:rsid w:val="0097597A"/>
    <w:rsid w:val="009759B6"/>
    <w:rsid w:val="00975CBF"/>
    <w:rsid w:val="00975E54"/>
    <w:rsid w:val="0097634F"/>
    <w:rsid w:val="009768AA"/>
    <w:rsid w:val="00977AA0"/>
    <w:rsid w:val="00980246"/>
    <w:rsid w:val="009804C7"/>
    <w:rsid w:val="00982527"/>
    <w:rsid w:val="00982C56"/>
    <w:rsid w:val="00984229"/>
    <w:rsid w:val="00984888"/>
    <w:rsid w:val="00984CD8"/>
    <w:rsid w:val="00985C48"/>
    <w:rsid w:val="0098604F"/>
    <w:rsid w:val="00986800"/>
    <w:rsid w:val="00986A3C"/>
    <w:rsid w:val="00986DB7"/>
    <w:rsid w:val="00986E0D"/>
    <w:rsid w:val="00987453"/>
    <w:rsid w:val="00987BF6"/>
    <w:rsid w:val="00990065"/>
    <w:rsid w:val="009906AF"/>
    <w:rsid w:val="009920EB"/>
    <w:rsid w:val="00992410"/>
    <w:rsid w:val="00992577"/>
    <w:rsid w:val="0099289C"/>
    <w:rsid w:val="00993307"/>
    <w:rsid w:val="00993789"/>
    <w:rsid w:val="0099399D"/>
    <w:rsid w:val="00993C05"/>
    <w:rsid w:val="00994432"/>
    <w:rsid w:val="00994A42"/>
    <w:rsid w:val="00994D41"/>
    <w:rsid w:val="00995648"/>
    <w:rsid w:val="009956D5"/>
    <w:rsid w:val="00995EBF"/>
    <w:rsid w:val="00995F44"/>
    <w:rsid w:val="009961D1"/>
    <w:rsid w:val="00996307"/>
    <w:rsid w:val="0099643A"/>
    <w:rsid w:val="00996E57"/>
    <w:rsid w:val="00996F2C"/>
    <w:rsid w:val="00997073"/>
    <w:rsid w:val="009977A8"/>
    <w:rsid w:val="009A0E2C"/>
    <w:rsid w:val="009A1230"/>
    <w:rsid w:val="009A1336"/>
    <w:rsid w:val="009A160B"/>
    <w:rsid w:val="009A1CE7"/>
    <w:rsid w:val="009A1E02"/>
    <w:rsid w:val="009A24A7"/>
    <w:rsid w:val="009A2F54"/>
    <w:rsid w:val="009A3789"/>
    <w:rsid w:val="009A37CC"/>
    <w:rsid w:val="009A3C70"/>
    <w:rsid w:val="009A3CCB"/>
    <w:rsid w:val="009A479C"/>
    <w:rsid w:val="009A544B"/>
    <w:rsid w:val="009A653E"/>
    <w:rsid w:val="009A6661"/>
    <w:rsid w:val="009A70AC"/>
    <w:rsid w:val="009A7A48"/>
    <w:rsid w:val="009B075F"/>
    <w:rsid w:val="009B093B"/>
    <w:rsid w:val="009B0E2B"/>
    <w:rsid w:val="009B1607"/>
    <w:rsid w:val="009B1D06"/>
    <w:rsid w:val="009B1F16"/>
    <w:rsid w:val="009B2CD9"/>
    <w:rsid w:val="009B3BFA"/>
    <w:rsid w:val="009B3F96"/>
    <w:rsid w:val="009B41F6"/>
    <w:rsid w:val="009B4A69"/>
    <w:rsid w:val="009B53F8"/>
    <w:rsid w:val="009B5587"/>
    <w:rsid w:val="009B56D6"/>
    <w:rsid w:val="009B594A"/>
    <w:rsid w:val="009B5964"/>
    <w:rsid w:val="009B59D6"/>
    <w:rsid w:val="009B649B"/>
    <w:rsid w:val="009B6522"/>
    <w:rsid w:val="009B6693"/>
    <w:rsid w:val="009B6B8C"/>
    <w:rsid w:val="009B7D12"/>
    <w:rsid w:val="009B7E39"/>
    <w:rsid w:val="009B7EBF"/>
    <w:rsid w:val="009C091F"/>
    <w:rsid w:val="009C0F2F"/>
    <w:rsid w:val="009C1112"/>
    <w:rsid w:val="009C234E"/>
    <w:rsid w:val="009C2886"/>
    <w:rsid w:val="009C2E8C"/>
    <w:rsid w:val="009C2EEC"/>
    <w:rsid w:val="009C2F64"/>
    <w:rsid w:val="009C3489"/>
    <w:rsid w:val="009C364D"/>
    <w:rsid w:val="009C3BAF"/>
    <w:rsid w:val="009C3E5C"/>
    <w:rsid w:val="009C429A"/>
    <w:rsid w:val="009C469F"/>
    <w:rsid w:val="009C4A58"/>
    <w:rsid w:val="009C4D79"/>
    <w:rsid w:val="009C4DF6"/>
    <w:rsid w:val="009C5310"/>
    <w:rsid w:val="009C5717"/>
    <w:rsid w:val="009C572B"/>
    <w:rsid w:val="009C6430"/>
    <w:rsid w:val="009C7DB7"/>
    <w:rsid w:val="009D073A"/>
    <w:rsid w:val="009D0E70"/>
    <w:rsid w:val="009D0F51"/>
    <w:rsid w:val="009D11D0"/>
    <w:rsid w:val="009D1382"/>
    <w:rsid w:val="009D163A"/>
    <w:rsid w:val="009D19DF"/>
    <w:rsid w:val="009D1B28"/>
    <w:rsid w:val="009D1DC0"/>
    <w:rsid w:val="009D1F21"/>
    <w:rsid w:val="009D305E"/>
    <w:rsid w:val="009D33C4"/>
    <w:rsid w:val="009D4392"/>
    <w:rsid w:val="009D4784"/>
    <w:rsid w:val="009D4F24"/>
    <w:rsid w:val="009D51DB"/>
    <w:rsid w:val="009D5718"/>
    <w:rsid w:val="009D57C5"/>
    <w:rsid w:val="009D6C01"/>
    <w:rsid w:val="009D71A9"/>
    <w:rsid w:val="009E0207"/>
    <w:rsid w:val="009E137F"/>
    <w:rsid w:val="009E1717"/>
    <w:rsid w:val="009E1737"/>
    <w:rsid w:val="009E1F38"/>
    <w:rsid w:val="009E22C8"/>
    <w:rsid w:val="009E2537"/>
    <w:rsid w:val="009E26BA"/>
    <w:rsid w:val="009E3052"/>
    <w:rsid w:val="009E38E5"/>
    <w:rsid w:val="009E3EDF"/>
    <w:rsid w:val="009E4189"/>
    <w:rsid w:val="009E41C0"/>
    <w:rsid w:val="009E4261"/>
    <w:rsid w:val="009E4561"/>
    <w:rsid w:val="009E492A"/>
    <w:rsid w:val="009E4A46"/>
    <w:rsid w:val="009E5246"/>
    <w:rsid w:val="009E60DC"/>
    <w:rsid w:val="009E62BC"/>
    <w:rsid w:val="009E6B21"/>
    <w:rsid w:val="009E7E3B"/>
    <w:rsid w:val="009E7F6E"/>
    <w:rsid w:val="009F0336"/>
    <w:rsid w:val="009F0427"/>
    <w:rsid w:val="009F0538"/>
    <w:rsid w:val="009F0770"/>
    <w:rsid w:val="009F08EA"/>
    <w:rsid w:val="009F0F10"/>
    <w:rsid w:val="009F16BE"/>
    <w:rsid w:val="009F1EF6"/>
    <w:rsid w:val="009F222B"/>
    <w:rsid w:val="009F31F9"/>
    <w:rsid w:val="009F4657"/>
    <w:rsid w:val="009F47EE"/>
    <w:rsid w:val="009F52F8"/>
    <w:rsid w:val="009F5AE6"/>
    <w:rsid w:val="009F63AD"/>
    <w:rsid w:val="009F65AA"/>
    <w:rsid w:val="009F6689"/>
    <w:rsid w:val="009F6CF0"/>
    <w:rsid w:val="009F6E1C"/>
    <w:rsid w:val="009F786D"/>
    <w:rsid w:val="009F7911"/>
    <w:rsid w:val="009F7914"/>
    <w:rsid w:val="009F7969"/>
    <w:rsid w:val="009F7975"/>
    <w:rsid w:val="009F7E9D"/>
    <w:rsid w:val="00A000F7"/>
    <w:rsid w:val="00A0019D"/>
    <w:rsid w:val="00A0186E"/>
    <w:rsid w:val="00A01A83"/>
    <w:rsid w:val="00A03400"/>
    <w:rsid w:val="00A036B7"/>
    <w:rsid w:val="00A03D88"/>
    <w:rsid w:val="00A03F0B"/>
    <w:rsid w:val="00A04090"/>
    <w:rsid w:val="00A0419E"/>
    <w:rsid w:val="00A04598"/>
    <w:rsid w:val="00A048D3"/>
    <w:rsid w:val="00A04B28"/>
    <w:rsid w:val="00A04F28"/>
    <w:rsid w:val="00A0524F"/>
    <w:rsid w:val="00A05323"/>
    <w:rsid w:val="00A063BA"/>
    <w:rsid w:val="00A06D84"/>
    <w:rsid w:val="00A074DA"/>
    <w:rsid w:val="00A07827"/>
    <w:rsid w:val="00A100EE"/>
    <w:rsid w:val="00A10853"/>
    <w:rsid w:val="00A10898"/>
    <w:rsid w:val="00A11081"/>
    <w:rsid w:val="00A1120D"/>
    <w:rsid w:val="00A11A79"/>
    <w:rsid w:val="00A11CF3"/>
    <w:rsid w:val="00A11FE5"/>
    <w:rsid w:val="00A1204E"/>
    <w:rsid w:val="00A121B0"/>
    <w:rsid w:val="00A123C0"/>
    <w:rsid w:val="00A1323D"/>
    <w:rsid w:val="00A13B27"/>
    <w:rsid w:val="00A1568B"/>
    <w:rsid w:val="00A15FF1"/>
    <w:rsid w:val="00A16714"/>
    <w:rsid w:val="00A16AD0"/>
    <w:rsid w:val="00A17306"/>
    <w:rsid w:val="00A1783B"/>
    <w:rsid w:val="00A2002E"/>
    <w:rsid w:val="00A20470"/>
    <w:rsid w:val="00A206FD"/>
    <w:rsid w:val="00A20FD7"/>
    <w:rsid w:val="00A210D9"/>
    <w:rsid w:val="00A21829"/>
    <w:rsid w:val="00A21D9A"/>
    <w:rsid w:val="00A22940"/>
    <w:rsid w:val="00A22950"/>
    <w:rsid w:val="00A229C8"/>
    <w:rsid w:val="00A2329B"/>
    <w:rsid w:val="00A2370B"/>
    <w:rsid w:val="00A2472D"/>
    <w:rsid w:val="00A26534"/>
    <w:rsid w:val="00A2659A"/>
    <w:rsid w:val="00A268E3"/>
    <w:rsid w:val="00A26A4F"/>
    <w:rsid w:val="00A26BEB"/>
    <w:rsid w:val="00A270A2"/>
    <w:rsid w:val="00A27391"/>
    <w:rsid w:val="00A27427"/>
    <w:rsid w:val="00A2768A"/>
    <w:rsid w:val="00A279AE"/>
    <w:rsid w:val="00A27C79"/>
    <w:rsid w:val="00A27EE9"/>
    <w:rsid w:val="00A307C0"/>
    <w:rsid w:val="00A311B3"/>
    <w:rsid w:val="00A324D6"/>
    <w:rsid w:val="00A32761"/>
    <w:rsid w:val="00A32F0E"/>
    <w:rsid w:val="00A3321E"/>
    <w:rsid w:val="00A335F2"/>
    <w:rsid w:val="00A336DF"/>
    <w:rsid w:val="00A33A79"/>
    <w:rsid w:val="00A33D55"/>
    <w:rsid w:val="00A33EB4"/>
    <w:rsid w:val="00A35EA3"/>
    <w:rsid w:val="00A36A24"/>
    <w:rsid w:val="00A36C2B"/>
    <w:rsid w:val="00A3790E"/>
    <w:rsid w:val="00A37D61"/>
    <w:rsid w:val="00A40465"/>
    <w:rsid w:val="00A40718"/>
    <w:rsid w:val="00A40C28"/>
    <w:rsid w:val="00A40FC0"/>
    <w:rsid w:val="00A41195"/>
    <w:rsid w:val="00A41365"/>
    <w:rsid w:val="00A416CA"/>
    <w:rsid w:val="00A419C1"/>
    <w:rsid w:val="00A42BB1"/>
    <w:rsid w:val="00A43B64"/>
    <w:rsid w:val="00A4450C"/>
    <w:rsid w:val="00A448C2"/>
    <w:rsid w:val="00A44B6B"/>
    <w:rsid w:val="00A454F0"/>
    <w:rsid w:val="00A4563E"/>
    <w:rsid w:val="00A46176"/>
    <w:rsid w:val="00A46521"/>
    <w:rsid w:val="00A467AE"/>
    <w:rsid w:val="00A46E29"/>
    <w:rsid w:val="00A46E5F"/>
    <w:rsid w:val="00A47390"/>
    <w:rsid w:val="00A47766"/>
    <w:rsid w:val="00A47F1C"/>
    <w:rsid w:val="00A50246"/>
    <w:rsid w:val="00A50CDF"/>
    <w:rsid w:val="00A50F1F"/>
    <w:rsid w:val="00A51A11"/>
    <w:rsid w:val="00A51D80"/>
    <w:rsid w:val="00A52266"/>
    <w:rsid w:val="00A53277"/>
    <w:rsid w:val="00A53382"/>
    <w:rsid w:val="00A53813"/>
    <w:rsid w:val="00A53932"/>
    <w:rsid w:val="00A53B77"/>
    <w:rsid w:val="00A542BE"/>
    <w:rsid w:val="00A5456A"/>
    <w:rsid w:val="00A54F9B"/>
    <w:rsid w:val="00A55B5C"/>
    <w:rsid w:val="00A55EA8"/>
    <w:rsid w:val="00A56122"/>
    <w:rsid w:val="00A561AC"/>
    <w:rsid w:val="00A57727"/>
    <w:rsid w:val="00A57842"/>
    <w:rsid w:val="00A57987"/>
    <w:rsid w:val="00A60164"/>
    <w:rsid w:val="00A6036B"/>
    <w:rsid w:val="00A61040"/>
    <w:rsid w:val="00A61C60"/>
    <w:rsid w:val="00A61C79"/>
    <w:rsid w:val="00A61CD7"/>
    <w:rsid w:val="00A61E0F"/>
    <w:rsid w:val="00A61EDA"/>
    <w:rsid w:val="00A61F69"/>
    <w:rsid w:val="00A62A7F"/>
    <w:rsid w:val="00A63011"/>
    <w:rsid w:val="00A6307A"/>
    <w:rsid w:val="00A63A8C"/>
    <w:rsid w:val="00A63BEA"/>
    <w:rsid w:val="00A646E0"/>
    <w:rsid w:val="00A65757"/>
    <w:rsid w:val="00A65C40"/>
    <w:rsid w:val="00A660DC"/>
    <w:rsid w:val="00A6633D"/>
    <w:rsid w:val="00A66726"/>
    <w:rsid w:val="00A66BD4"/>
    <w:rsid w:val="00A67BEE"/>
    <w:rsid w:val="00A67C6A"/>
    <w:rsid w:val="00A70830"/>
    <w:rsid w:val="00A70E5D"/>
    <w:rsid w:val="00A70FC2"/>
    <w:rsid w:val="00A71339"/>
    <w:rsid w:val="00A72031"/>
    <w:rsid w:val="00A72A13"/>
    <w:rsid w:val="00A73A57"/>
    <w:rsid w:val="00A7465D"/>
    <w:rsid w:val="00A74683"/>
    <w:rsid w:val="00A74E13"/>
    <w:rsid w:val="00A755D8"/>
    <w:rsid w:val="00A75A80"/>
    <w:rsid w:val="00A75DB0"/>
    <w:rsid w:val="00A764F2"/>
    <w:rsid w:val="00A76FEF"/>
    <w:rsid w:val="00A77188"/>
    <w:rsid w:val="00A774FF"/>
    <w:rsid w:val="00A77994"/>
    <w:rsid w:val="00A779BC"/>
    <w:rsid w:val="00A80267"/>
    <w:rsid w:val="00A804BA"/>
    <w:rsid w:val="00A80DCA"/>
    <w:rsid w:val="00A80EF6"/>
    <w:rsid w:val="00A8159E"/>
    <w:rsid w:val="00A815CD"/>
    <w:rsid w:val="00A8174F"/>
    <w:rsid w:val="00A824A6"/>
    <w:rsid w:val="00A82E9C"/>
    <w:rsid w:val="00A836BF"/>
    <w:rsid w:val="00A83B2E"/>
    <w:rsid w:val="00A83B4A"/>
    <w:rsid w:val="00A844BE"/>
    <w:rsid w:val="00A84518"/>
    <w:rsid w:val="00A848EE"/>
    <w:rsid w:val="00A84B87"/>
    <w:rsid w:val="00A85DBC"/>
    <w:rsid w:val="00A8600F"/>
    <w:rsid w:val="00A86065"/>
    <w:rsid w:val="00A86D04"/>
    <w:rsid w:val="00A874C7"/>
    <w:rsid w:val="00A87F33"/>
    <w:rsid w:val="00A90291"/>
    <w:rsid w:val="00A90538"/>
    <w:rsid w:val="00A908DD"/>
    <w:rsid w:val="00A9097A"/>
    <w:rsid w:val="00A90CDA"/>
    <w:rsid w:val="00A92DDB"/>
    <w:rsid w:val="00A92E42"/>
    <w:rsid w:val="00A92F13"/>
    <w:rsid w:val="00A935C9"/>
    <w:rsid w:val="00A9396B"/>
    <w:rsid w:val="00A93C60"/>
    <w:rsid w:val="00A94317"/>
    <w:rsid w:val="00A9442D"/>
    <w:rsid w:val="00A9454A"/>
    <w:rsid w:val="00A94FC0"/>
    <w:rsid w:val="00A94FFD"/>
    <w:rsid w:val="00A95692"/>
    <w:rsid w:val="00A978E5"/>
    <w:rsid w:val="00A97A51"/>
    <w:rsid w:val="00A97D3F"/>
    <w:rsid w:val="00AA14D2"/>
    <w:rsid w:val="00AA164E"/>
    <w:rsid w:val="00AA181B"/>
    <w:rsid w:val="00AA2144"/>
    <w:rsid w:val="00AA2309"/>
    <w:rsid w:val="00AA23D0"/>
    <w:rsid w:val="00AA24BF"/>
    <w:rsid w:val="00AA2595"/>
    <w:rsid w:val="00AA2F10"/>
    <w:rsid w:val="00AA3777"/>
    <w:rsid w:val="00AA41E3"/>
    <w:rsid w:val="00AA4909"/>
    <w:rsid w:val="00AA4E7D"/>
    <w:rsid w:val="00AA4EA3"/>
    <w:rsid w:val="00AA555F"/>
    <w:rsid w:val="00AA6B6E"/>
    <w:rsid w:val="00AA6D00"/>
    <w:rsid w:val="00AA7280"/>
    <w:rsid w:val="00AA740C"/>
    <w:rsid w:val="00AA7E3D"/>
    <w:rsid w:val="00AB09CC"/>
    <w:rsid w:val="00AB1649"/>
    <w:rsid w:val="00AB2838"/>
    <w:rsid w:val="00AB2893"/>
    <w:rsid w:val="00AB3025"/>
    <w:rsid w:val="00AB4218"/>
    <w:rsid w:val="00AB4D7C"/>
    <w:rsid w:val="00AB51FF"/>
    <w:rsid w:val="00AB614E"/>
    <w:rsid w:val="00AB6B98"/>
    <w:rsid w:val="00AB739E"/>
    <w:rsid w:val="00AB751A"/>
    <w:rsid w:val="00AB7C55"/>
    <w:rsid w:val="00AB7F89"/>
    <w:rsid w:val="00AC18F6"/>
    <w:rsid w:val="00AC1A00"/>
    <w:rsid w:val="00AC1D67"/>
    <w:rsid w:val="00AC1F3C"/>
    <w:rsid w:val="00AC28D3"/>
    <w:rsid w:val="00AC2B6D"/>
    <w:rsid w:val="00AC30A5"/>
    <w:rsid w:val="00AC315C"/>
    <w:rsid w:val="00AC3373"/>
    <w:rsid w:val="00AC33D1"/>
    <w:rsid w:val="00AC3408"/>
    <w:rsid w:val="00AC3F19"/>
    <w:rsid w:val="00AC437D"/>
    <w:rsid w:val="00AC4640"/>
    <w:rsid w:val="00AC5A9F"/>
    <w:rsid w:val="00AC5D32"/>
    <w:rsid w:val="00AC5E42"/>
    <w:rsid w:val="00AC5F79"/>
    <w:rsid w:val="00AC6139"/>
    <w:rsid w:val="00AC6AD7"/>
    <w:rsid w:val="00AC6AD9"/>
    <w:rsid w:val="00AC73A5"/>
    <w:rsid w:val="00AC7C8E"/>
    <w:rsid w:val="00AD0355"/>
    <w:rsid w:val="00AD0D14"/>
    <w:rsid w:val="00AD1426"/>
    <w:rsid w:val="00AD1623"/>
    <w:rsid w:val="00AD1B47"/>
    <w:rsid w:val="00AD23DD"/>
    <w:rsid w:val="00AD25A0"/>
    <w:rsid w:val="00AD2DE7"/>
    <w:rsid w:val="00AD2E18"/>
    <w:rsid w:val="00AD31E1"/>
    <w:rsid w:val="00AD3D8F"/>
    <w:rsid w:val="00AD3E91"/>
    <w:rsid w:val="00AD4148"/>
    <w:rsid w:val="00AD489B"/>
    <w:rsid w:val="00AD4B4A"/>
    <w:rsid w:val="00AD4C39"/>
    <w:rsid w:val="00AD5407"/>
    <w:rsid w:val="00AD5676"/>
    <w:rsid w:val="00AD5AFA"/>
    <w:rsid w:val="00AD5CCC"/>
    <w:rsid w:val="00AD6EA1"/>
    <w:rsid w:val="00AD6F97"/>
    <w:rsid w:val="00AD7AAD"/>
    <w:rsid w:val="00AE0176"/>
    <w:rsid w:val="00AE0E06"/>
    <w:rsid w:val="00AE1989"/>
    <w:rsid w:val="00AE1DDE"/>
    <w:rsid w:val="00AE3219"/>
    <w:rsid w:val="00AE3A80"/>
    <w:rsid w:val="00AE3C09"/>
    <w:rsid w:val="00AE479D"/>
    <w:rsid w:val="00AE4A18"/>
    <w:rsid w:val="00AE4BCE"/>
    <w:rsid w:val="00AE4D1B"/>
    <w:rsid w:val="00AE4D73"/>
    <w:rsid w:val="00AE59E7"/>
    <w:rsid w:val="00AE659E"/>
    <w:rsid w:val="00AE6DEB"/>
    <w:rsid w:val="00AE6FD8"/>
    <w:rsid w:val="00AE76BA"/>
    <w:rsid w:val="00AE76EA"/>
    <w:rsid w:val="00AF04B2"/>
    <w:rsid w:val="00AF0516"/>
    <w:rsid w:val="00AF1205"/>
    <w:rsid w:val="00AF123C"/>
    <w:rsid w:val="00AF148C"/>
    <w:rsid w:val="00AF14EA"/>
    <w:rsid w:val="00AF1A22"/>
    <w:rsid w:val="00AF1C16"/>
    <w:rsid w:val="00AF397A"/>
    <w:rsid w:val="00AF4215"/>
    <w:rsid w:val="00AF42C6"/>
    <w:rsid w:val="00AF42FB"/>
    <w:rsid w:val="00AF4B3C"/>
    <w:rsid w:val="00AF4E6A"/>
    <w:rsid w:val="00AF4FD3"/>
    <w:rsid w:val="00AF55A3"/>
    <w:rsid w:val="00AF5ED1"/>
    <w:rsid w:val="00AF67D0"/>
    <w:rsid w:val="00AF6822"/>
    <w:rsid w:val="00AF6A5D"/>
    <w:rsid w:val="00AF6BE3"/>
    <w:rsid w:val="00AF796E"/>
    <w:rsid w:val="00AF7D64"/>
    <w:rsid w:val="00B000C0"/>
    <w:rsid w:val="00B00493"/>
    <w:rsid w:val="00B00528"/>
    <w:rsid w:val="00B00B0B"/>
    <w:rsid w:val="00B00F58"/>
    <w:rsid w:val="00B010D7"/>
    <w:rsid w:val="00B01176"/>
    <w:rsid w:val="00B01C43"/>
    <w:rsid w:val="00B023E7"/>
    <w:rsid w:val="00B0258D"/>
    <w:rsid w:val="00B025C3"/>
    <w:rsid w:val="00B026C0"/>
    <w:rsid w:val="00B026C4"/>
    <w:rsid w:val="00B02A0B"/>
    <w:rsid w:val="00B0407F"/>
    <w:rsid w:val="00B048F0"/>
    <w:rsid w:val="00B04D29"/>
    <w:rsid w:val="00B05377"/>
    <w:rsid w:val="00B05677"/>
    <w:rsid w:val="00B057B2"/>
    <w:rsid w:val="00B05A3C"/>
    <w:rsid w:val="00B05F81"/>
    <w:rsid w:val="00B06221"/>
    <w:rsid w:val="00B06323"/>
    <w:rsid w:val="00B065E1"/>
    <w:rsid w:val="00B06735"/>
    <w:rsid w:val="00B06AEF"/>
    <w:rsid w:val="00B06B8B"/>
    <w:rsid w:val="00B070A3"/>
    <w:rsid w:val="00B072A5"/>
    <w:rsid w:val="00B1021D"/>
    <w:rsid w:val="00B106E4"/>
    <w:rsid w:val="00B10D1A"/>
    <w:rsid w:val="00B1126B"/>
    <w:rsid w:val="00B11C93"/>
    <w:rsid w:val="00B1218A"/>
    <w:rsid w:val="00B122D2"/>
    <w:rsid w:val="00B125EA"/>
    <w:rsid w:val="00B1295D"/>
    <w:rsid w:val="00B136AF"/>
    <w:rsid w:val="00B13987"/>
    <w:rsid w:val="00B140F6"/>
    <w:rsid w:val="00B141EF"/>
    <w:rsid w:val="00B14849"/>
    <w:rsid w:val="00B1484E"/>
    <w:rsid w:val="00B15A9C"/>
    <w:rsid w:val="00B1632B"/>
    <w:rsid w:val="00B16489"/>
    <w:rsid w:val="00B16C7E"/>
    <w:rsid w:val="00B17850"/>
    <w:rsid w:val="00B20315"/>
    <w:rsid w:val="00B2077F"/>
    <w:rsid w:val="00B207E8"/>
    <w:rsid w:val="00B20BE6"/>
    <w:rsid w:val="00B2166D"/>
    <w:rsid w:val="00B21E44"/>
    <w:rsid w:val="00B22F6A"/>
    <w:rsid w:val="00B233B7"/>
    <w:rsid w:val="00B24AEB"/>
    <w:rsid w:val="00B24BD6"/>
    <w:rsid w:val="00B24CEA"/>
    <w:rsid w:val="00B2545D"/>
    <w:rsid w:val="00B25569"/>
    <w:rsid w:val="00B25947"/>
    <w:rsid w:val="00B25DE2"/>
    <w:rsid w:val="00B26106"/>
    <w:rsid w:val="00B2610F"/>
    <w:rsid w:val="00B2631F"/>
    <w:rsid w:val="00B271B6"/>
    <w:rsid w:val="00B274B5"/>
    <w:rsid w:val="00B279BB"/>
    <w:rsid w:val="00B27B97"/>
    <w:rsid w:val="00B27CBA"/>
    <w:rsid w:val="00B303DA"/>
    <w:rsid w:val="00B306CF"/>
    <w:rsid w:val="00B3085B"/>
    <w:rsid w:val="00B30A8D"/>
    <w:rsid w:val="00B30C05"/>
    <w:rsid w:val="00B30C8E"/>
    <w:rsid w:val="00B3199F"/>
    <w:rsid w:val="00B31FF7"/>
    <w:rsid w:val="00B32F68"/>
    <w:rsid w:val="00B33964"/>
    <w:rsid w:val="00B33C7B"/>
    <w:rsid w:val="00B33D20"/>
    <w:rsid w:val="00B33EBF"/>
    <w:rsid w:val="00B33FBB"/>
    <w:rsid w:val="00B34224"/>
    <w:rsid w:val="00B3434C"/>
    <w:rsid w:val="00B34B95"/>
    <w:rsid w:val="00B34DD4"/>
    <w:rsid w:val="00B3507A"/>
    <w:rsid w:val="00B3531A"/>
    <w:rsid w:val="00B35336"/>
    <w:rsid w:val="00B36DCD"/>
    <w:rsid w:val="00B3715B"/>
    <w:rsid w:val="00B37169"/>
    <w:rsid w:val="00B37993"/>
    <w:rsid w:val="00B37CAA"/>
    <w:rsid w:val="00B37E7D"/>
    <w:rsid w:val="00B410BE"/>
    <w:rsid w:val="00B410D5"/>
    <w:rsid w:val="00B41856"/>
    <w:rsid w:val="00B41AA1"/>
    <w:rsid w:val="00B41C40"/>
    <w:rsid w:val="00B41C73"/>
    <w:rsid w:val="00B42A27"/>
    <w:rsid w:val="00B431D1"/>
    <w:rsid w:val="00B43AAC"/>
    <w:rsid w:val="00B4468A"/>
    <w:rsid w:val="00B455DD"/>
    <w:rsid w:val="00B46718"/>
    <w:rsid w:val="00B46D60"/>
    <w:rsid w:val="00B46DE6"/>
    <w:rsid w:val="00B47D93"/>
    <w:rsid w:val="00B505CC"/>
    <w:rsid w:val="00B506D0"/>
    <w:rsid w:val="00B50B9C"/>
    <w:rsid w:val="00B50E42"/>
    <w:rsid w:val="00B514AB"/>
    <w:rsid w:val="00B515F7"/>
    <w:rsid w:val="00B528AE"/>
    <w:rsid w:val="00B53972"/>
    <w:rsid w:val="00B54607"/>
    <w:rsid w:val="00B54862"/>
    <w:rsid w:val="00B54880"/>
    <w:rsid w:val="00B55A82"/>
    <w:rsid w:val="00B55CA9"/>
    <w:rsid w:val="00B55F8D"/>
    <w:rsid w:val="00B56409"/>
    <w:rsid w:val="00B566E7"/>
    <w:rsid w:val="00B577C3"/>
    <w:rsid w:val="00B5785F"/>
    <w:rsid w:val="00B603FF"/>
    <w:rsid w:val="00B606A8"/>
    <w:rsid w:val="00B61757"/>
    <w:rsid w:val="00B61E88"/>
    <w:rsid w:val="00B6201D"/>
    <w:rsid w:val="00B6269D"/>
    <w:rsid w:val="00B62B83"/>
    <w:rsid w:val="00B63007"/>
    <w:rsid w:val="00B64139"/>
    <w:rsid w:val="00B64C12"/>
    <w:rsid w:val="00B654AD"/>
    <w:rsid w:val="00B658B3"/>
    <w:rsid w:val="00B6594E"/>
    <w:rsid w:val="00B65DA5"/>
    <w:rsid w:val="00B65DF6"/>
    <w:rsid w:val="00B667CA"/>
    <w:rsid w:val="00B66B72"/>
    <w:rsid w:val="00B66B85"/>
    <w:rsid w:val="00B670AC"/>
    <w:rsid w:val="00B67170"/>
    <w:rsid w:val="00B674E9"/>
    <w:rsid w:val="00B676AF"/>
    <w:rsid w:val="00B67832"/>
    <w:rsid w:val="00B679D4"/>
    <w:rsid w:val="00B67D56"/>
    <w:rsid w:val="00B70CF2"/>
    <w:rsid w:val="00B70DAF"/>
    <w:rsid w:val="00B71F5D"/>
    <w:rsid w:val="00B72530"/>
    <w:rsid w:val="00B7253A"/>
    <w:rsid w:val="00B72A19"/>
    <w:rsid w:val="00B72D7A"/>
    <w:rsid w:val="00B72DA4"/>
    <w:rsid w:val="00B72E1C"/>
    <w:rsid w:val="00B7306F"/>
    <w:rsid w:val="00B73779"/>
    <w:rsid w:val="00B73FEE"/>
    <w:rsid w:val="00B73FF0"/>
    <w:rsid w:val="00B74D0A"/>
    <w:rsid w:val="00B74DD0"/>
    <w:rsid w:val="00B755B3"/>
    <w:rsid w:val="00B75D43"/>
    <w:rsid w:val="00B76FA5"/>
    <w:rsid w:val="00B76FEE"/>
    <w:rsid w:val="00B77013"/>
    <w:rsid w:val="00B771AD"/>
    <w:rsid w:val="00B77215"/>
    <w:rsid w:val="00B7765F"/>
    <w:rsid w:val="00B7783F"/>
    <w:rsid w:val="00B807B9"/>
    <w:rsid w:val="00B809FD"/>
    <w:rsid w:val="00B80CCB"/>
    <w:rsid w:val="00B80FCA"/>
    <w:rsid w:val="00B8137F"/>
    <w:rsid w:val="00B81562"/>
    <w:rsid w:val="00B81889"/>
    <w:rsid w:val="00B81AEA"/>
    <w:rsid w:val="00B81FA3"/>
    <w:rsid w:val="00B8282F"/>
    <w:rsid w:val="00B828F6"/>
    <w:rsid w:val="00B82C47"/>
    <w:rsid w:val="00B8360A"/>
    <w:rsid w:val="00B840B2"/>
    <w:rsid w:val="00B8460A"/>
    <w:rsid w:val="00B84921"/>
    <w:rsid w:val="00B84AB9"/>
    <w:rsid w:val="00B84D06"/>
    <w:rsid w:val="00B850AE"/>
    <w:rsid w:val="00B850DF"/>
    <w:rsid w:val="00B8562B"/>
    <w:rsid w:val="00B85C9B"/>
    <w:rsid w:val="00B8647D"/>
    <w:rsid w:val="00B86F7F"/>
    <w:rsid w:val="00B86FB3"/>
    <w:rsid w:val="00B8711C"/>
    <w:rsid w:val="00B872BE"/>
    <w:rsid w:val="00B87568"/>
    <w:rsid w:val="00B878DD"/>
    <w:rsid w:val="00B87B79"/>
    <w:rsid w:val="00B87BC8"/>
    <w:rsid w:val="00B90224"/>
    <w:rsid w:val="00B90337"/>
    <w:rsid w:val="00B90779"/>
    <w:rsid w:val="00B90CD6"/>
    <w:rsid w:val="00B90F4B"/>
    <w:rsid w:val="00B92049"/>
    <w:rsid w:val="00B934BA"/>
    <w:rsid w:val="00B937F7"/>
    <w:rsid w:val="00B93F30"/>
    <w:rsid w:val="00B943BE"/>
    <w:rsid w:val="00B94621"/>
    <w:rsid w:val="00B950CC"/>
    <w:rsid w:val="00B95830"/>
    <w:rsid w:val="00B9594E"/>
    <w:rsid w:val="00B95F9C"/>
    <w:rsid w:val="00B96082"/>
    <w:rsid w:val="00B967A5"/>
    <w:rsid w:val="00B9705C"/>
    <w:rsid w:val="00B971A2"/>
    <w:rsid w:val="00B9744E"/>
    <w:rsid w:val="00B979C3"/>
    <w:rsid w:val="00B979F1"/>
    <w:rsid w:val="00B97D95"/>
    <w:rsid w:val="00BA013F"/>
    <w:rsid w:val="00BA040B"/>
    <w:rsid w:val="00BA09B8"/>
    <w:rsid w:val="00BA1B86"/>
    <w:rsid w:val="00BA1E04"/>
    <w:rsid w:val="00BA29FA"/>
    <w:rsid w:val="00BA31B7"/>
    <w:rsid w:val="00BA4839"/>
    <w:rsid w:val="00BA4B5B"/>
    <w:rsid w:val="00BA4CE5"/>
    <w:rsid w:val="00BA558E"/>
    <w:rsid w:val="00BA5B80"/>
    <w:rsid w:val="00BA5CC5"/>
    <w:rsid w:val="00BA6440"/>
    <w:rsid w:val="00BA6851"/>
    <w:rsid w:val="00BA7234"/>
    <w:rsid w:val="00BB0C17"/>
    <w:rsid w:val="00BB15DF"/>
    <w:rsid w:val="00BB17B6"/>
    <w:rsid w:val="00BB1922"/>
    <w:rsid w:val="00BB1F11"/>
    <w:rsid w:val="00BB2762"/>
    <w:rsid w:val="00BB2961"/>
    <w:rsid w:val="00BB296B"/>
    <w:rsid w:val="00BB2AF5"/>
    <w:rsid w:val="00BB3129"/>
    <w:rsid w:val="00BB3850"/>
    <w:rsid w:val="00BB3B2B"/>
    <w:rsid w:val="00BB3C9C"/>
    <w:rsid w:val="00BB3E7C"/>
    <w:rsid w:val="00BB41F3"/>
    <w:rsid w:val="00BB4988"/>
    <w:rsid w:val="00BB55D4"/>
    <w:rsid w:val="00BB628C"/>
    <w:rsid w:val="00BB660D"/>
    <w:rsid w:val="00BB66D7"/>
    <w:rsid w:val="00BB7133"/>
    <w:rsid w:val="00BB7574"/>
    <w:rsid w:val="00BB76C0"/>
    <w:rsid w:val="00BB78BC"/>
    <w:rsid w:val="00BC0603"/>
    <w:rsid w:val="00BC0662"/>
    <w:rsid w:val="00BC1F5B"/>
    <w:rsid w:val="00BC29D7"/>
    <w:rsid w:val="00BC32A0"/>
    <w:rsid w:val="00BC3345"/>
    <w:rsid w:val="00BC33EB"/>
    <w:rsid w:val="00BC3677"/>
    <w:rsid w:val="00BC3678"/>
    <w:rsid w:val="00BC5145"/>
    <w:rsid w:val="00BC6122"/>
    <w:rsid w:val="00BC6F43"/>
    <w:rsid w:val="00BC7118"/>
    <w:rsid w:val="00BC799A"/>
    <w:rsid w:val="00BC7E61"/>
    <w:rsid w:val="00BD08ED"/>
    <w:rsid w:val="00BD15A1"/>
    <w:rsid w:val="00BD16AD"/>
    <w:rsid w:val="00BD1B91"/>
    <w:rsid w:val="00BD34C8"/>
    <w:rsid w:val="00BD3C46"/>
    <w:rsid w:val="00BD3D05"/>
    <w:rsid w:val="00BD444E"/>
    <w:rsid w:val="00BD48CA"/>
    <w:rsid w:val="00BD4CCC"/>
    <w:rsid w:val="00BD4F24"/>
    <w:rsid w:val="00BD559F"/>
    <w:rsid w:val="00BD59F0"/>
    <w:rsid w:val="00BD5A34"/>
    <w:rsid w:val="00BD5C2C"/>
    <w:rsid w:val="00BD5EC9"/>
    <w:rsid w:val="00BD6307"/>
    <w:rsid w:val="00BD6986"/>
    <w:rsid w:val="00BD69A8"/>
    <w:rsid w:val="00BD6D71"/>
    <w:rsid w:val="00BD7346"/>
    <w:rsid w:val="00BE0A46"/>
    <w:rsid w:val="00BE0C61"/>
    <w:rsid w:val="00BE1B19"/>
    <w:rsid w:val="00BE2049"/>
    <w:rsid w:val="00BE2374"/>
    <w:rsid w:val="00BE2D14"/>
    <w:rsid w:val="00BE2F7B"/>
    <w:rsid w:val="00BE359F"/>
    <w:rsid w:val="00BE36E8"/>
    <w:rsid w:val="00BE4311"/>
    <w:rsid w:val="00BE43DD"/>
    <w:rsid w:val="00BE4AC0"/>
    <w:rsid w:val="00BE4B82"/>
    <w:rsid w:val="00BE50D5"/>
    <w:rsid w:val="00BE6885"/>
    <w:rsid w:val="00BE74A1"/>
    <w:rsid w:val="00BF0498"/>
    <w:rsid w:val="00BF0741"/>
    <w:rsid w:val="00BF0953"/>
    <w:rsid w:val="00BF0AA1"/>
    <w:rsid w:val="00BF0C73"/>
    <w:rsid w:val="00BF17C6"/>
    <w:rsid w:val="00BF2136"/>
    <w:rsid w:val="00BF22AF"/>
    <w:rsid w:val="00BF3BEE"/>
    <w:rsid w:val="00BF3DE1"/>
    <w:rsid w:val="00BF43D6"/>
    <w:rsid w:val="00BF4458"/>
    <w:rsid w:val="00BF4610"/>
    <w:rsid w:val="00BF49B6"/>
    <w:rsid w:val="00BF5860"/>
    <w:rsid w:val="00BF7027"/>
    <w:rsid w:val="00BF7C30"/>
    <w:rsid w:val="00BF7D32"/>
    <w:rsid w:val="00C0035D"/>
    <w:rsid w:val="00C00911"/>
    <w:rsid w:val="00C00C29"/>
    <w:rsid w:val="00C00CE5"/>
    <w:rsid w:val="00C011F4"/>
    <w:rsid w:val="00C01582"/>
    <w:rsid w:val="00C01B67"/>
    <w:rsid w:val="00C01D00"/>
    <w:rsid w:val="00C025FA"/>
    <w:rsid w:val="00C026D4"/>
    <w:rsid w:val="00C02EAF"/>
    <w:rsid w:val="00C0348C"/>
    <w:rsid w:val="00C034A6"/>
    <w:rsid w:val="00C03C38"/>
    <w:rsid w:val="00C03C8F"/>
    <w:rsid w:val="00C03C98"/>
    <w:rsid w:val="00C04395"/>
    <w:rsid w:val="00C0491D"/>
    <w:rsid w:val="00C05273"/>
    <w:rsid w:val="00C05F65"/>
    <w:rsid w:val="00C06660"/>
    <w:rsid w:val="00C07289"/>
    <w:rsid w:val="00C0778F"/>
    <w:rsid w:val="00C07EFC"/>
    <w:rsid w:val="00C101BC"/>
    <w:rsid w:val="00C10615"/>
    <w:rsid w:val="00C112E9"/>
    <w:rsid w:val="00C123DD"/>
    <w:rsid w:val="00C13279"/>
    <w:rsid w:val="00C134D6"/>
    <w:rsid w:val="00C137F8"/>
    <w:rsid w:val="00C141BF"/>
    <w:rsid w:val="00C14F31"/>
    <w:rsid w:val="00C16070"/>
    <w:rsid w:val="00C16243"/>
    <w:rsid w:val="00C167A4"/>
    <w:rsid w:val="00C16CD1"/>
    <w:rsid w:val="00C170CA"/>
    <w:rsid w:val="00C17353"/>
    <w:rsid w:val="00C17A19"/>
    <w:rsid w:val="00C2050B"/>
    <w:rsid w:val="00C2051A"/>
    <w:rsid w:val="00C20780"/>
    <w:rsid w:val="00C20832"/>
    <w:rsid w:val="00C2100A"/>
    <w:rsid w:val="00C212B1"/>
    <w:rsid w:val="00C21BD6"/>
    <w:rsid w:val="00C21DA5"/>
    <w:rsid w:val="00C2287B"/>
    <w:rsid w:val="00C230A7"/>
    <w:rsid w:val="00C23229"/>
    <w:rsid w:val="00C23B74"/>
    <w:rsid w:val="00C23B9A"/>
    <w:rsid w:val="00C23EC2"/>
    <w:rsid w:val="00C24394"/>
    <w:rsid w:val="00C24812"/>
    <w:rsid w:val="00C2496E"/>
    <w:rsid w:val="00C24E85"/>
    <w:rsid w:val="00C25C36"/>
    <w:rsid w:val="00C25CCA"/>
    <w:rsid w:val="00C25FAF"/>
    <w:rsid w:val="00C266A4"/>
    <w:rsid w:val="00C270D7"/>
    <w:rsid w:val="00C27137"/>
    <w:rsid w:val="00C27564"/>
    <w:rsid w:val="00C30C8F"/>
    <w:rsid w:val="00C30D2B"/>
    <w:rsid w:val="00C318CA"/>
    <w:rsid w:val="00C31D8E"/>
    <w:rsid w:val="00C31E6F"/>
    <w:rsid w:val="00C325CB"/>
    <w:rsid w:val="00C328C2"/>
    <w:rsid w:val="00C32A66"/>
    <w:rsid w:val="00C33105"/>
    <w:rsid w:val="00C33CC1"/>
    <w:rsid w:val="00C33E5A"/>
    <w:rsid w:val="00C33FD7"/>
    <w:rsid w:val="00C3426A"/>
    <w:rsid w:val="00C34689"/>
    <w:rsid w:val="00C3497F"/>
    <w:rsid w:val="00C34A6D"/>
    <w:rsid w:val="00C34C85"/>
    <w:rsid w:val="00C35AE5"/>
    <w:rsid w:val="00C35D78"/>
    <w:rsid w:val="00C3642C"/>
    <w:rsid w:val="00C3697A"/>
    <w:rsid w:val="00C3749E"/>
    <w:rsid w:val="00C3790D"/>
    <w:rsid w:val="00C37B3C"/>
    <w:rsid w:val="00C37BA1"/>
    <w:rsid w:val="00C37F52"/>
    <w:rsid w:val="00C404FD"/>
    <w:rsid w:val="00C40FF2"/>
    <w:rsid w:val="00C41230"/>
    <w:rsid w:val="00C4147B"/>
    <w:rsid w:val="00C415C8"/>
    <w:rsid w:val="00C41601"/>
    <w:rsid w:val="00C41D22"/>
    <w:rsid w:val="00C438F5"/>
    <w:rsid w:val="00C43A50"/>
    <w:rsid w:val="00C43FA1"/>
    <w:rsid w:val="00C44144"/>
    <w:rsid w:val="00C4499B"/>
    <w:rsid w:val="00C4499F"/>
    <w:rsid w:val="00C44C9E"/>
    <w:rsid w:val="00C44CC6"/>
    <w:rsid w:val="00C44D28"/>
    <w:rsid w:val="00C455F5"/>
    <w:rsid w:val="00C45BD9"/>
    <w:rsid w:val="00C45C38"/>
    <w:rsid w:val="00C46436"/>
    <w:rsid w:val="00C46C30"/>
    <w:rsid w:val="00C46D5D"/>
    <w:rsid w:val="00C47623"/>
    <w:rsid w:val="00C47852"/>
    <w:rsid w:val="00C47BB1"/>
    <w:rsid w:val="00C50175"/>
    <w:rsid w:val="00C50339"/>
    <w:rsid w:val="00C50944"/>
    <w:rsid w:val="00C50C67"/>
    <w:rsid w:val="00C51048"/>
    <w:rsid w:val="00C5237C"/>
    <w:rsid w:val="00C531C2"/>
    <w:rsid w:val="00C53D34"/>
    <w:rsid w:val="00C53F2A"/>
    <w:rsid w:val="00C54494"/>
    <w:rsid w:val="00C54A2E"/>
    <w:rsid w:val="00C5524B"/>
    <w:rsid w:val="00C5577C"/>
    <w:rsid w:val="00C55AB5"/>
    <w:rsid w:val="00C55C93"/>
    <w:rsid w:val="00C55FA2"/>
    <w:rsid w:val="00C560CB"/>
    <w:rsid w:val="00C57958"/>
    <w:rsid w:val="00C60E05"/>
    <w:rsid w:val="00C61251"/>
    <w:rsid w:val="00C61DD9"/>
    <w:rsid w:val="00C626AE"/>
    <w:rsid w:val="00C62E45"/>
    <w:rsid w:val="00C6322C"/>
    <w:rsid w:val="00C635ED"/>
    <w:rsid w:val="00C63B36"/>
    <w:rsid w:val="00C64400"/>
    <w:rsid w:val="00C65190"/>
    <w:rsid w:val="00C6557A"/>
    <w:rsid w:val="00C6564D"/>
    <w:rsid w:val="00C65FBE"/>
    <w:rsid w:val="00C660DD"/>
    <w:rsid w:val="00C665C9"/>
    <w:rsid w:val="00C66780"/>
    <w:rsid w:val="00C66921"/>
    <w:rsid w:val="00C66C7E"/>
    <w:rsid w:val="00C6726A"/>
    <w:rsid w:val="00C67A48"/>
    <w:rsid w:val="00C707D1"/>
    <w:rsid w:val="00C70BDC"/>
    <w:rsid w:val="00C712EF"/>
    <w:rsid w:val="00C71753"/>
    <w:rsid w:val="00C71FAC"/>
    <w:rsid w:val="00C72202"/>
    <w:rsid w:val="00C723B7"/>
    <w:rsid w:val="00C72709"/>
    <w:rsid w:val="00C74319"/>
    <w:rsid w:val="00C7523A"/>
    <w:rsid w:val="00C7537F"/>
    <w:rsid w:val="00C753CB"/>
    <w:rsid w:val="00C75C2B"/>
    <w:rsid w:val="00C75DA2"/>
    <w:rsid w:val="00C770BE"/>
    <w:rsid w:val="00C771F3"/>
    <w:rsid w:val="00C7758B"/>
    <w:rsid w:val="00C776BD"/>
    <w:rsid w:val="00C778B7"/>
    <w:rsid w:val="00C7798E"/>
    <w:rsid w:val="00C77D03"/>
    <w:rsid w:val="00C77E86"/>
    <w:rsid w:val="00C803BE"/>
    <w:rsid w:val="00C803D7"/>
    <w:rsid w:val="00C805E4"/>
    <w:rsid w:val="00C80EC2"/>
    <w:rsid w:val="00C81240"/>
    <w:rsid w:val="00C81613"/>
    <w:rsid w:val="00C81FBF"/>
    <w:rsid w:val="00C82109"/>
    <w:rsid w:val="00C827D4"/>
    <w:rsid w:val="00C82C32"/>
    <w:rsid w:val="00C839DE"/>
    <w:rsid w:val="00C83BE6"/>
    <w:rsid w:val="00C83CE5"/>
    <w:rsid w:val="00C83E23"/>
    <w:rsid w:val="00C84335"/>
    <w:rsid w:val="00C84D1F"/>
    <w:rsid w:val="00C858ED"/>
    <w:rsid w:val="00C85A21"/>
    <w:rsid w:val="00C85EC7"/>
    <w:rsid w:val="00C86FD6"/>
    <w:rsid w:val="00C87577"/>
    <w:rsid w:val="00C8764E"/>
    <w:rsid w:val="00C87DB4"/>
    <w:rsid w:val="00C87FF3"/>
    <w:rsid w:val="00C90011"/>
    <w:rsid w:val="00C9019A"/>
    <w:rsid w:val="00C904FD"/>
    <w:rsid w:val="00C90AA5"/>
    <w:rsid w:val="00C92251"/>
    <w:rsid w:val="00C929C1"/>
    <w:rsid w:val="00C93076"/>
    <w:rsid w:val="00C9467E"/>
    <w:rsid w:val="00C94BFC"/>
    <w:rsid w:val="00C94FF6"/>
    <w:rsid w:val="00C9508B"/>
    <w:rsid w:val="00C95A55"/>
    <w:rsid w:val="00C95CDE"/>
    <w:rsid w:val="00C968DB"/>
    <w:rsid w:val="00C96FA1"/>
    <w:rsid w:val="00C9715E"/>
    <w:rsid w:val="00C97809"/>
    <w:rsid w:val="00CA0242"/>
    <w:rsid w:val="00CA0FC3"/>
    <w:rsid w:val="00CA19ED"/>
    <w:rsid w:val="00CA1A00"/>
    <w:rsid w:val="00CA1BF7"/>
    <w:rsid w:val="00CA1C7F"/>
    <w:rsid w:val="00CA2B5A"/>
    <w:rsid w:val="00CA30B0"/>
    <w:rsid w:val="00CA31AF"/>
    <w:rsid w:val="00CA3E06"/>
    <w:rsid w:val="00CA43FB"/>
    <w:rsid w:val="00CA4595"/>
    <w:rsid w:val="00CA65AD"/>
    <w:rsid w:val="00CA7100"/>
    <w:rsid w:val="00CA75B8"/>
    <w:rsid w:val="00CA7EB8"/>
    <w:rsid w:val="00CB0316"/>
    <w:rsid w:val="00CB0578"/>
    <w:rsid w:val="00CB1877"/>
    <w:rsid w:val="00CB1B32"/>
    <w:rsid w:val="00CB1EC5"/>
    <w:rsid w:val="00CB253E"/>
    <w:rsid w:val="00CB2DF7"/>
    <w:rsid w:val="00CB2EE5"/>
    <w:rsid w:val="00CB31BD"/>
    <w:rsid w:val="00CB4188"/>
    <w:rsid w:val="00CB43E8"/>
    <w:rsid w:val="00CB4DB6"/>
    <w:rsid w:val="00CB52B8"/>
    <w:rsid w:val="00CB5381"/>
    <w:rsid w:val="00CB5A0E"/>
    <w:rsid w:val="00CB5FC7"/>
    <w:rsid w:val="00CB6C22"/>
    <w:rsid w:val="00CB6E83"/>
    <w:rsid w:val="00CB76A1"/>
    <w:rsid w:val="00CB78BB"/>
    <w:rsid w:val="00CC03DA"/>
    <w:rsid w:val="00CC05A1"/>
    <w:rsid w:val="00CC0D7B"/>
    <w:rsid w:val="00CC0FB7"/>
    <w:rsid w:val="00CC1EF7"/>
    <w:rsid w:val="00CC21FC"/>
    <w:rsid w:val="00CC2F2D"/>
    <w:rsid w:val="00CC3844"/>
    <w:rsid w:val="00CC3D4A"/>
    <w:rsid w:val="00CC3E33"/>
    <w:rsid w:val="00CC44FE"/>
    <w:rsid w:val="00CC461C"/>
    <w:rsid w:val="00CC4645"/>
    <w:rsid w:val="00CC470A"/>
    <w:rsid w:val="00CC4FF1"/>
    <w:rsid w:val="00CC592E"/>
    <w:rsid w:val="00CC5DD3"/>
    <w:rsid w:val="00CC664D"/>
    <w:rsid w:val="00CC735B"/>
    <w:rsid w:val="00CC7DA5"/>
    <w:rsid w:val="00CC7EB6"/>
    <w:rsid w:val="00CD0B0F"/>
    <w:rsid w:val="00CD0D27"/>
    <w:rsid w:val="00CD0D4D"/>
    <w:rsid w:val="00CD0E0B"/>
    <w:rsid w:val="00CD0E85"/>
    <w:rsid w:val="00CD181F"/>
    <w:rsid w:val="00CD211A"/>
    <w:rsid w:val="00CD25E6"/>
    <w:rsid w:val="00CD27E8"/>
    <w:rsid w:val="00CD2BF8"/>
    <w:rsid w:val="00CD2CE6"/>
    <w:rsid w:val="00CD2D2A"/>
    <w:rsid w:val="00CD2E8E"/>
    <w:rsid w:val="00CD34E4"/>
    <w:rsid w:val="00CD387E"/>
    <w:rsid w:val="00CD3BBC"/>
    <w:rsid w:val="00CD4AFC"/>
    <w:rsid w:val="00CD4B98"/>
    <w:rsid w:val="00CD561C"/>
    <w:rsid w:val="00CD5BC4"/>
    <w:rsid w:val="00CD5E0C"/>
    <w:rsid w:val="00CD6060"/>
    <w:rsid w:val="00CD60D2"/>
    <w:rsid w:val="00CD63B5"/>
    <w:rsid w:val="00CD690A"/>
    <w:rsid w:val="00CD6CA1"/>
    <w:rsid w:val="00CD6D65"/>
    <w:rsid w:val="00CD7B47"/>
    <w:rsid w:val="00CD7CFF"/>
    <w:rsid w:val="00CD7D25"/>
    <w:rsid w:val="00CD7F02"/>
    <w:rsid w:val="00CE048F"/>
    <w:rsid w:val="00CE0B5C"/>
    <w:rsid w:val="00CE0C77"/>
    <w:rsid w:val="00CE1A2A"/>
    <w:rsid w:val="00CE1B2A"/>
    <w:rsid w:val="00CE3244"/>
    <w:rsid w:val="00CE4737"/>
    <w:rsid w:val="00CE4885"/>
    <w:rsid w:val="00CE4E51"/>
    <w:rsid w:val="00CE5354"/>
    <w:rsid w:val="00CE67D2"/>
    <w:rsid w:val="00CE68EA"/>
    <w:rsid w:val="00CE6AC0"/>
    <w:rsid w:val="00CE6E78"/>
    <w:rsid w:val="00CE79A9"/>
    <w:rsid w:val="00CE7FD3"/>
    <w:rsid w:val="00CF02A2"/>
    <w:rsid w:val="00CF0C5C"/>
    <w:rsid w:val="00CF0D1A"/>
    <w:rsid w:val="00CF0D59"/>
    <w:rsid w:val="00CF0F60"/>
    <w:rsid w:val="00CF15A4"/>
    <w:rsid w:val="00CF241F"/>
    <w:rsid w:val="00CF2858"/>
    <w:rsid w:val="00CF28BD"/>
    <w:rsid w:val="00CF2F09"/>
    <w:rsid w:val="00CF318C"/>
    <w:rsid w:val="00CF34DA"/>
    <w:rsid w:val="00CF3562"/>
    <w:rsid w:val="00CF35A0"/>
    <w:rsid w:val="00CF38FD"/>
    <w:rsid w:val="00CF3C9D"/>
    <w:rsid w:val="00CF3E8E"/>
    <w:rsid w:val="00CF3EA6"/>
    <w:rsid w:val="00CF3FF0"/>
    <w:rsid w:val="00CF46D3"/>
    <w:rsid w:val="00CF4929"/>
    <w:rsid w:val="00CF4B77"/>
    <w:rsid w:val="00CF5069"/>
    <w:rsid w:val="00CF5700"/>
    <w:rsid w:val="00CF5A41"/>
    <w:rsid w:val="00CF5EEC"/>
    <w:rsid w:val="00CF6285"/>
    <w:rsid w:val="00CF67E8"/>
    <w:rsid w:val="00CF68EE"/>
    <w:rsid w:val="00CF6A87"/>
    <w:rsid w:val="00CF6E69"/>
    <w:rsid w:val="00CF7790"/>
    <w:rsid w:val="00D00334"/>
    <w:rsid w:val="00D003AA"/>
    <w:rsid w:val="00D0106B"/>
    <w:rsid w:val="00D0110D"/>
    <w:rsid w:val="00D01390"/>
    <w:rsid w:val="00D017CC"/>
    <w:rsid w:val="00D01CB6"/>
    <w:rsid w:val="00D02162"/>
    <w:rsid w:val="00D025C9"/>
    <w:rsid w:val="00D028A2"/>
    <w:rsid w:val="00D02C36"/>
    <w:rsid w:val="00D03172"/>
    <w:rsid w:val="00D031C6"/>
    <w:rsid w:val="00D0350A"/>
    <w:rsid w:val="00D039C8"/>
    <w:rsid w:val="00D03B59"/>
    <w:rsid w:val="00D042F1"/>
    <w:rsid w:val="00D04335"/>
    <w:rsid w:val="00D0507B"/>
    <w:rsid w:val="00D0535C"/>
    <w:rsid w:val="00D058AB"/>
    <w:rsid w:val="00D05B3B"/>
    <w:rsid w:val="00D05F5C"/>
    <w:rsid w:val="00D06597"/>
    <w:rsid w:val="00D065A1"/>
    <w:rsid w:val="00D06BBE"/>
    <w:rsid w:val="00D07445"/>
    <w:rsid w:val="00D10D58"/>
    <w:rsid w:val="00D1171A"/>
    <w:rsid w:val="00D11D13"/>
    <w:rsid w:val="00D11DBF"/>
    <w:rsid w:val="00D1239F"/>
    <w:rsid w:val="00D1253A"/>
    <w:rsid w:val="00D126C6"/>
    <w:rsid w:val="00D12741"/>
    <w:rsid w:val="00D12BF9"/>
    <w:rsid w:val="00D12ED8"/>
    <w:rsid w:val="00D133AD"/>
    <w:rsid w:val="00D14122"/>
    <w:rsid w:val="00D150D1"/>
    <w:rsid w:val="00D15418"/>
    <w:rsid w:val="00D15657"/>
    <w:rsid w:val="00D15BB5"/>
    <w:rsid w:val="00D1613F"/>
    <w:rsid w:val="00D16C15"/>
    <w:rsid w:val="00D16F0F"/>
    <w:rsid w:val="00D21CF4"/>
    <w:rsid w:val="00D22202"/>
    <w:rsid w:val="00D2240E"/>
    <w:rsid w:val="00D22ADD"/>
    <w:rsid w:val="00D230D9"/>
    <w:rsid w:val="00D23353"/>
    <w:rsid w:val="00D235A7"/>
    <w:rsid w:val="00D238F4"/>
    <w:rsid w:val="00D241D9"/>
    <w:rsid w:val="00D247D7"/>
    <w:rsid w:val="00D247DF"/>
    <w:rsid w:val="00D24BED"/>
    <w:rsid w:val="00D2510B"/>
    <w:rsid w:val="00D251E6"/>
    <w:rsid w:val="00D25CFB"/>
    <w:rsid w:val="00D26324"/>
    <w:rsid w:val="00D2667C"/>
    <w:rsid w:val="00D26E40"/>
    <w:rsid w:val="00D274B3"/>
    <w:rsid w:val="00D27591"/>
    <w:rsid w:val="00D2785F"/>
    <w:rsid w:val="00D278BC"/>
    <w:rsid w:val="00D300BB"/>
    <w:rsid w:val="00D306D1"/>
    <w:rsid w:val="00D308D6"/>
    <w:rsid w:val="00D30C28"/>
    <w:rsid w:val="00D30E6D"/>
    <w:rsid w:val="00D31421"/>
    <w:rsid w:val="00D317D0"/>
    <w:rsid w:val="00D325C7"/>
    <w:rsid w:val="00D32623"/>
    <w:rsid w:val="00D32C4E"/>
    <w:rsid w:val="00D33274"/>
    <w:rsid w:val="00D33E04"/>
    <w:rsid w:val="00D34301"/>
    <w:rsid w:val="00D34AC1"/>
    <w:rsid w:val="00D34CCF"/>
    <w:rsid w:val="00D352D0"/>
    <w:rsid w:val="00D35614"/>
    <w:rsid w:val="00D3573B"/>
    <w:rsid w:val="00D358D2"/>
    <w:rsid w:val="00D35A29"/>
    <w:rsid w:val="00D35A69"/>
    <w:rsid w:val="00D369B1"/>
    <w:rsid w:val="00D36C79"/>
    <w:rsid w:val="00D36DD6"/>
    <w:rsid w:val="00D36E6F"/>
    <w:rsid w:val="00D36EA1"/>
    <w:rsid w:val="00D37234"/>
    <w:rsid w:val="00D377A2"/>
    <w:rsid w:val="00D37A5A"/>
    <w:rsid w:val="00D400F3"/>
    <w:rsid w:val="00D411E4"/>
    <w:rsid w:val="00D412A8"/>
    <w:rsid w:val="00D4197E"/>
    <w:rsid w:val="00D41DFE"/>
    <w:rsid w:val="00D42347"/>
    <w:rsid w:val="00D4295A"/>
    <w:rsid w:val="00D42D96"/>
    <w:rsid w:val="00D43045"/>
    <w:rsid w:val="00D43F37"/>
    <w:rsid w:val="00D45DA6"/>
    <w:rsid w:val="00D46170"/>
    <w:rsid w:val="00D46326"/>
    <w:rsid w:val="00D47AD4"/>
    <w:rsid w:val="00D47BAD"/>
    <w:rsid w:val="00D50607"/>
    <w:rsid w:val="00D506AA"/>
    <w:rsid w:val="00D50900"/>
    <w:rsid w:val="00D5107C"/>
    <w:rsid w:val="00D5274D"/>
    <w:rsid w:val="00D52960"/>
    <w:rsid w:val="00D5297B"/>
    <w:rsid w:val="00D53529"/>
    <w:rsid w:val="00D53880"/>
    <w:rsid w:val="00D53C14"/>
    <w:rsid w:val="00D53E43"/>
    <w:rsid w:val="00D54295"/>
    <w:rsid w:val="00D54507"/>
    <w:rsid w:val="00D55C84"/>
    <w:rsid w:val="00D5611C"/>
    <w:rsid w:val="00D5680B"/>
    <w:rsid w:val="00D56D92"/>
    <w:rsid w:val="00D56EB2"/>
    <w:rsid w:val="00D57113"/>
    <w:rsid w:val="00D579AC"/>
    <w:rsid w:val="00D60099"/>
    <w:rsid w:val="00D60A7A"/>
    <w:rsid w:val="00D6136C"/>
    <w:rsid w:val="00D6208A"/>
    <w:rsid w:val="00D62193"/>
    <w:rsid w:val="00D62257"/>
    <w:rsid w:val="00D62442"/>
    <w:rsid w:val="00D62888"/>
    <w:rsid w:val="00D62ADB"/>
    <w:rsid w:val="00D6300B"/>
    <w:rsid w:val="00D632C9"/>
    <w:rsid w:val="00D634FD"/>
    <w:rsid w:val="00D638E0"/>
    <w:rsid w:val="00D63E73"/>
    <w:rsid w:val="00D6405C"/>
    <w:rsid w:val="00D6435D"/>
    <w:rsid w:val="00D6526A"/>
    <w:rsid w:val="00D65C51"/>
    <w:rsid w:val="00D65EE4"/>
    <w:rsid w:val="00D6634D"/>
    <w:rsid w:val="00D663D5"/>
    <w:rsid w:val="00D6691D"/>
    <w:rsid w:val="00D67FA8"/>
    <w:rsid w:val="00D70026"/>
    <w:rsid w:val="00D700E9"/>
    <w:rsid w:val="00D714EB"/>
    <w:rsid w:val="00D719D6"/>
    <w:rsid w:val="00D71CC7"/>
    <w:rsid w:val="00D71FB2"/>
    <w:rsid w:val="00D7226D"/>
    <w:rsid w:val="00D725F8"/>
    <w:rsid w:val="00D7261B"/>
    <w:rsid w:val="00D72D5A"/>
    <w:rsid w:val="00D73AB0"/>
    <w:rsid w:val="00D73B9F"/>
    <w:rsid w:val="00D74391"/>
    <w:rsid w:val="00D74516"/>
    <w:rsid w:val="00D74A7A"/>
    <w:rsid w:val="00D74DE6"/>
    <w:rsid w:val="00D75137"/>
    <w:rsid w:val="00D75154"/>
    <w:rsid w:val="00D751CE"/>
    <w:rsid w:val="00D753E1"/>
    <w:rsid w:val="00D76089"/>
    <w:rsid w:val="00D7684C"/>
    <w:rsid w:val="00D76C15"/>
    <w:rsid w:val="00D772EA"/>
    <w:rsid w:val="00D77C2B"/>
    <w:rsid w:val="00D80E9E"/>
    <w:rsid w:val="00D81199"/>
    <w:rsid w:val="00D81759"/>
    <w:rsid w:val="00D81D6A"/>
    <w:rsid w:val="00D82213"/>
    <w:rsid w:val="00D82BDA"/>
    <w:rsid w:val="00D83B79"/>
    <w:rsid w:val="00D841BA"/>
    <w:rsid w:val="00D8464C"/>
    <w:rsid w:val="00D84A0D"/>
    <w:rsid w:val="00D84D26"/>
    <w:rsid w:val="00D85813"/>
    <w:rsid w:val="00D86327"/>
    <w:rsid w:val="00D873FF"/>
    <w:rsid w:val="00D8772F"/>
    <w:rsid w:val="00D877FE"/>
    <w:rsid w:val="00D87DED"/>
    <w:rsid w:val="00D87E47"/>
    <w:rsid w:val="00D904DD"/>
    <w:rsid w:val="00D90C0E"/>
    <w:rsid w:val="00D911CA"/>
    <w:rsid w:val="00D9156B"/>
    <w:rsid w:val="00D91CA0"/>
    <w:rsid w:val="00D91D2E"/>
    <w:rsid w:val="00D91DF6"/>
    <w:rsid w:val="00D92177"/>
    <w:rsid w:val="00D922BA"/>
    <w:rsid w:val="00D924D7"/>
    <w:rsid w:val="00D9306B"/>
    <w:rsid w:val="00D94577"/>
    <w:rsid w:val="00D94725"/>
    <w:rsid w:val="00D948A9"/>
    <w:rsid w:val="00D951DD"/>
    <w:rsid w:val="00D95B2E"/>
    <w:rsid w:val="00D96237"/>
    <w:rsid w:val="00D96AAE"/>
    <w:rsid w:val="00D96B0F"/>
    <w:rsid w:val="00D96BE8"/>
    <w:rsid w:val="00D96E07"/>
    <w:rsid w:val="00D96F54"/>
    <w:rsid w:val="00D97AC7"/>
    <w:rsid w:val="00DA0206"/>
    <w:rsid w:val="00DA039D"/>
    <w:rsid w:val="00DA03F5"/>
    <w:rsid w:val="00DA1448"/>
    <w:rsid w:val="00DA23A2"/>
    <w:rsid w:val="00DA27D1"/>
    <w:rsid w:val="00DA288A"/>
    <w:rsid w:val="00DA350E"/>
    <w:rsid w:val="00DA3747"/>
    <w:rsid w:val="00DA3916"/>
    <w:rsid w:val="00DA3CE3"/>
    <w:rsid w:val="00DA3EDE"/>
    <w:rsid w:val="00DA41E4"/>
    <w:rsid w:val="00DA4725"/>
    <w:rsid w:val="00DA484C"/>
    <w:rsid w:val="00DA5214"/>
    <w:rsid w:val="00DA5396"/>
    <w:rsid w:val="00DA55D7"/>
    <w:rsid w:val="00DA5FD3"/>
    <w:rsid w:val="00DA68D4"/>
    <w:rsid w:val="00DA6CBE"/>
    <w:rsid w:val="00DB0A3A"/>
    <w:rsid w:val="00DB111A"/>
    <w:rsid w:val="00DB1747"/>
    <w:rsid w:val="00DB1C70"/>
    <w:rsid w:val="00DB1C7D"/>
    <w:rsid w:val="00DB1D7F"/>
    <w:rsid w:val="00DB2F0A"/>
    <w:rsid w:val="00DB3046"/>
    <w:rsid w:val="00DB3C29"/>
    <w:rsid w:val="00DB409D"/>
    <w:rsid w:val="00DB414A"/>
    <w:rsid w:val="00DB4B86"/>
    <w:rsid w:val="00DB4D5B"/>
    <w:rsid w:val="00DB5F8D"/>
    <w:rsid w:val="00DB6622"/>
    <w:rsid w:val="00DB676B"/>
    <w:rsid w:val="00DB694B"/>
    <w:rsid w:val="00DB7198"/>
    <w:rsid w:val="00DB7286"/>
    <w:rsid w:val="00DB7539"/>
    <w:rsid w:val="00DB7628"/>
    <w:rsid w:val="00DB7A5E"/>
    <w:rsid w:val="00DB7EFC"/>
    <w:rsid w:val="00DB7F26"/>
    <w:rsid w:val="00DC075C"/>
    <w:rsid w:val="00DC0846"/>
    <w:rsid w:val="00DC15A5"/>
    <w:rsid w:val="00DC1798"/>
    <w:rsid w:val="00DC1A65"/>
    <w:rsid w:val="00DC2C88"/>
    <w:rsid w:val="00DC2FCA"/>
    <w:rsid w:val="00DC3108"/>
    <w:rsid w:val="00DC3561"/>
    <w:rsid w:val="00DC3E59"/>
    <w:rsid w:val="00DC427C"/>
    <w:rsid w:val="00DC4C7A"/>
    <w:rsid w:val="00DC4EB6"/>
    <w:rsid w:val="00DC5EC6"/>
    <w:rsid w:val="00DC62BA"/>
    <w:rsid w:val="00DC6A51"/>
    <w:rsid w:val="00DC6B5B"/>
    <w:rsid w:val="00DC6E43"/>
    <w:rsid w:val="00DC70AB"/>
    <w:rsid w:val="00DC7762"/>
    <w:rsid w:val="00DC7C58"/>
    <w:rsid w:val="00DD0856"/>
    <w:rsid w:val="00DD0F1E"/>
    <w:rsid w:val="00DD1A67"/>
    <w:rsid w:val="00DD24B7"/>
    <w:rsid w:val="00DD2991"/>
    <w:rsid w:val="00DD3AD4"/>
    <w:rsid w:val="00DD4816"/>
    <w:rsid w:val="00DD4B3B"/>
    <w:rsid w:val="00DD4C3D"/>
    <w:rsid w:val="00DD5B20"/>
    <w:rsid w:val="00DD6DB1"/>
    <w:rsid w:val="00DD6EF2"/>
    <w:rsid w:val="00DD70D1"/>
    <w:rsid w:val="00DD7F89"/>
    <w:rsid w:val="00DE0429"/>
    <w:rsid w:val="00DE0AAA"/>
    <w:rsid w:val="00DE1523"/>
    <w:rsid w:val="00DE15D8"/>
    <w:rsid w:val="00DE1B78"/>
    <w:rsid w:val="00DE1FC0"/>
    <w:rsid w:val="00DE28C9"/>
    <w:rsid w:val="00DE2F6D"/>
    <w:rsid w:val="00DE3010"/>
    <w:rsid w:val="00DE36E2"/>
    <w:rsid w:val="00DE3863"/>
    <w:rsid w:val="00DE39BC"/>
    <w:rsid w:val="00DE3FF3"/>
    <w:rsid w:val="00DE4214"/>
    <w:rsid w:val="00DE433B"/>
    <w:rsid w:val="00DE4849"/>
    <w:rsid w:val="00DE4D60"/>
    <w:rsid w:val="00DE5584"/>
    <w:rsid w:val="00DE5753"/>
    <w:rsid w:val="00DE5969"/>
    <w:rsid w:val="00DE5EDD"/>
    <w:rsid w:val="00DE64D3"/>
    <w:rsid w:val="00DE6542"/>
    <w:rsid w:val="00DE6738"/>
    <w:rsid w:val="00DE697D"/>
    <w:rsid w:val="00DE6CFD"/>
    <w:rsid w:val="00DE6EC8"/>
    <w:rsid w:val="00DE6F01"/>
    <w:rsid w:val="00DE740F"/>
    <w:rsid w:val="00DF0553"/>
    <w:rsid w:val="00DF0908"/>
    <w:rsid w:val="00DF0991"/>
    <w:rsid w:val="00DF0D95"/>
    <w:rsid w:val="00DF10C2"/>
    <w:rsid w:val="00DF19A7"/>
    <w:rsid w:val="00DF2CBC"/>
    <w:rsid w:val="00DF2CDE"/>
    <w:rsid w:val="00DF32CA"/>
    <w:rsid w:val="00DF3402"/>
    <w:rsid w:val="00DF3437"/>
    <w:rsid w:val="00DF3EB2"/>
    <w:rsid w:val="00DF470E"/>
    <w:rsid w:val="00DF4FD8"/>
    <w:rsid w:val="00DF50B2"/>
    <w:rsid w:val="00DF5D3C"/>
    <w:rsid w:val="00DF5FAD"/>
    <w:rsid w:val="00DF5FE5"/>
    <w:rsid w:val="00DF6729"/>
    <w:rsid w:val="00DF683A"/>
    <w:rsid w:val="00DF7E08"/>
    <w:rsid w:val="00DF7E59"/>
    <w:rsid w:val="00DF7F5B"/>
    <w:rsid w:val="00E0114C"/>
    <w:rsid w:val="00E018C3"/>
    <w:rsid w:val="00E01C53"/>
    <w:rsid w:val="00E02404"/>
    <w:rsid w:val="00E02A5D"/>
    <w:rsid w:val="00E02AFE"/>
    <w:rsid w:val="00E02B44"/>
    <w:rsid w:val="00E0349F"/>
    <w:rsid w:val="00E0397A"/>
    <w:rsid w:val="00E03C59"/>
    <w:rsid w:val="00E03DB3"/>
    <w:rsid w:val="00E04DFF"/>
    <w:rsid w:val="00E0520E"/>
    <w:rsid w:val="00E053A6"/>
    <w:rsid w:val="00E05865"/>
    <w:rsid w:val="00E0615B"/>
    <w:rsid w:val="00E06BC6"/>
    <w:rsid w:val="00E06CC1"/>
    <w:rsid w:val="00E06CFF"/>
    <w:rsid w:val="00E06D81"/>
    <w:rsid w:val="00E0713A"/>
    <w:rsid w:val="00E07540"/>
    <w:rsid w:val="00E078DF"/>
    <w:rsid w:val="00E07980"/>
    <w:rsid w:val="00E07ACA"/>
    <w:rsid w:val="00E07C6B"/>
    <w:rsid w:val="00E10627"/>
    <w:rsid w:val="00E108ED"/>
    <w:rsid w:val="00E10BE7"/>
    <w:rsid w:val="00E10C5A"/>
    <w:rsid w:val="00E10DCE"/>
    <w:rsid w:val="00E1137E"/>
    <w:rsid w:val="00E113B6"/>
    <w:rsid w:val="00E12536"/>
    <w:rsid w:val="00E128D9"/>
    <w:rsid w:val="00E129ED"/>
    <w:rsid w:val="00E12F28"/>
    <w:rsid w:val="00E13582"/>
    <w:rsid w:val="00E13C6E"/>
    <w:rsid w:val="00E13D12"/>
    <w:rsid w:val="00E14190"/>
    <w:rsid w:val="00E1450F"/>
    <w:rsid w:val="00E1457B"/>
    <w:rsid w:val="00E14592"/>
    <w:rsid w:val="00E1467B"/>
    <w:rsid w:val="00E14705"/>
    <w:rsid w:val="00E1493C"/>
    <w:rsid w:val="00E1511F"/>
    <w:rsid w:val="00E15911"/>
    <w:rsid w:val="00E16521"/>
    <w:rsid w:val="00E1663D"/>
    <w:rsid w:val="00E1670D"/>
    <w:rsid w:val="00E1752D"/>
    <w:rsid w:val="00E1796E"/>
    <w:rsid w:val="00E17C26"/>
    <w:rsid w:val="00E202C9"/>
    <w:rsid w:val="00E20417"/>
    <w:rsid w:val="00E20606"/>
    <w:rsid w:val="00E20771"/>
    <w:rsid w:val="00E207AB"/>
    <w:rsid w:val="00E2119A"/>
    <w:rsid w:val="00E218F4"/>
    <w:rsid w:val="00E21BBA"/>
    <w:rsid w:val="00E21F2E"/>
    <w:rsid w:val="00E21FDD"/>
    <w:rsid w:val="00E22E6C"/>
    <w:rsid w:val="00E23140"/>
    <w:rsid w:val="00E23618"/>
    <w:rsid w:val="00E23680"/>
    <w:rsid w:val="00E241A4"/>
    <w:rsid w:val="00E24DCE"/>
    <w:rsid w:val="00E25021"/>
    <w:rsid w:val="00E250C2"/>
    <w:rsid w:val="00E252BC"/>
    <w:rsid w:val="00E25D36"/>
    <w:rsid w:val="00E264BC"/>
    <w:rsid w:val="00E26783"/>
    <w:rsid w:val="00E268E5"/>
    <w:rsid w:val="00E27071"/>
    <w:rsid w:val="00E30D01"/>
    <w:rsid w:val="00E31CA7"/>
    <w:rsid w:val="00E31D49"/>
    <w:rsid w:val="00E32078"/>
    <w:rsid w:val="00E3258B"/>
    <w:rsid w:val="00E327B0"/>
    <w:rsid w:val="00E328FB"/>
    <w:rsid w:val="00E32AFC"/>
    <w:rsid w:val="00E32B26"/>
    <w:rsid w:val="00E32B74"/>
    <w:rsid w:val="00E33343"/>
    <w:rsid w:val="00E33A73"/>
    <w:rsid w:val="00E33AB0"/>
    <w:rsid w:val="00E33D78"/>
    <w:rsid w:val="00E35B80"/>
    <w:rsid w:val="00E3699F"/>
    <w:rsid w:val="00E36CC5"/>
    <w:rsid w:val="00E3723D"/>
    <w:rsid w:val="00E37BBF"/>
    <w:rsid w:val="00E404BD"/>
    <w:rsid w:val="00E40780"/>
    <w:rsid w:val="00E412F6"/>
    <w:rsid w:val="00E4132C"/>
    <w:rsid w:val="00E41B95"/>
    <w:rsid w:val="00E41BEE"/>
    <w:rsid w:val="00E42004"/>
    <w:rsid w:val="00E42221"/>
    <w:rsid w:val="00E4253A"/>
    <w:rsid w:val="00E42D59"/>
    <w:rsid w:val="00E436B8"/>
    <w:rsid w:val="00E43894"/>
    <w:rsid w:val="00E440A1"/>
    <w:rsid w:val="00E44391"/>
    <w:rsid w:val="00E45147"/>
    <w:rsid w:val="00E4544C"/>
    <w:rsid w:val="00E45841"/>
    <w:rsid w:val="00E45C7C"/>
    <w:rsid w:val="00E46187"/>
    <w:rsid w:val="00E46259"/>
    <w:rsid w:val="00E46A65"/>
    <w:rsid w:val="00E47282"/>
    <w:rsid w:val="00E50588"/>
    <w:rsid w:val="00E51AA1"/>
    <w:rsid w:val="00E51D3E"/>
    <w:rsid w:val="00E51E7A"/>
    <w:rsid w:val="00E52029"/>
    <w:rsid w:val="00E522B0"/>
    <w:rsid w:val="00E5241C"/>
    <w:rsid w:val="00E53062"/>
    <w:rsid w:val="00E530AE"/>
    <w:rsid w:val="00E530B6"/>
    <w:rsid w:val="00E53AB5"/>
    <w:rsid w:val="00E55161"/>
    <w:rsid w:val="00E5558C"/>
    <w:rsid w:val="00E55A79"/>
    <w:rsid w:val="00E5609B"/>
    <w:rsid w:val="00E561CF"/>
    <w:rsid w:val="00E562C7"/>
    <w:rsid w:val="00E566DE"/>
    <w:rsid w:val="00E56D99"/>
    <w:rsid w:val="00E575FE"/>
    <w:rsid w:val="00E57F7D"/>
    <w:rsid w:val="00E60560"/>
    <w:rsid w:val="00E62648"/>
    <w:rsid w:val="00E62B5F"/>
    <w:rsid w:val="00E62D38"/>
    <w:rsid w:val="00E6320F"/>
    <w:rsid w:val="00E6335B"/>
    <w:rsid w:val="00E633B4"/>
    <w:rsid w:val="00E6340F"/>
    <w:rsid w:val="00E639C5"/>
    <w:rsid w:val="00E64823"/>
    <w:rsid w:val="00E64959"/>
    <w:rsid w:val="00E654CD"/>
    <w:rsid w:val="00E654F3"/>
    <w:rsid w:val="00E660BD"/>
    <w:rsid w:val="00E66620"/>
    <w:rsid w:val="00E66703"/>
    <w:rsid w:val="00E66782"/>
    <w:rsid w:val="00E6718D"/>
    <w:rsid w:val="00E67404"/>
    <w:rsid w:val="00E679F7"/>
    <w:rsid w:val="00E70017"/>
    <w:rsid w:val="00E7036F"/>
    <w:rsid w:val="00E70E55"/>
    <w:rsid w:val="00E71795"/>
    <w:rsid w:val="00E71A8A"/>
    <w:rsid w:val="00E72EED"/>
    <w:rsid w:val="00E731FD"/>
    <w:rsid w:val="00E736A1"/>
    <w:rsid w:val="00E73E15"/>
    <w:rsid w:val="00E73EDC"/>
    <w:rsid w:val="00E744A5"/>
    <w:rsid w:val="00E74D58"/>
    <w:rsid w:val="00E74DCF"/>
    <w:rsid w:val="00E74FB8"/>
    <w:rsid w:val="00E7535C"/>
    <w:rsid w:val="00E757C3"/>
    <w:rsid w:val="00E75A6B"/>
    <w:rsid w:val="00E75D4C"/>
    <w:rsid w:val="00E75ED9"/>
    <w:rsid w:val="00E75F72"/>
    <w:rsid w:val="00E76792"/>
    <w:rsid w:val="00E76AE8"/>
    <w:rsid w:val="00E76BE4"/>
    <w:rsid w:val="00E76EC6"/>
    <w:rsid w:val="00E778A8"/>
    <w:rsid w:val="00E779C0"/>
    <w:rsid w:val="00E77BA0"/>
    <w:rsid w:val="00E77EEF"/>
    <w:rsid w:val="00E80855"/>
    <w:rsid w:val="00E813F3"/>
    <w:rsid w:val="00E82089"/>
    <w:rsid w:val="00E824D6"/>
    <w:rsid w:val="00E824FC"/>
    <w:rsid w:val="00E82765"/>
    <w:rsid w:val="00E82A02"/>
    <w:rsid w:val="00E832CF"/>
    <w:rsid w:val="00E84183"/>
    <w:rsid w:val="00E84916"/>
    <w:rsid w:val="00E85EF7"/>
    <w:rsid w:val="00E86033"/>
    <w:rsid w:val="00E860FB"/>
    <w:rsid w:val="00E86325"/>
    <w:rsid w:val="00E86489"/>
    <w:rsid w:val="00E868E9"/>
    <w:rsid w:val="00E87994"/>
    <w:rsid w:val="00E87AF3"/>
    <w:rsid w:val="00E87DF6"/>
    <w:rsid w:val="00E87E06"/>
    <w:rsid w:val="00E90019"/>
    <w:rsid w:val="00E90040"/>
    <w:rsid w:val="00E905EF"/>
    <w:rsid w:val="00E90D55"/>
    <w:rsid w:val="00E917CF"/>
    <w:rsid w:val="00E91D5D"/>
    <w:rsid w:val="00E91DBE"/>
    <w:rsid w:val="00E922B1"/>
    <w:rsid w:val="00E92BC1"/>
    <w:rsid w:val="00E93D79"/>
    <w:rsid w:val="00E941DA"/>
    <w:rsid w:val="00E94437"/>
    <w:rsid w:val="00E944BF"/>
    <w:rsid w:val="00E948F1"/>
    <w:rsid w:val="00E95042"/>
    <w:rsid w:val="00E963D2"/>
    <w:rsid w:val="00E9685D"/>
    <w:rsid w:val="00E97864"/>
    <w:rsid w:val="00E97A84"/>
    <w:rsid w:val="00E97B78"/>
    <w:rsid w:val="00EA03B7"/>
    <w:rsid w:val="00EA059C"/>
    <w:rsid w:val="00EA0B59"/>
    <w:rsid w:val="00EA153E"/>
    <w:rsid w:val="00EA1B16"/>
    <w:rsid w:val="00EA1E30"/>
    <w:rsid w:val="00EA1EC8"/>
    <w:rsid w:val="00EA2767"/>
    <w:rsid w:val="00EA2CC1"/>
    <w:rsid w:val="00EA41DE"/>
    <w:rsid w:val="00EA43C2"/>
    <w:rsid w:val="00EA44DD"/>
    <w:rsid w:val="00EA48C7"/>
    <w:rsid w:val="00EA646F"/>
    <w:rsid w:val="00EA69A7"/>
    <w:rsid w:val="00EA6A68"/>
    <w:rsid w:val="00EA75B5"/>
    <w:rsid w:val="00EA7C69"/>
    <w:rsid w:val="00EB040B"/>
    <w:rsid w:val="00EB0A9F"/>
    <w:rsid w:val="00EB0EC6"/>
    <w:rsid w:val="00EB0F13"/>
    <w:rsid w:val="00EB13DD"/>
    <w:rsid w:val="00EB1979"/>
    <w:rsid w:val="00EB1A3F"/>
    <w:rsid w:val="00EB1A5E"/>
    <w:rsid w:val="00EB1DBC"/>
    <w:rsid w:val="00EB2601"/>
    <w:rsid w:val="00EB2DD6"/>
    <w:rsid w:val="00EB343C"/>
    <w:rsid w:val="00EB37EF"/>
    <w:rsid w:val="00EB409E"/>
    <w:rsid w:val="00EB561A"/>
    <w:rsid w:val="00EB5773"/>
    <w:rsid w:val="00EB5EE1"/>
    <w:rsid w:val="00EB61BB"/>
    <w:rsid w:val="00EB6B93"/>
    <w:rsid w:val="00EB721D"/>
    <w:rsid w:val="00EB7361"/>
    <w:rsid w:val="00EB7E9E"/>
    <w:rsid w:val="00EB7F8B"/>
    <w:rsid w:val="00EC0142"/>
    <w:rsid w:val="00EC0252"/>
    <w:rsid w:val="00EC0A67"/>
    <w:rsid w:val="00EC0D03"/>
    <w:rsid w:val="00EC106F"/>
    <w:rsid w:val="00EC1702"/>
    <w:rsid w:val="00EC1937"/>
    <w:rsid w:val="00EC2961"/>
    <w:rsid w:val="00EC2F09"/>
    <w:rsid w:val="00EC33D8"/>
    <w:rsid w:val="00EC363D"/>
    <w:rsid w:val="00EC402C"/>
    <w:rsid w:val="00EC4079"/>
    <w:rsid w:val="00EC43AA"/>
    <w:rsid w:val="00EC4421"/>
    <w:rsid w:val="00EC4A20"/>
    <w:rsid w:val="00EC4D0B"/>
    <w:rsid w:val="00EC4E45"/>
    <w:rsid w:val="00EC4E62"/>
    <w:rsid w:val="00EC585B"/>
    <w:rsid w:val="00EC641B"/>
    <w:rsid w:val="00EC68C1"/>
    <w:rsid w:val="00EC6A5B"/>
    <w:rsid w:val="00EC6EB2"/>
    <w:rsid w:val="00EC6F5C"/>
    <w:rsid w:val="00EC78D7"/>
    <w:rsid w:val="00EC7944"/>
    <w:rsid w:val="00ED0A6D"/>
    <w:rsid w:val="00ED0B35"/>
    <w:rsid w:val="00ED0D4A"/>
    <w:rsid w:val="00ED1212"/>
    <w:rsid w:val="00ED169B"/>
    <w:rsid w:val="00ED1D21"/>
    <w:rsid w:val="00ED2B5D"/>
    <w:rsid w:val="00ED3C00"/>
    <w:rsid w:val="00ED49EB"/>
    <w:rsid w:val="00ED4B24"/>
    <w:rsid w:val="00ED4DA5"/>
    <w:rsid w:val="00ED5E5C"/>
    <w:rsid w:val="00ED7484"/>
    <w:rsid w:val="00ED748C"/>
    <w:rsid w:val="00ED7955"/>
    <w:rsid w:val="00ED7993"/>
    <w:rsid w:val="00ED7D25"/>
    <w:rsid w:val="00ED7E92"/>
    <w:rsid w:val="00ED7FB9"/>
    <w:rsid w:val="00EE004E"/>
    <w:rsid w:val="00EE07D9"/>
    <w:rsid w:val="00EE0BD5"/>
    <w:rsid w:val="00EE0DE2"/>
    <w:rsid w:val="00EE1369"/>
    <w:rsid w:val="00EE1802"/>
    <w:rsid w:val="00EE1B13"/>
    <w:rsid w:val="00EE1FB9"/>
    <w:rsid w:val="00EE222E"/>
    <w:rsid w:val="00EE243E"/>
    <w:rsid w:val="00EE2A17"/>
    <w:rsid w:val="00EE2E60"/>
    <w:rsid w:val="00EE354D"/>
    <w:rsid w:val="00EE3752"/>
    <w:rsid w:val="00EE37F7"/>
    <w:rsid w:val="00EE3B5C"/>
    <w:rsid w:val="00EE50E2"/>
    <w:rsid w:val="00EE54F4"/>
    <w:rsid w:val="00EE5709"/>
    <w:rsid w:val="00EE5985"/>
    <w:rsid w:val="00EE5AB5"/>
    <w:rsid w:val="00EE5C54"/>
    <w:rsid w:val="00EE6C2D"/>
    <w:rsid w:val="00EE762F"/>
    <w:rsid w:val="00EE79BA"/>
    <w:rsid w:val="00EE7A9A"/>
    <w:rsid w:val="00EF01C4"/>
    <w:rsid w:val="00EF05FF"/>
    <w:rsid w:val="00EF08FF"/>
    <w:rsid w:val="00EF0D21"/>
    <w:rsid w:val="00EF0FF3"/>
    <w:rsid w:val="00EF1143"/>
    <w:rsid w:val="00EF1341"/>
    <w:rsid w:val="00EF1793"/>
    <w:rsid w:val="00EF192C"/>
    <w:rsid w:val="00EF1BAC"/>
    <w:rsid w:val="00EF1D62"/>
    <w:rsid w:val="00EF20D9"/>
    <w:rsid w:val="00EF33C3"/>
    <w:rsid w:val="00EF37A2"/>
    <w:rsid w:val="00EF3C5A"/>
    <w:rsid w:val="00EF3CE4"/>
    <w:rsid w:val="00EF4489"/>
    <w:rsid w:val="00EF455F"/>
    <w:rsid w:val="00EF4676"/>
    <w:rsid w:val="00EF4ABB"/>
    <w:rsid w:val="00EF4CC1"/>
    <w:rsid w:val="00EF4F4B"/>
    <w:rsid w:val="00EF5054"/>
    <w:rsid w:val="00EF55CA"/>
    <w:rsid w:val="00EF6482"/>
    <w:rsid w:val="00EF6CAD"/>
    <w:rsid w:val="00EF76C7"/>
    <w:rsid w:val="00EF7EF1"/>
    <w:rsid w:val="00F0014B"/>
    <w:rsid w:val="00F00448"/>
    <w:rsid w:val="00F00928"/>
    <w:rsid w:val="00F00E7C"/>
    <w:rsid w:val="00F01467"/>
    <w:rsid w:val="00F01D65"/>
    <w:rsid w:val="00F023E8"/>
    <w:rsid w:val="00F02632"/>
    <w:rsid w:val="00F028E3"/>
    <w:rsid w:val="00F02B2D"/>
    <w:rsid w:val="00F02D3A"/>
    <w:rsid w:val="00F02E5F"/>
    <w:rsid w:val="00F03F8C"/>
    <w:rsid w:val="00F043F9"/>
    <w:rsid w:val="00F04677"/>
    <w:rsid w:val="00F048E7"/>
    <w:rsid w:val="00F0496B"/>
    <w:rsid w:val="00F04973"/>
    <w:rsid w:val="00F04B3A"/>
    <w:rsid w:val="00F04D0A"/>
    <w:rsid w:val="00F050A0"/>
    <w:rsid w:val="00F051CF"/>
    <w:rsid w:val="00F0533B"/>
    <w:rsid w:val="00F05BA1"/>
    <w:rsid w:val="00F06360"/>
    <w:rsid w:val="00F06B17"/>
    <w:rsid w:val="00F06B41"/>
    <w:rsid w:val="00F07267"/>
    <w:rsid w:val="00F1058C"/>
    <w:rsid w:val="00F10D43"/>
    <w:rsid w:val="00F115B8"/>
    <w:rsid w:val="00F117FC"/>
    <w:rsid w:val="00F11848"/>
    <w:rsid w:val="00F1248A"/>
    <w:rsid w:val="00F12DCD"/>
    <w:rsid w:val="00F13DD3"/>
    <w:rsid w:val="00F14499"/>
    <w:rsid w:val="00F14597"/>
    <w:rsid w:val="00F147E3"/>
    <w:rsid w:val="00F149EA"/>
    <w:rsid w:val="00F14BDE"/>
    <w:rsid w:val="00F15814"/>
    <w:rsid w:val="00F158E2"/>
    <w:rsid w:val="00F15A30"/>
    <w:rsid w:val="00F16248"/>
    <w:rsid w:val="00F16301"/>
    <w:rsid w:val="00F16BEF"/>
    <w:rsid w:val="00F16C7C"/>
    <w:rsid w:val="00F1743D"/>
    <w:rsid w:val="00F175A6"/>
    <w:rsid w:val="00F17604"/>
    <w:rsid w:val="00F176E7"/>
    <w:rsid w:val="00F17F1B"/>
    <w:rsid w:val="00F202C0"/>
    <w:rsid w:val="00F20F49"/>
    <w:rsid w:val="00F2187F"/>
    <w:rsid w:val="00F2207E"/>
    <w:rsid w:val="00F22A21"/>
    <w:rsid w:val="00F22E3C"/>
    <w:rsid w:val="00F22E5D"/>
    <w:rsid w:val="00F23588"/>
    <w:rsid w:val="00F235C9"/>
    <w:rsid w:val="00F237C2"/>
    <w:rsid w:val="00F23808"/>
    <w:rsid w:val="00F23C1D"/>
    <w:rsid w:val="00F23D7E"/>
    <w:rsid w:val="00F23F31"/>
    <w:rsid w:val="00F254EB"/>
    <w:rsid w:val="00F25857"/>
    <w:rsid w:val="00F25C8C"/>
    <w:rsid w:val="00F272E8"/>
    <w:rsid w:val="00F27789"/>
    <w:rsid w:val="00F27B3D"/>
    <w:rsid w:val="00F27C7C"/>
    <w:rsid w:val="00F30731"/>
    <w:rsid w:val="00F30997"/>
    <w:rsid w:val="00F30CF4"/>
    <w:rsid w:val="00F31641"/>
    <w:rsid w:val="00F32216"/>
    <w:rsid w:val="00F3227A"/>
    <w:rsid w:val="00F32E31"/>
    <w:rsid w:val="00F32E3F"/>
    <w:rsid w:val="00F337FE"/>
    <w:rsid w:val="00F33DE2"/>
    <w:rsid w:val="00F33E60"/>
    <w:rsid w:val="00F3436A"/>
    <w:rsid w:val="00F34403"/>
    <w:rsid w:val="00F3456C"/>
    <w:rsid w:val="00F3461D"/>
    <w:rsid w:val="00F346CC"/>
    <w:rsid w:val="00F35391"/>
    <w:rsid w:val="00F35472"/>
    <w:rsid w:val="00F35707"/>
    <w:rsid w:val="00F3729E"/>
    <w:rsid w:val="00F37AB3"/>
    <w:rsid w:val="00F37EB9"/>
    <w:rsid w:val="00F40088"/>
    <w:rsid w:val="00F40DF7"/>
    <w:rsid w:val="00F40EC5"/>
    <w:rsid w:val="00F410A3"/>
    <w:rsid w:val="00F410E1"/>
    <w:rsid w:val="00F4158C"/>
    <w:rsid w:val="00F416A2"/>
    <w:rsid w:val="00F4187B"/>
    <w:rsid w:val="00F41F2F"/>
    <w:rsid w:val="00F4242E"/>
    <w:rsid w:val="00F42519"/>
    <w:rsid w:val="00F42AA2"/>
    <w:rsid w:val="00F43861"/>
    <w:rsid w:val="00F4395C"/>
    <w:rsid w:val="00F43BC7"/>
    <w:rsid w:val="00F44E5F"/>
    <w:rsid w:val="00F44F16"/>
    <w:rsid w:val="00F454CF"/>
    <w:rsid w:val="00F45AC5"/>
    <w:rsid w:val="00F45E54"/>
    <w:rsid w:val="00F4611C"/>
    <w:rsid w:val="00F46BBA"/>
    <w:rsid w:val="00F47ECC"/>
    <w:rsid w:val="00F50151"/>
    <w:rsid w:val="00F50AE2"/>
    <w:rsid w:val="00F51020"/>
    <w:rsid w:val="00F51378"/>
    <w:rsid w:val="00F51B78"/>
    <w:rsid w:val="00F52111"/>
    <w:rsid w:val="00F52974"/>
    <w:rsid w:val="00F535C5"/>
    <w:rsid w:val="00F53AAC"/>
    <w:rsid w:val="00F53AD4"/>
    <w:rsid w:val="00F5495D"/>
    <w:rsid w:val="00F54965"/>
    <w:rsid w:val="00F54B1C"/>
    <w:rsid w:val="00F5551D"/>
    <w:rsid w:val="00F565B9"/>
    <w:rsid w:val="00F56971"/>
    <w:rsid w:val="00F574B6"/>
    <w:rsid w:val="00F57657"/>
    <w:rsid w:val="00F57775"/>
    <w:rsid w:val="00F578E0"/>
    <w:rsid w:val="00F579E6"/>
    <w:rsid w:val="00F57EE7"/>
    <w:rsid w:val="00F60E8B"/>
    <w:rsid w:val="00F6108E"/>
    <w:rsid w:val="00F61472"/>
    <w:rsid w:val="00F61C9F"/>
    <w:rsid w:val="00F61CC9"/>
    <w:rsid w:val="00F61DDC"/>
    <w:rsid w:val="00F622F8"/>
    <w:rsid w:val="00F632A5"/>
    <w:rsid w:val="00F63339"/>
    <w:rsid w:val="00F634F8"/>
    <w:rsid w:val="00F6369B"/>
    <w:rsid w:val="00F637B8"/>
    <w:rsid w:val="00F64843"/>
    <w:rsid w:val="00F65353"/>
    <w:rsid w:val="00F65361"/>
    <w:rsid w:val="00F65648"/>
    <w:rsid w:val="00F65900"/>
    <w:rsid w:val="00F65A38"/>
    <w:rsid w:val="00F66115"/>
    <w:rsid w:val="00F66B6E"/>
    <w:rsid w:val="00F67172"/>
    <w:rsid w:val="00F6757B"/>
    <w:rsid w:val="00F67D79"/>
    <w:rsid w:val="00F70007"/>
    <w:rsid w:val="00F70C04"/>
    <w:rsid w:val="00F70FCE"/>
    <w:rsid w:val="00F71398"/>
    <w:rsid w:val="00F71790"/>
    <w:rsid w:val="00F719D3"/>
    <w:rsid w:val="00F71BE6"/>
    <w:rsid w:val="00F7239B"/>
    <w:rsid w:val="00F724B9"/>
    <w:rsid w:val="00F7298C"/>
    <w:rsid w:val="00F72C4B"/>
    <w:rsid w:val="00F730B4"/>
    <w:rsid w:val="00F730DE"/>
    <w:rsid w:val="00F73C5A"/>
    <w:rsid w:val="00F740DE"/>
    <w:rsid w:val="00F74406"/>
    <w:rsid w:val="00F7474E"/>
    <w:rsid w:val="00F75362"/>
    <w:rsid w:val="00F763BD"/>
    <w:rsid w:val="00F76899"/>
    <w:rsid w:val="00F77939"/>
    <w:rsid w:val="00F77B8F"/>
    <w:rsid w:val="00F802DE"/>
    <w:rsid w:val="00F80380"/>
    <w:rsid w:val="00F80515"/>
    <w:rsid w:val="00F80954"/>
    <w:rsid w:val="00F8215E"/>
    <w:rsid w:val="00F8256E"/>
    <w:rsid w:val="00F828E9"/>
    <w:rsid w:val="00F82A23"/>
    <w:rsid w:val="00F82C51"/>
    <w:rsid w:val="00F82CAE"/>
    <w:rsid w:val="00F82FB3"/>
    <w:rsid w:val="00F83300"/>
    <w:rsid w:val="00F8398F"/>
    <w:rsid w:val="00F83E03"/>
    <w:rsid w:val="00F84058"/>
    <w:rsid w:val="00F8406F"/>
    <w:rsid w:val="00F84542"/>
    <w:rsid w:val="00F84BC1"/>
    <w:rsid w:val="00F851F3"/>
    <w:rsid w:val="00F85311"/>
    <w:rsid w:val="00F85510"/>
    <w:rsid w:val="00F85513"/>
    <w:rsid w:val="00F85DCC"/>
    <w:rsid w:val="00F865F8"/>
    <w:rsid w:val="00F866EC"/>
    <w:rsid w:val="00F86820"/>
    <w:rsid w:val="00F86EE3"/>
    <w:rsid w:val="00F87055"/>
    <w:rsid w:val="00F8730A"/>
    <w:rsid w:val="00F9014E"/>
    <w:rsid w:val="00F901D5"/>
    <w:rsid w:val="00F90359"/>
    <w:rsid w:val="00F907B3"/>
    <w:rsid w:val="00F908A2"/>
    <w:rsid w:val="00F9094A"/>
    <w:rsid w:val="00F90BDB"/>
    <w:rsid w:val="00F913AF"/>
    <w:rsid w:val="00F91435"/>
    <w:rsid w:val="00F914BF"/>
    <w:rsid w:val="00F91509"/>
    <w:rsid w:val="00F91885"/>
    <w:rsid w:val="00F92025"/>
    <w:rsid w:val="00F93CB3"/>
    <w:rsid w:val="00F93D9A"/>
    <w:rsid w:val="00F93FB2"/>
    <w:rsid w:val="00F9418C"/>
    <w:rsid w:val="00F94464"/>
    <w:rsid w:val="00F94697"/>
    <w:rsid w:val="00F94EBD"/>
    <w:rsid w:val="00F952FE"/>
    <w:rsid w:val="00F95793"/>
    <w:rsid w:val="00F9612D"/>
    <w:rsid w:val="00F966A5"/>
    <w:rsid w:val="00F96849"/>
    <w:rsid w:val="00F969EF"/>
    <w:rsid w:val="00F96E6C"/>
    <w:rsid w:val="00F97097"/>
    <w:rsid w:val="00F974BE"/>
    <w:rsid w:val="00F97D72"/>
    <w:rsid w:val="00FA05F8"/>
    <w:rsid w:val="00FA0D72"/>
    <w:rsid w:val="00FA0FFB"/>
    <w:rsid w:val="00FA1521"/>
    <w:rsid w:val="00FA1D1B"/>
    <w:rsid w:val="00FA222C"/>
    <w:rsid w:val="00FA26C7"/>
    <w:rsid w:val="00FA2FAE"/>
    <w:rsid w:val="00FA35BE"/>
    <w:rsid w:val="00FA36EF"/>
    <w:rsid w:val="00FA3BA8"/>
    <w:rsid w:val="00FA3F84"/>
    <w:rsid w:val="00FA4C6E"/>
    <w:rsid w:val="00FA4FFE"/>
    <w:rsid w:val="00FA51EB"/>
    <w:rsid w:val="00FA550B"/>
    <w:rsid w:val="00FA5928"/>
    <w:rsid w:val="00FA623F"/>
    <w:rsid w:val="00FA6B28"/>
    <w:rsid w:val="00FA714C"/>
    <w:rsid w:val="00FA79CE"/>
    <w:rsid w:val="00FA7B46"/>
    <w:rsid w:val="00FA7D7C"/>
    <w:rsid w:val="00FB02CC"/>
    <w:rsid w:val="00FB20D3"/>
    <w:rsid w:val="00FB22E5"/>
    <w:rsid w:val="00FB3006"/>
    <w:rsid w:val="00FB3AC4"/>
    <w:rsid w:val="00FB3CDB"/>
    <w:rsid w:val="00FB4279"/>
    <w:rsid w:val="00FB4330"/>
    <w:rsid w:val="00FB443F"/>
    <w:rsid w:val="00FB4496"/>
    <w:rsid w:val="00FB45C5"/>
    <w:rsid w:val="00FB4F38"/>
    <w:rsid w:val="00FB5381"/>
    <w:rsid w:val="00FB552D"/>
    <w:rsid w:val="00FB6A7D"/>
    <w:rsid w:val="00FB776E"/>
    <w:rsid w:val="00FB791D"/>
    <w:rsid w:val="00FB7CDD"/>
    <w:rsid w:val="00FC0159"/>
    <w:rsid w:val="00FC03C5"/>
    <w:rsid w:val="00FC078B"/>
    <w:rsid w:val="00FC0A77"/>
    <w:rsid w:val="00FC101B"/>
    <w:rsid w:val="00FC18D0"/>
    <w:rsid w:val="00FC2324"/>
    <w:rsid w:val="00FC2461"/>
    <w:rsid w:val="00FC2B8E"/>
    <w:rsid w:val="00FC2C06"/>
    <w:rsid w:val="00FC3779"/>
    <w:rsid w:val="00FC384C"/>
    <w:rsid w:val="00FC3A77"/>
    <w:rsid w:val="00FC3C23"/>
    <w:rsid w:val="00FC42C9"/>
    <w:rsid w:val="00FC4550"/>
    <w:rsid w:val="00FC4EEF"/>
    <w:rsid w:val="00FC4F80"/>
    <w:rsid w:val="00FC5125"/>
    <w:rsid w:val="00FC51FF"/>
    <w:rsid w:val="00FC5E52"/>
    <w:rsid w:val="00FC5FB4"/>
    <w:rsid w:val="00FC6544"/>
    <w:rsid w:val="00FC67F8"/>
    <w:rsid w:val="00FC6EB7"/>
    <w:rsid w:val="00FC742E"/>
    <w:rsid w:val="00FC7D61"/>
    <w:rsid w:val="00FC7E74"/>
    <w:rsid w:val="00FD0264"/>
    <w:rsid w:val="00FD0D02"/>
    <w:rsid w:val="00FD0D84"/>
    <w:rsid w:val="00FD109E"/>
    <w:rsid w:val="00FD1524"/>
    <w:rsid w:val="00FD2443"/>
    <w:rsid w:val="00FD356B"/>
    <w:rsid w:val="00FD3B6B"/>
    <w:rsid w:val="00FD44DB"/>
    <w:rsid w:val="00FD479E"/>
    <w:rsid w:val="00FD47D1"/>
    <w:rsid w:val="00FD49C9"/>
    <w:rsid w:val="00FD4D08"/>
    <w:rsid w:val="00FD57F3"/>
    <w:rsid w:val="00FD5ADC"/>
    <w:rsid w:val="00FD5FB3"/>
    <w:rsid w:val="00FD6582"/>
    <w:rsid w:val="00FD6C60"/>
    <w:rsid w:val="00FD6CE3"/>
    <w:rsid w:val="00FD7820"/>
    <w:rsid w:val="00FD79E2"/>
    <w:rsid w:val="00FD7A43"/>
    <w:rsid w:val="00FD7DDA"/>
    <w:rsid w:val="00FE01BF"/>
    <w:rsid w:val="00FE1E9F"/>
    <w:rsid w:val="00FE3134"/>
    <w:rsid w:val="00FE40AE"/>
    <w:rsid w:val="00FE45A3"/>
    <w:rsid w:val="00FE55E8"/>
    <w:rsid w:val="00FE5BC9"/>
    <w:rsid w:val="00FE6D74"/>
    <w:rsid w:val="00FE790F"/>
    <w:rsid w:val="00FF0833"/>
    <w:rsid w:val="00FF0CE8"/>
    <w:rsid w:val="00FF129C"/>
    <w:rsid w:val="00FF1EC8"/>
    <w:rsid w:val="00FF23F0"/>
    <w:rsid w:val="00FF2C74"/>
    <w:rsid w:val="00FF2F27"/>
    <w:rsid w:val="00FF2FA1"/>
    <w:rsid w:val="00FF48BE"/>
    <w:rsid w:val="00FF50AE"/>
    <w:rsid w:val="00FF50CA"/>
    <w:rsid w:val="00FF51DF"/>
    <w:rsid w:val="00FF5E97"/>
    <w:rsid w:val="00FF61B0"/>
    <w:rsid w:val="00FF61FF"/>
    <w:rsid w:val="00FF6E79"/>
    <w:rsid w:val="00FF6F65"/>
    <w:rsid w:val="00FF720E"/>
    <w:rsid w:val="00FF7552"/>
    <w:rsid w:val="00FF767E"/>
    <w:rsid w:val="00FF7804"/>
    <w:rsid w:val="00FF7BC8"/>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0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6B"/>
    <w:rPr>
      <w:rFonts w:asciiTheme="minorHAnsi" w:hAnsiTheme="minorHAnsi"/>
      <w:sz w:val="22"/>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E7FD3"/>
    <w:pPr>
      <w:shd w:val="clear" w:color="auto" w:fill="000080"/>
    </w:pPr>
    <w:rPr>
      <w:rFonts w:ascii="Tahoma" w:hAnsi="Tahoma" w:cs="Tahoma"/>
    </w:rPr>
  </w:style>
  <w:style w:type="paragraph" w:styleId="BalloonText">
    <w:name w:val="Balloon Text"/>
    <w:basedOn w:val="Normal"/>
    <w:link w:val="BalloonTextChar"/>
    <w:semiHidden/>
    <w:rsid w:val="00CE7FD3"/>
    <w:rPr>
      <w:rFonts w:ascii="Tahoma" w:hAnsi="Tahoma" w:cs="Tahoma"/>
      <w:sz w:val="16"/>
      <w:szCs w:val="16"/>
    </w:rPr>
  </w:style>
  <w:style w:type="paragraph" w:styleId="Header">
    <w:name w:val="header"/>
    <w:basedOn w:val="Normal"/>
    <w:link w:val="HeaderChar"/>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semiHidden/>
    <w:rsid w:val="004E1F2B"/>
    <w:rPr>
      <w:sz w:val="20"/>
      <w:szCs w:val="20"/>
    </w:rPr>
  </w:style>
  <w:style w:type="character" w:styleId="FootnoteReference">
    <w:name w:val="footnote reference"/>
    <w:basedOn w:val="DefaultParagraphFont"/>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rsid w:val="009E5246"/>
    <w:pPr>
      <w:spacing w:after="200"/>
    </w:pPr>
    <w:rPr>
      <w:sz w:val="24"/>
      <w:szCs w:val="24"/>
      <w:lang w:val="en-GB" w:eastAsia="en-US"/>
    </w:rPr>
  </w:style>
  <w:style w:type="paragraph" w:styleId="BodyText">
    <w:name w:val="Body Text"/>
    <w:basedOn w:val="Normal"/>
    <w:link w:val="BodyTextChar"/>
    <w:rsid w:val="005E4616"/>
    <w:rPr>
      <w:szCs w:val="20"/>
      <w:lang w:val="en-US" w:bidi="ar-SA"/>
    </w:rPr>
  </w:style>
  <w:style w:type="character" w:customStyle="1" w:styleId="BodyTextChar">
    <w:name w:val="Body Text Char"/>
    <w:basedOn w:val="DefaultParagraphFont"/>
    <w:link w:val="BodyText"/>
    <w:rsid w:val="005E4616"/>
    <w:rPr>
      <w:sz w:val="24"/>
      <w:lang w:val="en-US" w:eastAsia="en-US"/>
    </w:rPr>
  </w:style>
  <w:style w:type="paragraph" w:styleId="ListParagraph">
    <w:name w:val="List Paragraph"/>
    <w:basedOn w:val="Normal"/>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semiHidden/>
    <w:rsid w:val="00980246"/>
    <w:rPr>
      <w:rFonts w:ascii="Tahoma" w:hAnsi="Tahoma" w:cs="Tahoma"/>
      <w:sz w:val="16"/>
      <w:szCs w:val="16"/>
      <w:lang w:eastAsia="en-US" w:bidi="he-IL"/>
    </w:rPr>
  </w:style>
  <w:style w:type="character" w:customStyle="1" w:styleId="HeaderChar">
    <w:name w:val="Header Char"/>
    <w:basedOn w:val="DefaultParagraphFont"/>
    <w:link w:val="Header"/>
    <w:rsid w:val="00980246"/>
    <w:rPr>
      <w:sz w:val="24"/>
      <w:szCs w:val="24"/>
      <w:lang w:eastAsia="en-US" w:bidi="he-IL"/>
    </w:rPr>
  </w:style>
  <w:style w:type="character" w:customStyle="1" w:styleId="FootnoteTextChar">
    <w:name w:val="Footnote Text Char"/>
    <w:basedOn w:val="DefaultParagraphFont"/>
    <w:link w:val="FootnoteText"/>
    <w:semiHidden/>
    <w:rsid w:val="00980246"/>
    <w:rPr>
      <w:lang w:eastAsia="en-US" w:bidi="he-IL"/>
    </w:rPr>
  </w:style>
  <w:style w:type="character" w:customStyle="1" w:styleId="CommentSubjectChar">
    <w:name w:val="Comment Subject Char"/>
    <w:basedOn w:val="CommentTextChar"/>
    <w:link w:val="CommentSubject"/>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EB2DD6"/>
    <w:pPr>
      <w:spacing w:before="120"/>
      <w:jc w:val="left"/>
    </w:pPr>
    <w:rPr>
      <w:b/>
      <w:sz w:val="24"/>
    </w:rPr>
  </w:style>
  <w:style w:type="paragraph" w:styleId="TOC2">
    <w:name w:val="toc 2"/>
    <w:basedOn w:val="Normal"/>
    <w:next w:val="Normal"/>
    <w:autoRedefine/>
    <w:uiPriority w:val="39"/>
    <w:unhideWhenUsed/>
    <w:rsid w:val="00EB2DD6"/>
    <w:pPr>
      <w:ind w:left="220"/>
      <w:jc w:val="left"/>
    </w:pPr>
    <w:rPr>
      <w:b/>
      <w:szCs w:val="22"/>
    </w:rPr>
  </w:style>
  <w:style w:type="paragraph" w:styleId="TOC3">
    <w:name w:val="toc 3"/>
    <w:basedOn w:val="Normal"/>
    <w:next w:val="Normal"/>
    <w:autoRedefine/>
    <w:uiPriority w:val="39"/>
    <w:unhideWhenUsed/>
    <w:rsid w:val="00EB2DD6"/>
    <w:pPr>
      <w:ind w:left="440"/>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6B"/>
    <w:rPr>
      <w:rFonts w:asciiTheme="minorHAnsi" w:hAnsiTheme="minorHAnsi"/>
      <w:sz w:val="22"/>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E7FD3"/>
    <w:pPr>
      <w:shd w:val="clear" w:color="auto" w:fill="000080"/>
    </w:pPr>
    <w:rPr>
      <w:rFonts w:ascii="Tahoma" w:hAnsi="Tahoma" w:cs="Tahoma"/>
    </w:rPr>
  </w:style>
  <w:style w:type="paragraph" w:styleId="BalloonText">
    <w:name w:val="Balloon Text"/>
    <w:basedOn w:val="Normal"/>
    <w:link w:val="BalloonTextChar"/>
    <w:semiHidden/>
    <w:rsid w:val="00CE7FD3"/>
    <w:rPr>
      <w:rFonts w:ascii="Tahoma" w:hAnsi="Tahoma" w:cs="Tahoma"/>
      <w:sz w:val="16"/>
      <w:szCs w:val="16"/>
    </w:rPr>
  </w:style>
  <w:style w:type="paragraph" w:styleId="Header">
    <w:name w:val="header"/>
    <w:basedOn w:val="Normal"/>
    <w:link w:val="HeaderChar"/>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semiHidden/>
    <w:rsid w:val="004E1F2B"/>
    <w:rPr>
      <w:sz w:val="20"/>
      <w:szCs w:val="20"/>
    </w:rPr>
  </w:style>
  <w:style w:type="character" w:styleId="FootnoteReference">
    <w:name w:val="footnote reference"/>
    <w:basedOn w:val="DefaultParagraphFont"/>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rsid w:val="009E5246"/>
    <w:pPr>
      <w:spacing w:after="200"/>
    </w:pPr>
    <w:rPr>
      <w:sz w:val="24"/>
      <w:szCs w:val="24"/>
      <w:lang w:val="en-GB" w:eastAsia="en-US"/>
    </w:rPr>
  </w:style>
  <w:style w:type="paragraph" w:styleId="BodyText">
    <w:name w:val="Body Text"/>
    <w:basedOn w:val="Normal"/>
    <w:link w:val="BodyTextChar"/>
    <w:rsid w:val="005E4616"/>
    <w:rPr>
      <w:szCs w:val="20"/>
      <w:lang w:val="en-US" w:bidi="ar-SA"/>
    </w:rPr>
  </w:style>
  <w:style w:type="character" w:customStyle="1" w:styleId="BodyTextChar">
    <w:name w:val="Body Text Char"/>
    <w:basedOn w:val="DefaultParagraphFont"/>
    <w:link w:val="BodyText"/>
    <w:rsid w:val="005E4616"/>
    <w:rPr>
      <w:sz w:val="24"/>
      <w:lang w:val="en-US" w:eastAsia="en-US"/>
    </w:rPr>
  </w:style>
  <w:style w:type="paragraph" w:styleId="ListParagraph">
    <w:name w:val="List Paragraph"/>
    <w:basedOn w:val="Normal"/>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semiHidden/>
    <w:rsid w:val="00980246"/>
    <w:rPr>
      <w:rFonts w:ascii="Tahoma" w:hAnsi="Tahoma" w:cs="Tahoma"/>
      <w:sz w:val="16"/>
      <w:szCs w:val="16"/>
      <w:lang w:eastAsia="en-US" w:bidi="he-IL"/>
    </w:rPr>
  </w:style>
  <w:style w:type="character" w:customStyle="1" w:styleId="HeaderChar">
    <w:name w:val="Header Char"/>
    <w:basedOn w:val="DefaultParagraphFont"/>
    <w:link w:val="Header"/>
    <w:rsid w:val="00980246"/>
    <w:rPr>
      <w:sz w:val="24"/>
      <w:szCs w:val="24"/>
      <w:lang w:eastAsia="en-US" w:bidi="he-IL"/>
    </w:rPr>
  </w:style>
  <w:style w:type="character" w:customStyle="1" w:styleId="FootnoteTextChar">
    <w:name w:val="Footnote Text Char"/>
    <w:basedOn w:val="DefaultParagraphFont"/>
    <w:link w:val="FootnoteText"/>
    <w:semiHidden/>
    <w:rsid w:val="00980246"/>
    <w:rPr>
      <w:lang w:eastAsia="en-US" w:bidi="he-IL"/>
    </w:rPr>
  </w:style>
  <w:style w:type="character" w:customStyle="1" w:styleId="CommentSubjectChar">
    <w:name w:val="Comment Subject Char"/>
    <w:basedOn w:val="CommentTextChar"/>
    <w:link w:val="CommentSubject"/>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EB2DD6"/>
    <w:pPr>
      <w:spacing w:before="120"/>
      <w:jc w:val="left"/>
    </w:pPr>
    <w:rPr>
      <w:b/>
      <w:sz w:val="24"/>
    </w:rPr>
  </w:style>
  <w:style w:type="paragraph" w:styleId="TOC2">
    <w:name w:val="toc 2"/>
    <w:basedOn w:val="Normal"/>
    <w:next w:val="Normal"/>
    <w:autoRedefine/>
    <w:uiPriority w:val="39"/>
    <w:unhideWhenUsed/>
    <w:rsid w:val="00EB2DD6"/>
    <w:pPr>
      <w:ind w:left="220"/>
      <w:jc w:val="left"/>
    </w:pPr>
    <w:rPr>
      <w:b/>
      <w:szCs w:val="22"/>
    </w:rPr>
  </w:style>
  <w:style w:type="paragraph" w:styleId="TOC3">
    <w:name w:val="toc 3"/>
    <w:basedOn w:val="Normal"/>
    <w:next w:val="Normal"/>
    <w:autoRedefine/>
    <w:uiPriority w:val="39"/>
    <w:unhideWhenUsed/>
    <w:rsid w:val="00EB2DD6"/>
    <w:pPr>
      <w:ind w:left="440"/>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928">
      <w:bodyDiv w:val="1"/>
      <w:marLeft w:val="0"/>
      <w:marRight w:val="0"/>
      <w:marTop w:val="0"/>
      <w:marBottom w:val="0"/>
      <w:divBdr>
        <w:top w:val="none" w:sz="0" w:space="0" w:color="auto"/>
        <w:left w:val="none" w:sz="0" w:space="0" w:color="auto"/>
        <w:bottom w:val="none" w:sz="0" w:space="0" w:color="auto"/>
        <w:right w:val="none" w:sz="0" w:space="0" w:color="auto"/>
      </w:divBdr>
    </w:div>
    <w:div w:id="19481019">
      <w:bodyDiv w:val="1"/>
      <w:marLeft w:val="0"/>
      <w:marRight w:val="0"/>
      <w:marTop w:val="0"/>
      <w:marBottom w:val="0"/>
      <w:divBdr>
        <w:top w:val="none" w:sz="0" w:space="0" w:color="auto"/>
        <w:left w:val="none" w:sz="0" w:space="0" w:color="auto"/>
        <w:bottom w:val="none" w:sz="0" w:space="0" w:color="auto"/>
        <w:right w:val="none" w:sz="0" w:space="0" w:color="auto"/>
      </w:divBdr>
    </w:div>
    <w:div w:id="38747662">
      <w:bodyDiv w:val="1"/>
      <w:marLeft w:val="0"/>
      <w:marRight w:val="0"/>
      <w:marTop w:val="0"/>
      <w:marBottom w:val="0"/>
      <w:divBdr>
        <w:top w:val="none" w:sz="0" w:space="0" w:color="auto"/>
        <w:left w:val="none" w:sz="0" w:space="0" w:color="auto"/>
        <w:bottom w:val="none" w:sz="0" w:space="0" w:color="auto"/>
        <w:right w:val="none" w:sz="0" w:space="0" w:color="auto"/>
      </w:divBdr>
    </w:div>
    <w:div w:id="76247826">
      <w:bodyDiv w:val="1"/>
      <w:marLeft w:val="0"/>
      <w:marRight w:val="0"/>
      <w:marTop w:val="0"/>
      <w:marBottom w:val="0"/>
      <w:divBdr>
        <w:top w:val="none" w:sz="0" w:space="0" w:color="auto"/>
        <w:left w:val="none" w:sz="0" w:space="0" w:color="auto"/>
        <w:bottom w:val="none" w:sz="0" w:space="0" w:color="auto"/>
        <w:right w:val="none" w:sz="0" w:space="0" w:color="auto"/>
      </w:divBdr>
    </w:div>
    <w:div w:id="84424373">
      <w:bodyDiv w:val="1"/>
      <w:marLeft w:val="0"/>
      <w:marRight w:val="0"/>
      <w:marTop w:val="0"/>
      <w:marBottom w:val="0"/>
      <w:divBdr>
        <w:top w:val="none" w:sz="0" w:space="0" w:color="auto"/>
        <w:left w:val="none" w:sz="0" w:space="0" w:color="auto"/>
        <w:bottom w:val="none" w:sz="0" w:space="0" w:color="auto"/>
        <w:right w:val="none" w:sz="0" w:space="0" w:color="auto"/>
      </w:divBdr>
    </w:div>
    <w:div w:id="85268222">
      <w:bodyDiv w:val="1"/>
      <w:marLeft w:val="0"/>
      <w:marRight w:val="0"/>
      <w:marTop w:val="0"/>
      <w:marBottom w:val="0"/>
      <w:divBdr>
        <w:top w:val="none" w:sz="0" w:space="0" w:color="auto"/>
        <w:left w:val="none" w:sz="0" w:space="0" w:color="auto"/>
        <w:bottom w:val="none" w:sz="0" w:space="0" w:color="auto"/>
        <w:right w:val="none" w:sz="0" w:space="0" w:color="auto"/>
      </w:divBdr>
    </w:div>
    <w:div w:id="102263798">
      <w:bodyDiv w:val="1"/>
      <w:marLeft w:val="0"/>
      <w:marRight w:val="0"/>
      <w:marTop w:val="0"/>
      <w:marBottom w:val="0"/>
      <w:divBdr>
        <w:top w:val="none" w:sz="0" w:space="0" w:color="auto"/>
        <w:left w:val="none" w:sz="0" w:space="0" w:color="auto"/>
        <w:bottom w:val="none" w:sz="0" w:space="0" w:color="auto"/>
        <w:right w:val="none" w:sz="0" w:space="0" w:color="auto"/>
      </w:divBdr>
    </w:div>
    <w:div w:id="102530597">
      <w:bodyDiv w:val="1"/>
      <w:marLeft w:val="0"/>
      <w:marRight w:val="0"/>
      <w:marTop w:val="0"/>
      <w:marBottom w:val="0"/>
      <w:divBdr>
        <w:top w:val="none" w:sz="0" w:space="0" w:color="auto"/>
        <w:left w:val="none" w:sz="0" w:space="0" w:color="auto"/>
        <w:bottom w:val="none" w:sz="0" w:space="0" w:color="auto"/>
        <w:right w:val="none" w:sz="0" w:space="0" w:color="auto"/>
      </w:divBdr>
    </w:div>
    <w:div w:id="126162975">
      <w:bodyDiv w:val="1"/>
      <w:marLeft w:val="0"/>
      <w:marRight w:val="0"/>
      <w:marTop w:val="0"/>
      <w:marBottom w:val="0"/>
      <w:divBdr>
        <w:top w:val="none" w:sz="0" w:space="0" w:color="auto"/>
        <w:left w:val="none" w:sz="0" w:space="0" w:color="auto"/>
        <w:bottom w:val="none" w:sz="0" w:space="0" w:color="auto"/>
        <w:right w:val="none" w:sz="0" w:space="0" w:color="auto"/>
      </w:divBdr>
    </w:div>
    <w:div w:id="159154042">
      <w:bodyDiv w:val="1"/>
      <w:marLeft w:val="0"/>
      <w:marRight w:val="0"/>
      <w:marTop w:val="0"/>
      <w:marBottom w:val="0"/>
      <w:divBdr>
        <w:top w:val="none" w:sz="0" w:space="0" w:color="auto"/>
        <w:left w:val="none" w:sz="0" w:space="0" w:color="auto"/>
        <w:bottom w:val="none" w:sz="0" w:space="0" w:color="auto"/>
        <w:right w:val="none" w:sz="0" w:space="0" w:color="auto"/>
      </w:divBdr>
    </w:div>
    <w:div w:id="161507933">
      <w:bodyDiv w:val="1"/>
      <w:marLeft w:val="0"/>
      <w:marRight w:val="0"/>
      <w:marTop w:val="0"/>
      <w:marBottom w:val="0"/>
      <w:divBdr>
        <w:top w:val="none" w:sz="0" w:space="0" w:color="auto"/>
        <w:left w:val="none" w:sz="0" w:space="0" w:color="auto"/>
        <w:bottom w:val="none" w:sz="0" w:space="0" w:color="auto"/>
        <w:right w:val="none" w:sz="0" w:space="0" w:color="auto"/>
      </w:divBdr>
    </w:div>
    <w:div w:id="179466554">
      <w:bodyDiv w:val="1"/>
      <w:marLeft w:val="0"/>
      <w:marRight w:val="0"/>
      <w:marTop w:val="0"/>
      <w:marBottom w:val="0"/>
      <w:divBdr>
        <w:top w:val="none" w:sz="0" w:space="0" w:color="auto"/>
        <w:left w:val="none" w:sz="0" w:space="0" w:color="auto"/>
        <w:bottom w:val="none" w:sz="0" w:space="0" w:color="auto"/>
        <w:right w:val="none" w:sz="0" w:space="0" w:color="auto"/>
      </w:divBdr>
    </w:div>
    <w:div w:id="192309079">
      <w:bodyDiv w:val="1"/>
      <w:marLeft w:val="0"/>
      <w:marRight w:val="0"/>
      <w:marTop w:val="0"/>
      <w:marBottom w:val="0"/>
      <w:divBdr>
        <w:top w:val="none" w:sz="0" w:space="0" w:color="auto"/>
        <w:left w:val="none" w:sz="0" w:space="0" w:color="auto"/>
        <w:bottom w:val="none" w:sz="0" w:space="0" w:color="auto"/>
        <w:right w:val="none" w:sz="0" w:space="0" w:color="auto"/>
      </w:divBdr>
    </w:div>
    <w:div w:id="202524155">
      <w:bodyDiv w:val="1"/>
      <w:marLeft w:val="0"/>
      <w:marRight w:val="0"/>
      <w:marTop w:val="0"/>
      <w:marBottom w:val="0"/>
      <w:divBdr>
        <w:top w:val="none" w:sz="0" w:space="0" w:color="auto"/>
        <w:left w:val="none" w:sz="0" w:space="0" w:color="auto"/>
        <w:bottom w:val="none" w:sz="0" w:space="0" w:color="auto"/>
        <w:right w:val="none" w:sz="0" w:space="0" w:color="auto"/>
      </w:divBdr>
    </w:div>
    <w:div w:id="223108598">
      <w:bodyDiv w:val="1"/>
      <w:marLeft w:val="0"/>
      <w:marRight w:val="0"/>
      <w:marTop w:val="0"/>
      <w:marBottom w:val="0"/>
      <w:divBdr>
        <w:top w:val="none" w:sz="0" w:space="0" w:color="auto"/>
        <w:left w:val="none" w:sz="0" w:space="0" w:color="auto"/>
        <w:bottom w:val="none" w:sz="0" w:space="0" w:color="auto"/>
        <w:right w:val="none" w:sz="0" w:space="0" w:color="auto"/>
      </w:divBdr>
    </w:div>
    <w:div w:id="272791492">
      <w:bodyDiv w:val="1"/>
      <w:marLeft w:val="0"/>
      <w:marRight w:val="0"/>
      <w:marTop w:val="0"/>
      <w:marBottom w:val="0"/>
      <w:divBdr>
        <w:top w:val="none" w:sz="0" w:space="0" w:color="auto"/>
        <w:left w:val="none" w:sz="0" w:space="0" w:color="auto"/>
        <w:bottom w:val="none" w:sz="0" w:space="0" w:color="auto"/>
        <w:right w:val="none" w:sz="0" w:space="0" w:color="auto"/>
      </w:divBdr>
    </w:div>
    <w:div w:id="284509061">
      <w:bodyDiv w:val="1"/>
      <w:marLeft w:val="0"/>
      <w:marRight w:val="0"/>
      <w:marTop w:val="0"/>
      <w:marBottom w:val="0"/>
      <w:divBdr>
        <w:top w:val="none" w:sz="0" w:space="0" w:color="auto"/>
        <w:left w:val="none" w:sz="0" w:space="0" w:color="auto"/>
        <w:bottom w:val="none" w:sz="0" w:space="0" w:color="auto"/>
        <w:right w:val="none" w:sz="0" w:space="0" w:color="auto"/>
      </w:divBdr>
    </w:div>
    <w:div w:id="335575133">
      <w:bodyDiv w:val="1"/>
      <w:marLeft w:val="0"/>
      <w:marRight w:val="0"/>
      <w:marTop w:val="0"/>
      <w:marBottom w:val="0"/>
      <w:divBdr>
        <w:top w:val="none" w:sz="0" w:space="0" w:color="auto"/>
        <w:left w:val="none" w:sz="0" w:space="0" w:color="auto"/>
        <w:bottom w:val="none" w:sz="0" w:space="0" w:color="auto"/>
        <w:right w:val="none" w:sz="0" w:space="0" w:color="auto"/>
      </w:divBdr>
    </w:div>
    <w:div w:id="344863395">
      <w:bodyDiv w:val="1"/>
      <w:marLeft w:val="0"/>
      <w:marRight w:val="0"/>
      <w:marTop w:val="0"/>
      <w:marBottom w:val="0"/>
      <w:divBdr>
        <w:top w:val="none" w:sz="0" w:space="0" w:color="auto"/>
        <w:left w:val="none" w:sz="0" w:space="0" w:color="auto"/>
        <w:bottom w:val="none" w:sz="0" w:space="0" w:color="auto"/>
        <w:right w:val="none" w:sz="0" w:space="0" w:color="auto"/>
      </w:divBdr>
    </w:div>
    <w:div w:id="371273000">
      <w:bodyDiv w:val="1"/>
      <w:marLeft w:val="0"/>
      <w:marRight w:val="0"/>
      <w:marTop w:val="0"/>
      <w:marBottom w:val="0"/>
      <w:divBdr>
        <w:top w:val="none" w:sz="0" w:space="0" w:color="auto"/>
        <w:left w:val="none" w:sz="0" w:space="0" w:color="auto"/>
        <w:bottom w:val="none" w:sz="0" w:space="0" w:color="auto"/>
        <w:right w:val="none" w:sz="0" w:space="0" w:color="auto"/>
      </w:divBdr>
    </w:div>
    <w:div w:id="376468472">
      <w:bodyDiv w:val="1"/>
      <w:marLeft w:val="0"/>
      <w:marRight w:val="0"/>
      <w:marTop w:val="0"/>
      <w:marBottom w:val="0"/>
      <w:divBdr>
        <w:top w:val="none" w:sz="0" w:space="0" w:color="auto"/>
        <w:left w:val="none" w:sz="0" w:space="0" w:color="auto"/>
        <w:bottom w:val="none" w:sz="0" w:space="0" w:color="auto"/>
        <w:right w:val="none" w:sz="0" w:space="0" w:color="auto"/>
      </w:divBdr>
    </w:div>
    <w:div w:id="392124773">
      <w:bodyDiv w:val="1"/>
      <w:marLeft w:val="0"/>
      <w:marRight w:val="0"/>
      <w:marTop w:val="0"/>
      <w:marBottom w:val="0"/>
      <w:divBdr>
        <w:top w:val="none" w:sz="0" w:space="0" w:color="auto"/>
        <w:left w:val="none" w:sz="0" w:space="0" w:color="auto"/>
        <w:bottom w:val="none" w:sz="0" w:space="0" w:color="auto"/>
        <w:right w:val="none" w:sz="0" w:space="0" w:color="auto"/>
      </w:divBdr>
    </w:div>
    <w:div w:id="392968925">
      <w:bodyDiv w:val="1"/>
      <w:marLeft w:val="0"/>
      <w:marRight w:val="0"/>
      <w:marTop w:val="0"/>
      <w:marBottom w:val="0"/>
      <w:divBdr>
        <w:top w:val="none" w:sz="0" w:space="0" w:color="auto"/>
        <w:left w:val="none" w:sz="0" w:space="0" w:color="auto"/>
        <w:bottom w:val="none" w:sz="0" w:space="0" w:color="auto"/>
        <w:right w:val="none" w:sz="0" w:space="0" w:color="auto"/>
      </w:divBdr>
    </w:div>
    <w:div w:id="427428151">
      <w:bodyDiv w:val="1"/>
      <w:marLeft w:val="0"/>
      <w:marRight w:val="0"/>
      <w:marTop w:val="0"/>
      <w:marBottom w:val="0"/>
      <w:divBdr>
        <w:top w:val="none" w:sz="0" w:space="0" w:color="auto"/>
        <w:left w:val="none" w:sz="0" w:space="0" w:color="auto"/>
        <w:bottom w:val="none" w:sz="0" w:space="0" w:color="auto"/>
        <w:right w:val="none" w:sz="0" w:space="0" w:color="auto"/>
      </w:divBdr>
    </w:div>
    <w:div w:id="435903242">
      <w:bodyDiv w:val="1"/>
      <w:marLeft w:val="0"/>
      <w:marRight w:val="0"/>
      <w:marTop w:val="0"/>
      <w:marBottom w:val="0"/>
      <w:divBdr>
        <w:top w:val="none" w:sz="0" w:space="0" w:color="auto"/>
        <w:left w:val="none" w:sz="0" w:space="0" w:color="auto"/>
        <w:bottom w:val="none" w:sz="0" w:space="0" w:color="auto"/>
        <w:right w:val="none" w:sz="0" w:space="0" w:color="auto"/>
      </w:divBdr>
    </w:div>
    <w:div w:id="470173145">
      <w:bodyDiv w:val="1"/>
      <w:marLeft w:val="0"/>
      <w:marRight w:val="0"/>
      <w:marTop w:val="0"/>
      <w:marBottom w:val="0"/>
      <w:divBdr>
        <w:top w:val="none" w:sz="0" w:space="0" w:color="auto"/>
        <w:left w:val="none" w:sz="0" w:space="0" w:color="auto"/>
        <w:bottom w:val="none" w:sz="0" w:space="0" w:color="auto"/>
        <w:right w:val="none" w:sz="0" w:space="0" w:color="auto"/>
      </w:divBdr>
    </w:div>
    <w:div w:id="485169874">
      <w:bodyDiv w:val="1"/>
      <w:marLeft w:val="0"/>
      <w:marRight w:val="0"/>
      <w:marTop w:val="0"/>
      <w:marBottom w:val="0"/>
      <w:divBdr>
        <w:top w:val="none" w:sz="0" w:space="0" w:color="auto"/>
        <w:left w:val="none" w:sz="0" w:space="0" w:color="auto"/>
        <w:bottom w:val="none" w:sz="0" w:space="0" w:color="auto"/>
        <w:right w:val="none" w:sz="0" w:space="0" w:color="auto"/>
      </w:divBdr>
    </w:div>
    <w:div w:id="489440742">
      <w:bodyDiv w:val="1"/>
      <w:marLeft w:val="0"/>
      <w:marRight w:val="0"/>
      <w:marTop w:val="0"/>
      <w:marBottom w:val="0"/>
      <w:divBdr>
        <w:top w:val="none" w:sz="0" w:space="0" w:color="auto"/>
        <w:left w:val="none" w:sz="0" w:space="0" w:color="auto"/>
        <w:bottom w:val="none" w:sz="0" w:space="0" w:color="auto"/>
        <w:right w:val="none" w:sz="0" w:space="0" w:color="auto"/>
      </w:divBdr>
    </w:div>
    <w:div w:id="495536934">
      <w:bodyDiv w:val="1"/>
      <w:marLeft w:val="0"/>
      <w:marRight w:val="0"/>
      <w:marTop w:val="0"/>
      <w:marBottom w:val="0"/>
      <w:divBdr>
        <w:top w:val="none" w:sz="0" w:space="0" w:color="auto"/>
        <w:left w:val="none" w:sz="0" w:space="0" w:color="auto"/>
        <w:bottom w:val="none" w:sz="0" w:space="0" w:color="auto"/>
        <w:right w:val="none" w:sz="0" w:space="0" w:color="auto"/>
      </w:divBdr>
    </w:div>
    <w:div w:id="540477751">
      <w:bodyDiv w:val="1"/>
      <w:marLeft w:val="0"/>
      <w:marRight w:val="0"/>
      <w:marTop w:val="0"/>
      <w:marBottom w:val="0"/>
      <w:divBdr>
        <w:top w:val="none" w:sz="0" w:space="0" w:color="auto"/>
        <w:left w:val="none" w:sz="0" w:space="0" w:color="auto"/>
        <w:bottom w:val="none" w:sz="0" w:space="0" w:color="auto"/>
        <w:right w:val="none" w:sz="0" w:space="0" w:color="auto"/>
      </w:divBdr>
    </w:div>
    <w:div w:id="551766636">
      <w:bodyDiv w:val="1"/>
      <w:marLeft w:val="0"/>
      <w:marRight w:val="0"/>
      <w:marTop w:val="0"/>
      <w:marBottom w:val="0"/>
      <w:divBdr>
        <w:top w:val="none" w:sz="0" w:space="0" w:color="auto"/>
        <w:left w:val="none" w:sz="0" w:space="0" w:color="auto"/>
        <w:bottom w:val="none" w:sz="0" w:space="0" w:color="auto"/>
        <w:right w:val="none" w:sz="0" w:space="0" w:color="auto"/>
      </w:divBdr>
    </w:div>
    <w:div w:id="564297079">
      <w:bodyDiv w:val="1"/>
      <w:marLeft w:val="0"/>
      <w:marRight w:val="0"/>
      <w:marTop w:val="0"/>
      <w:marBottom w:val="0"/>
      <w:divBdr>
        <w:top w:val="none" w:sz="0" w:space="0" w:color="auto"/>
        <w:left w:val="none" w:sz="0" w:space="0" w:color="auto"/>
        <w:bottom w:val="none" w:sz="0" w:space="0" w:color="auto"/>
        <w:right w:val="none" w:sz="0" w:space="0" w:color="auto"/>
      </w:divBdr>
    </w:div>
    <w:div w:id="583807671">
      <w:bodyDiv w:val="1"/>
      <w:marLeft w:val="0"/>
      <w:marRight w:val="0"/>
      <w:marTop w:val="0"/>
      <w:marBottom w:val="0"/>
      <w:divBdr>
        <w:top w:val="none" w:sz="0" w:space="0" w:color="auto"/>
        <w:left w:val="none" w:sz="0" w:space="0" w:color="auto"/>
        <w:bottom w:val="none" w:sz="0" w:space="0" w:color="auto"/>
        <w:right w:val="none" w:sz="0" w:space="0" w:color="auto"/>
      </w:divBdr>
    </w:div>
    <w:div w:id="594364621">
      <w:bodyDiv w:val="1"/>
      <w:marLeft w:val="0"/>
      <w:marRight w:val="0"/>
      <w:marTop w:val="0"/>
      <w:marBottom w:val="0"/>
      <w:divBdr>
        <w:top w:val="none" w:sz="0" w:space="0" w:color="auto"/>
        <w:left w:val="none" w:sz="0" w:space="0" w:color="auto"/>
        <w:bottom w:val="none" w:sz="0" w:space="0" w:color="auto"/>
        <w:right w:val="none" w:sz="0" w:space="0" w:color="auto"/>
      </w:divBdr>
    </w:div>
    <w:div w:id="606347335">
      <w:bodyDiv w:val="1"/>
      <w:marLeft w:val="0"/>
      <w:marRight w:val="0"/>
      <w:marTop w:val="0"/>
      <w:marBottom w:val="0"/>
      <w:divBdr>
        <w:top w:val="none" w:sz="0" w:space="0" w:color="auto"/>
        <w:left w:val="none" w:sz="0" w:space="0" w:color="auto"/>
        <w:bottom w:val="none" w:sz="0" w:space="0" w:color="auto"/>
        <w:right w:val="none" w:sz="0" w:space="0" w:color="auto"/>
      </w:divBdr>
    </w:div>
    <w:div w:id="607784361">
      <w:bodyDiv w:val="1"/>
      <w:marLeft w:val="0"/>
      <w:marRight w:val="0"/>
      <w:marTop w:val="0"/>
      <w:marBottom w:val="0"/>
      <w:divBdr>
        <w:top w:val="none" w:sz="0" w:space="0" w:color="auto"/>
        <w:left w:val="none" w:sz="0" w:space="0" w:color="auto"/>
        <w:bottom w:val="none" w:sz="0" w:space="0" w:color="auto"/>
        <w:right w:val="none" w:sz="0" w:space="0" w:color="auto"/>
      </w:divBdr>
    </w:div>
    <w:div w:id="616957520">
      <w:bodyDiv w:val="1"/>
      <w:marLeft w:val="0"/>
      <w:marRight w:val="0"/>
      <w:marTop w:val="0"/>
      <w:marBottom w:val="0"/>
      <w:divBdr>
        <w:top w:val="none" w:sz="0" w:space="0" w:color="auto"/>
        <w:left w:val="none" w:sz="0" w:space="0" w:color="auto"/>
        <w:bottom w:val="none" w:sz="0" w:space="0" w:color="auto"/>
        <w:right w:val="none" w:sz="0" w:space="0" w:color="auto"/>
      </w:divBdr>
    </w:div>
    <w:div w:id="617300200">
      <w:bodyDiv w:val="1"/>
      <w:marLeft w:val="0"/>
      <w:marRight w:val="0"/>
      <w:marTop w:val="0"/>
      <w:marBottom w:val="0"/>
      <w:divBdr>
        <w:top w:val="none" w:sz="0" w:space="0" w:color="auto"/>
        <w:left w:val="none" w:sz="0" w:space="0" w:color="auto"/>
        <w:bottom w:val="none" w:sz="0" w:space="0" w:color="auto"/>
        <w:right w:val="none" w:sz="0" w:space="0" w:color="auto"/>
      </w:divBdr>
    </w:div>
    <w:div w:id="622423575">
      <w:bodyDiv w:val="1"/>
      <w:marLeft w:val="0"/>
      <w:marRight w:val="0"/>
      <w:marTop w:val="0"/>
      <w:marBottom w:val="0"/>
      <w:divBdr>
        <w:top w:val="none" w:sz="0" w:space="0" w:color="auto"/>
        <w:left w:val="none" w:sz="0" w:space="0" w:color="auto"/>
        <w:bottom w:val="none" w:sz="0" w:space="0" w:color="auto"/>
        <w:right w:val="none" w:sz="0" w:space="0" w:color="auto"/>
      </w:divBdr>
    </w:div>
    <w:div w:id="625041465">
      <w:bodyDiv w:val="1"/>
      <w:marLeft w:val="0"/>
      <w:marRight w:val="0"/>
      <w:marTop w:val="0"/>
      <w:marBottom w:val="0"/>
      <w:divBdr>
        <w:top w:val="none" w:sz="0" w:space="0" w:color="auto"/>
        <w:left w:val="none" w:sz="0" w:space="0" w:color="auto"/>
        <w:bottom w:val="none" w:sz="0" w:space="0" w:color="auto"/>
        <w:right w:val="none" w:sz="0" w:space="0" w:color="auto"/>
      </w:divBdr>
    </w:div>
    <w:div w:id="639649485">
      <w:bodyDiv w:val="1"/>
      <w:marLeft w:val="0"/>
      <w:marRight w:val="0"/>
      <w:marTop w:val="0"/>
      <w:marBottom w:val="0"/>
      <w:divBdr>
        <w:top w:val="none" w:sz="0" w:space="0" w:color="auto"/>
        <w:left w:val="none" w:sz="0" w:space="0" w:color="auto"/>
        <w:bottom w:val="none" w:sz="0" w:space="0" w:color="auto"/>
        <w:right w:val="none" w:sz="0" w:space="0" w:color="auto"/>
      </w:divBdr>
    </w:div>
    <w:div w:id="678778954">
      <w:bodyDiv w:val="1"/>
      <w:marLeft w:val="0"/>
      <w:marRight w:val="0"/>
      <w:marTop w:val="0"/>
      <w:marBottom w:val="0"/>
      <w:divBdr>
        <w:top w:val="none" w:sz="0" w:space="0" w:color="auto"/>
        <w:left w:val="none" w:sz="0" w:space="0" w:color="auto"/>
        <w:bottom w:val="none" w:sz="0" w:space="0" w:color="auto"/>
        <w:right w:val="none" w:sz="0" w:space="0" w:color="auto"/>
      </w:divBdr>
    </w:div>
    <w:div w:id="680666851">
      <w:bodyDiv w:val="1"/>
      <w:marLeft w:val="0"/>
      <w:marRight w:val="0"/>
      <w:marTop w:val="0"/>
      <w:marBottom w:val="0"/>
      <w:divBdr>
        <w:top w:val="none" w:sz="0" w:space="0" w:color="auto"/>
        <w:left w:val="none" w:sz="0" w:space="0" w:color="auto"/>
        <w:bottom w:val="none" w:sz="0" w:space="0" w:color="auto"/>
        <w:right w:val="none" w:sz="0" w:space="0" w:color="auto"/>
      </w:divBdr>
    </w:div>
    <w:div w:id="741683391">
      <w:bodyDiv w:val="1"/>
      <w:marLeft w:val="0"/>
      <w:marRight w:val="0"/>
      <w:marTop w:val="0"/>
      <w:marBottom w:val="0"/>
      <w:divBdr>
        <w:top w:val="none" w:sz="0" w:space="0" w:color="auto"/>
        <w:left w:val="none" w:sz="0" w:space="0" w:color="auto"/>
        <w:bottom w:val="none" w:sz="0" w:space="0" w:color="auto"/>
        <w:right w:val="none" w:sz="0" w:space="0" w:color="auto"/>
      </w:divBdr>
    </w:div>
    <w:div w:id="748892588">
      <w:bodyDiv w:val="1"/>
      <w:marLeft w:val="0"/>
      <w:marRight w:val="0"/>
      <w:marTop w:val="0"/>
      <w:marBottom w:val="0"/>
      <w:divBdr>
        <w:top w:val="none" w:sz="0" w:space="0" w:color="auto"/>
        <w:left w:val="none" w:sz="0" w:space="0" w:color="auto"/>
        <w:bottom w:val="none" w:sz="0" w:space="0" w:color="auto"/>
        <w:right w:val="none" w:sz="0" w:space="0" w:color="auto"/>
      </w:divBdr>
    </w:div>
    <w:div w:id="750977737">
      <w:bodyDiv w:val="1"/>
      <w:marLeft w:val="0"/>
      <w:marRight w:val="0"/>
      <w:marTop w:val="0"/>
      <w:marBottom w:val="0"/>
      <w:divBdr>
        <w:top w:val="none" w:sz="0" w:space="0" w:color="auto"/>
        <w:left w:val="none" w:sz="0" w:space="0" w:color="auto"/>
        <w:bottom w:val="none" w:sz="0" w:space="0" w:color="auto"/>
        <w:right w:val="none" w:sz="0" w:space="0" w:color="auto"/>
      </w:divBdr>
    </w:div>
    <w:div w:id="785735159">
      <w:bodyDiv w:val="1"/>
      <w:marLeft w:val="0"/>
      <w:marRight w:val="0"/>
      <w:marTop w:val="0"/>
      <w:marBottom w:val="0"/>
      <w:divBdr>
        <w:top w:val="none" w:sz="0" w:space="0" w:color="auto"/>
        <w:left w:val="none" w:sz="0" w:space="0" w:color="auto"/>
        <w:bottom w:val="none" w:sz="0" w:space="0" w:color="auto"/>
        <w:right w:val="none" w:sz="0" w:space="0" w:color="auto"/>
      </w:divBdr>
    </w:div>
    <w:div w:id="786702691">
      <w:bodyDiv w:val="1"/>
      <w:marLeft w:val="0"/>
      <w:marRight w:val="0"/>
      <w:marTop w:val="0"/>
      <w:marBottom w:val="0"/>
      <w:divBdr>
        <w:top w:val="none" w:sz="0" w:space="0" w:color="auto"/>
        <w:left w:val="none" w:sz="0" w:space="0" w:color="auto"/>
        <w:bottom w:val="none" w:sz="0" w:space="0" w:color="auto"/>
        <w:right w:val="none" w:sz="0" w:space="0" w:color="auto"/>
      </w:divBdr>
    </w:div>
    <w:div w:id="835153733">
      <w:bodyDiv w:val="1"/>
      <w:marLeft w:val="0"/>
      <w:marRight w:val="0"/>
      <w:marTop w:val="0"/>
      <w:marBottom w:val="0"/>
      <w:divBdr>
        <w:top w:val="none" w:sz="0" w:space="0" w:color="auto"/>
        <w:left w:val="none" w:sz="0" w:space="0" w:color="auto"/>
        <w:bottom w:val="none" w:sz="0" w:space="0" w:color="auto"/>
        <w:right w:val="none" w:sz="0" w:space="0" w:color="auto"/>
      </w:divBdr>
    </w:div>
    <w:div w:id="846872152">
      <w:bodyDiv w:val="1"/>
      <w:marLeft w:val="0"/>
      <w:marRight w:val="0"/>
      <w:marTop w:val="0"/>
      <w:marBottom w:val="0"/>
      <w:divBdr>
        <w:top w:val="none" w:sz="0" w:space="0" w:color="auto"/>
        <w:left w:val="none" w:sz="0" w:space="0" w:color="auto"/>
        <w:bottom w:val="none" w:sz="0" w:space="0" w:color="auto"/>
        <w:right w:val="none" w:sz="0" w:space="0" w:color="auto"/>
      </w:divBdr>
    </w:div>
    <w:div w:id="866210767">
      <w:bodyDiv w:val="1"/>
      <w:marLeft w:val="0"/>
      <w:marRight w:val="0"/>
      <w:marTop w:val="0"/>
      <w:marBottom w:val="0"/>
      <w:divBdr>
        <w:top w:val="none" w:sz="0" w:space="0" w:color="auto"/>
        <w:left w:val="none" w:sz="0" w:space="0" w:color="auto"/>
        <w:bottom w:val="none" w:sz="0" w:space="0" w:color="auto"/>
        <w:right w:val="none" w:sz="0" w:space="0" w:color="auto"/>
      </w:divBdr>
    </w:div>
    <w:div w:id="870340511">
      <w:bodyDiv w:val="1"/>
      <w:marLeft w:val="0"/>
      <w:marRight w:val="0"/>
      <w:marTop w:val="0"/>
      <w:marBottom w:val="0"/>
      <w:divBdr>
        <w:top w:val="none" w:sz="0" w:space="0" w:color="auto"/>
        <w:left w:val="none" w:sz="0" w:space="0" w:color="auto"/>
        <w:bottom w:val="none" w:sz="0" w:space="0" w:color="auto"/>
        <w:right w:val="none" w:sz="0" w:space="0" w:color="auto"/>
      </w:divBdr>
    </w:div>
    <w:div w:id="882207444">
      <w:bodyDiv w:val="1"/>
      <w:marLeft w:val="0"/>
      <w:marRight w:val="0"/>
      <w:marTop w:val="0"/>
      <w:marBottom w:val="0"/>
      <w:divBdr>
        <w:top w:val="none" w:sz="0" w:space="0" w:color="auto"/>
        <w:left w:val="none" w:sz="0" w:space="0" w:color="auto"/>
        <w:bottom w:val="none" w:sz="0" w:space="0" w:color="auto"/>
        <w:right w:val="none" w:sz="0" w:space="0" w:color="auto"/>
      </w:divBdr>
    </w:div>
    <w:div w:id="883174431">
      <w:bodyDiv w:val="1"/>
      <w:marLeft w:val="0"/>
      <w:marRight w:val="0"/>
      <w:marTop w:val="0"/>
      <w:marBottom w:val="0"/>
      <w:divBdr>
        <w:top w:val="none" w:sz="0" w:space="0" w:color="auto"/>
        <w:left w:val="none" w:sz="0" w:space="0" w:color="auto"/>
        <w:bottom w:val="none" w:sz="0" w:space="0" w:color="auto"/>
        <w:right w:val="none" w:sz="0" w:space="0" w:color="auto"/>
      </w:divBdr>
    </w:div>
    <w:div w:id="885525327">
      <w:bodyDiv w:val="1"/>
      <w:marLeft w:val="0"/>
      <w:marRight w:val="0"/>
      <w:marTop w:val="0"/>
      <w:marBottom w:val="0"/>
      <w:divBdr>
        <w:top w:val="none" w:sz="0" w:space="0" w:color="auto"/>
        <w:left w:val="none" w:sz="0" w:space="0" w:color="auto"/>
        <w:bottom w:val="none" w:sz="0" w:space="0" w:color="auto"/>
        <w:right w:val="none" w:sz="0" w:space="0" w:color="auto"/>
      </w:divBdr>
    </w:div>
    <w:div w:id="900865114">
      <w:bodyDiv w:val="1"/>
      <w:marLeft w:val="0"/>
      <w:marRight w:val="0"/>
      <w:marTop w:val="0"/>
      <w:marBottom w:val="0"/>
      <w:divBdr>
        <w:top w:val="none" w:sz="0" w:space="0" w:color="auto"/>
        <w:left w:val="none" w:sz="0" w:space="0" w:color="auto"/>
        <w:bottom w:val="none" w:sz="0" w:space="0" w:color="auto"/>
        <w:right w:val="none" w:sz="0" w:space="0" w:color="auto"/>
      </w:divBdr>
    </w:div>
    <w:div w:id="906958943">
      <w:bodyDiv w:val="1"/>
      <w:marLeft w:val="0"/>
      <w:marRight w:val="0"/>
      <w:marTop w:val="0"/>
      <w:marBottom w:val="0"/>
      <w:divBdr>
        <w:top w:val="none" w:sz="0" w:space="0" w:color="auto"/>
        <w:left w:val="none" w:sz="0" w:space="0" w:color="auto"/>
        <w:bottom w:val="none" w:sz="0" w:space="0" w:color="auto"/>
        <w:right w:val="none" w:sz="0" w:space="0" w:color="auto"/>
      </w:divBdr>
    </w:div>
    <w:div w:id="939877521">
      <w:bodyDiv w:val="1"/>
      <w:marLeft w:val="0"/>
      <w:marRight w:val="0"/>
      <w:marTop w:val="0"/>
      <w:marBottom w:val="0"/>
      <w:divBdr>
        <w:top w:val="none" w:sz="0" w:space="0" w:color="auto"/>
        <w:left w:val="none" w:sz="0" w:space="0" w:color="auto"/>
        <w:bottom w:val="none" w:sz="0" w:space="0" w:color="auto"/>
        <w:right w:val="none" w:sz="0" w:space="0" w:color="auto"/>
      </w:divBdr>
    </w:div>
    <w:div w:id="955404821">
      <w:bodyDiv w:val="1"/>
      <w:marLeft w:val="0"/>
      <w:marRight w:val="0"/>
      <w:marTop w:val="0"/>
      <w:marBottom w:val="0"/>
      <w:divBdr>
        <w:top w:val="none" w:sz="0" w:space="0" w:color="auto"/>
        <w:left w:val="none" w:sz="0" w:space="0" w:color="auto"/>
        <w:bottom w:val="none" w:sz="0" w:space="0" w:color="auto"/>
        <w:right w:val="none" w:sz="0" w:space="0" w:color="auto"/>
      </w:divBdr>
    </w:div>
    <w:div w:id="956255367">
      <w:bodyDiv w:val="1"/>
      <w:marLeft w:val="0"/>
      <w:marRight w:val="0"/>
      <w:marTop w:val="0"/>
      <w:marBottom w:val="0"/>
      <w:divBdr>
        <w:top w:val="none" w:sz="0" w:space="0" w:color="auto"/>
        <w:left w:val="none" w:sz="0" w:space="0" w:color="auto"/>
        <w:bottom w:val="none" w:sz="0" w:space="0" w:color="auto"/>
        <w:right w:val="none" w:sz="0" w:space="0" w:color="auto"/>
      </w:divBdr>
    </w:div>
    <w:div w:id="962731312">
      <w:bodyDiv w:val="1"/>
      <w:marLeft w:val="0"/>
      <w:marRight w:val="0"/>
      <w:marTop w:val="0"/>
      <w:marBottom w:val="0"/>
      <w:divBdr>
        <w:top w:val="none" w:sz="0" w:space="0" w:color="auto"/>
        <w:left w:val="none" w:sz="0" w:space="0" w:color="auto"/>
        <w:bottom w:val="none" w:sz="0" w:space="0" w:color="auto"/>
        <w:right w:val="none" w:sz="0" w:space="0" w:color="auto"/>
      </w:divBdr>
    </w:div>
    <w:div w:id="964429473">
      <w:bodyDiv w:val="1"/>
      <w:marLeft w:val="0"/>
      <w:marRight w:val="0"/>
      <w:marTop w:val="0"/>
      <w:marBottom w:val="0"/>
      <w:divBdr>
        <w:top w:val="none" w:sz="0" w:space="0" w:color="auto"/>
        <w:left w:val="none" w:sz="0" w:space="0" w:color="auto"/>
        <w:bottom w:val="none" w:sz="0" w:space="0" w:color="auto"/>
        <w:right w:val="none" w:sz="0" w:space="0" w:color="auto"/>
      </w:divBdr>
    </w:div>
    <w:div w:id="972561551">
      <w:bodyDiv w:val="1"/>
      <w:marLeft w:val="0"/>
      <w:marRight w:val="0"/>
      <w:marTop w:val="0"/>
      <w:marBottom w:val="0"/>
      <w:divBdr>
        <w:top w:val="none" w:sz="0" w:space="0" w:color="auto"/>
        <w:left w:val="none" w:sz="0" w:space="0" w:color="auto"/>
        <w:bottom w:val="none" w:sz="0" w:space="0" w:color="auto"/>
        <w:right w:val="none" w:sz="0" w:space="0" w:color="auto"/>
      </w:divBdr>
    </w:div>
    <w:div w:id="979459647">
      <w:bodyDiv w:val="1"/>
      <w:marLeft w:val="0"/>
      <w:marRight w:val="0"/>
      <w:marTop w:val="0"/>
      <w:marBottom w:val="0"/>
      <w:divBdr>
        <w:top w:val="none" w:sz="0" w:space="0" w:color="auto"/>
        <w:left w:val="none" w:sz="0" w:space="0" w:color="auto"/>
        <w:bottom w:val="none" w:sz="0" w:space="0" w:color="auto"/>
        <w:right w:val="none" w:sz="0" w:space="0" w:color="auto"/>
      </w:divBdr>
    </w:div>
    <w:div w:id="988751847">
      <w:bodyDiv w:val="1"/>
      <w:marLeft w:val="0"/>
      <w:marRight w:val="0"/>
      <w:marTop w:val="0"/>
      <w:marBottom w:val="0"/>
      <w:divBdr>
        <w:top w:val="none" w:sz="0" w:space="0" w:color="auto"/>
        <w:left w:val="none" w:sz="0" w:space="0" w:color="auto"/>
        <w:bottom w:val="none" w:sz="0" w:space="0" w:color="auto"/>
        <w:right w:val="none" w:sz="0" w:space="0" w:color="auto"/>
      </w:divBdr>
    </w:div>
    <w:div w:id="994457040">
      <w:bodyDiv w:val="1"/>
      <w:marLeft w:val="0"/>
      <w:marRight w:val="0"/>
      <w:marTop w:val="0"/>
      <w:marBottom w:val="0"/>
      <w:divBdr>
        <w:top w:val="none" w:sz="0" w:space="0" w:color="auto"/>
        <w:left w:val="none" w:sz="0" w:space="0" w:color="auto"/>
        <w:bottom w:val="none" w:sz="0" w:space="0" w:color="auto"/>
        <w:right w:val="none" w:sz="0" w:space="0" w:color="auto"/>
      </w:divBdr>
    </w:div>
    <w:div w:id="1036733613">
      <w:bodyDiv w:val="1"/>
      <w:marLeft w:val="0"/>
      <w:marRight w:val="0"/>
      <w:marTop w:val="0"/>
      <w:marBottom w:val="0"/>
      <w:divBdr>
        <w:top w:val="none" w:sz="0" w:space="0" w:color="auto"/>
        <w:left w:val="none" w:sz="0" w:space="0" w:color="auto"/>
        <w:bottom w:val="none" w:sz="0" w:space="0" w:color="auto"/>
        <w:right w:val="none" w:sz="0" w:space="0" w:color="auto"/>
      </w:divBdr>
    </w:div>
    <w:div w:id="1075905500">
      <w:bodyDiv w:val="1"/>
      <w:marLeft w:val="0"/>
      <w:marRight w:val="0"/>
      <w:marTop w:val="0"/>
      <w:marBottom w:val="0"/>
      <w:divBdr>
        <w:top w:val="none" w:sz="0" w:space="0" w:color="auto"/>
        <w:left w:val="none" w:sz="0" w:space="0" w:color="auto"/>
        <w:bottom w:val="none" w:sz="0" w:space="0" w:color="auto"/>
        <w:right w:val="none" w:sz="0" w:space="0" w:color="auto"/>
      </w:divBdr>
    </w:div>
    <w:div w:id="1081484683">
      <w:bodyDiv w:val="1"/>
      <w:marLeft w:val="0"/>
      <w:marRight w:val="0"/>
      <w:marTop w:val="0"/>
      <w:marBottom w:val="0"/>
      <w:divBdr>
        <w:top w:val="none" w:sz="0" w:space="0" w:color="auto"/>
        <w:left w:val="none" w:sz="0" w:space="0" w:color="auto"/>
        <w:bottom w:val="none" w:sz="0" w:space="0" w:color="auto"/>
        <w:right w:val="none" w:sz="0" w:space="0" w:color="auto"/>
      </w:divBdr>
    </w:div>
    <w:div w:id="1085687701">
      <w:bodyDiv w:val="1"/>
      <w:marLeft w:val="0"/>
      <w:marRight w:val="0"/>
      <w:marTop w:val="0"/>
      <w:marBottom w:val="0"/>
      <w:divBdr>
        <w:top w:val="none" w:sz="0" w:space="0" w:color="auto"/>
        <w:left w:val="none" w:sz="0" w:space="0" w:color="auto"/>
        <w:bottom w:val="none" w:sz="0" w:space="0" w:color="auto"/>
        <w:right w:val="none" w:sz="0" w:space="0" w:color="auto"/>
      </w:divBdr>
    </w:div>
    <w:div w:id="1093430065">
      <w:bodyDiv w:val="1"/>
      <w:marLeft w:val="0"/>
      <w:marRight w:val="0"/>
      <w:marTop w:val="0"/>
      <w:marBottom w:val="0"/>
      <w:divBdr>
        <w:top w:val="none" w:sz="0" w:space="0" w:color="auto"/>
        <w:left w:val="none" w:sz="0" w:space="0" w:color="auto"/>
        <w:bottom w:val="none" w:sz="0" w:space="0" w:color="auto"/>
        <w:right w:val="none" w:sz="0" w:space="0" w:color="auto"/>
      </w:divBdr>
    </w:div>
    <w:div w:id="1113329861">
      <w:bodyDiv w:val="1"/>
      <w:marLeft w:val="0"/>
      <w:marRight w:val="0"/>
      <w:marTop w:val="0"/>
      <w:marBottom w:val="0"/>
      <w:divBdr>
        <w:top w:val="none" w:sz="0" w:space="0" w:color="auto"/>
        <w:left w:val="none" w:sz="0" w:space="0" w:color="auto"/>
        <w:bottom w:val="none" w:sz="0" w:space="0" w:color="auto"/>
        <w:right w:val="none" w:sz="0" w:space="0" w:color="auto"/>
      </w:divBdr>
    </w:div>
    <w:div w:id="1139416818">
      <w:bodyDiv w:val="1"/>
      <w:marLeft w:val="0"/>
      <w:marRight w:val="0"/>
      <w:marTop w:val="0"/>
      <w:marBottom w:val="0"/>
      <w:divBdr>
        <w:top w:val="none" w:sz="0" w:space="0" w:color="auto"/>
        <w:left w:val="none" w:sz="0" w:space="0" w:color="auto"/>
        <w:bottom w:val="none" w:sz="0" w:space="0" w:color="auto"/>
        <w:right w:val="none" w:sz="0" w:space="0" w:color="auto"/>
      </w:divBdr>
    </w:div>
    <w:div w:id="1140883424">
      <w:bodyDiv w:val="1"/>
      <w:marLeft w:val="0"/>
      <w:marRight w:val="0"/>
      <w:marTop w:val="0"/>
      <w:marBottom w:val="0"/>
      <w:divBdr>
        <w:top w:val="none" w:sz="0" w:space="0" w:color="auto"/>
        <w:left w:val="none" w:sz="0" w:space="0" w:color="auto"/>
        <w:bottom w:val="none" w:sz="0" w:space="0" w:color="auto"/>
        <w:right w:val="none" w:sz="0" w:space="0" w:color="auto"/>
      </w:divBdr>
    </w:div>
    <w:div w:id="1146362878">
      <w:bodyDiv w:val="1"/>
      <w:marLeft w:val="0"/>
      <w:marRight w:val="0"/>
      <w:marTop w:val="0"/>
      <w:marBottom w:val="0"/>
      <w:divBdr>
        <w:top w:val="none" w:sz="0" w:space="0" w:color="auto"/>
        <w:left w:val="none" w:sz="0" w:space="0" w:color="auto"/>
        <w:bottom w:val="none" w:sz="0" w:space="0" w:color="auto"/>
        <w:right w:val="none" w:sz="0" w:space="0" w:color="auto"/>
      </w:divBdr>
    </w:div>
    <w:div w:id="1182085370">
      <w:bodyDiv w:val="1"/>
      <w:marLeft w:val="0"/>
      <w:marRight w:val="0"/>
      <w:marTop w:val="0"/>
      <w:marBottom w:val="0"/>
      <w:divBdr>
        <w:top w:val="none" w:sz="0" w:space="0" w:color="auto"/>
        <w:left w:val="none" w:sz="0" w:space="0" w:color="auto"/>
        <w:bottom w:val="none" w:sz="0" w:space="0" w:color="auto"/>
        <w:right w:val="none" w:sz="0" w:space="0" w:color="auto"/>
      </w:divBdr>
    </w:div>
    <w:div w:id="1184437852">
      <w:bodyDiv w:val="1"/>
      <w:marLeft w:val="0"/>
      <w:marRight w:val="0"/>
      <w:marTop w:val="0"/>
      <w:marBottom w:val="0"/>
      <w:divBdr>
        <w:top w:val="none" w:sz="0" w:space="0" w:color="auto"/>
        <w:left w:val="none" w:sz="0" w:space="0" w:color="auto"/>
        <w:bottom w:val="none" w:sz="0" w:space="0" w:color="auto"/>
        <w:right w:val="none" w:sz="0" w:space="0" w:color="auto"/>
      </w:divBdr>
    </w:div>
    <w:div w:id="1184437999">
      <w:bodyDiv w:val="1"/>
      <w:marLeft w:val="0"/>
      <w:marRight w:val="0"/>
      <w:marTop w:val="0"/>
      <w:marBottom w:val="0"/>
      <w:divBdr>
        <w:top w:val="none" w:sz="0" w:space="0" w:color="auto"/>
        <w:left w:val="none" w:sz="0" w:space="0" w:color="auto"/>
        <w:bottom w:val="none" w:sz="0" w:space="0" w:color="auto"/>
        <w:right w:val="none" w:sz="0" w:space="0" w:color="auto"/>
      </w:divBdr>
    </w:div>
    <w:div w:id="1266155613">
      <w:bodyDiv w:val="1"/>
      <w:marLeft w:val="0"/>
      <w:marRight w:val="0"/>
      <w:marTop w:val="0"/>
      <w:marBottom w:val="0"/>
      <w:divBdr>
        <w:top w:val="none" w:sz="0" w:space="0" w:color="auto"/>
        <w:left w:val="none" w:sz="0" w:space="0" w:color="auto"/>
        <w:bottom w:val="none" w:sz="0" w:space="0" w:color="auto"/>
        <w:right w:val="none" w:sz="0" w:space="0" w:color="auto"/>
      </w:divBdr>
    </w:div>
    <w:div w:id="1278678403">
      <w:bodyDiv w:val="1"/>
      <w:marLeft w:val="0"/>
      <w:marRight w:val="0"/>
      <w:marTop w:val="0"/>
      <w:marBottom w:val="0"/>
      <w:divBdr>
        <w:top w:val="none" w:sz="0" w:space="0" w:color="auto"/>
        <w:left w:val="none" w:sz="0" w:space="0" w:color="auto"/>
        <w:bottom w:val="none" w:sz="0" w:space="0" w:color="auto"/>
        <w:right w:val="none" w:sz="0" w:space="0" w:color="auto"/>
      </w:divBdr>
    </w:div>
    <w:div w:id="1294822561">
      <w:bodyDiv w:val="1"/>
      <w:marLeft w:val="0"/>
      <w:marRight w:val="0"/>
      <w:marTop w:val="0"/>
      <w:marBottom w:val="0"/>
      <w:divBdr>
        <w:top w:val="none" w:sz="0" w:space="0" w:color="auto"/>
        <w:left w:val="none" w:sz="0" w:space="0" w:color="auto"/>
        <w:bottom w:val="none" w:sz="0" w:space="0" w:color="auto"/>
        <w:right w:val="none" w:sz="0" w:space="0" w:color="auto"/>
      </w:divBdr>
    </w:div>
    <w:div w:id="1299804626">
      <w:bodyDiv w:val="1"/>
      <w:marLeft w:val="0"/>
      <w:marRight w:val="0"/>
      <w:marTop w:val="0"/>
      <w:marBottom w:val="0"/>
      <w:divBdr>
        <w:top w:val="none" w:sz="0" w:space="0" w:color="auto"/>
        <w:left w:val="none" w:sz="0" w:space="0" w:color="auto"/>
        <w:bottom w:val="none" w:sz="0" w:space="0" w:color="auto"/>
        <w:right w:val="none" w:sz="0" w:space="0" w:color="auto"/>
      </w:divBdr>
    </w:div>
    <w:div w:id="1300300477">
      <w:bodyDiv w:val="1"/>
      <w:marLeft w:val="0"/>
      <w:marRight w:val="0"/>
      <w:marTop w:val="0"/>
      <w:marBottom w:val="0"/>
      <w:divBdr>
        <w:top w:val="none" w:sz="0" w:space="0" w:color="auto"/>
        <w:left w:val="none" w:sz="0" w:space="0" w:color="auto"/>
        <w:bottom w:val="none" w:sz="0" w:space="0" w:color="auto"/>
        <w:right w:val="none" w:sz="0" w:space="0" w:color="auto"/>
      </w:divBdr>
    </w:div>
    <w:div w:id="1302540611">
      <w:bodyDiv w:val="1"/>
      <w:marLeft w:val="0"/>
      <w:marRight w:val="0"/>
      <w:marTop w:val="0"/>
      <w:marBottom w:val="0"/>
      <w:divBdr>
        <w:top w:val="none" w:sz="0" w:space="0" w:color="auto"/>
        <w:left w:val="none" w:sz="0" w:space="0" w:color="auto"/>
        <w:bottom w:val="none" w:sz="0" w:space="0" w:color="auto"/>
        <w:right w:val="none" w:sz="0" w:space="0" w:color="auto"/>
      </w:divBdr>
    </w:div>
    <w:div w:id="1311326996">
      <w:bodyDiv w:val="1"/>
      <w:marLeft w:val="0"/>
      <w:marRight w:val="0"/>
      <w:marTop w:val="0"/>
      <w:marBottom w:val="0"/>
      <w:divBdr>
        <w:top w:val="none" w:sz="0" w:space="0" w:color="auto"/>
        <w:left w:val="none" w:sz="0" w:space="0" w:color="auto"/>
        <w:bottom w:val="none" w:sz="0" w:space="0" w:color="auto"/>
        <w:right w:val="none" w:sz="0" w:space="0" w:color="auto"/>
      </w:divBdr>
    </w:div>
    <w:div w:id="1332828821">
      <w:bodyDiv w:val="1"/>
      <w:marLeft w:val="0"/>
      <w:marRight w:val="0"/>
      <w:marTop w:val="0"/>
      <w:marBottom w:val="0"/>
      <w:divBdr>
        <w:top w:val="none" w:sz="0" w:space="0" w:color="auto"/>
        <w:left w:val="none" w:sz="0" w:space="0" w:color="auto"/>
        <w:bottom w:val="none" w:sz="0" w:space="0" w:color="auto"/>
        <w:right w:val="none" w:sz="0" w:space="0" w:color="auto"/>
      </w:divBdr>
    </w:div>
    <w:div w:id="1342702205">
      <w:bodyDiv w:val="1"/>
      <w:marLeft w:val="0"/>
      <w:marRight w:val="0"/>
      <w:marTop w:val="0"/>
      <w:marBottom w:val="0"/>
      <w:divBdr>
        <w:top w:val="none" w:sz="0" w:space="0" w:color="auto"/>
        <w:left w:val="none" w:sz="0" w:space="0" w:color="auto"/>
        <w:bottom w:val="none" w:sz="0" w:space="0" w:color="auto"/>
        <w:right w:val="none" w:sz="0" w:space="0" w:color="auto"/>
      </w:divBdr>
    </w:div>
    <w:div w:id="1349480669">
      <w:bodyDiv w:val="1"/>
      <w:marLeft w:val="0"/>
      <w:marRight w:val="0"/>
      <w:marTop w:val="0"/>
      <w:marBottom w:val="0"/>
      <w:divBdr>
        <w:top w:val="none" w:sz="0" w:space="0" w:color="auto"/>
        <w:left w:val="none" w:sz="0" w:space="0" w:color="auto"/>
        <w:bottom w:val="none" w:sz="0" w:space="0" w:color="auto"/>
        <w:right w:val="none" w:sz="0" w:space="0" w:color="auto"/>
      </w:divBdr>
    </w:div>
    <w:div w:id="1357270645">
      <w:bodyDiv w:val="1"/>
      <w:marLeft w:val="0"/>
      <w:marRight w:val="0"/>
      <w:marTop w:val="0"/>
      <w:marBottom w:val="0"/>
      <w:divBdr>
        <w:top w:val="none" w:sz="0" w:space="0" w:color="auto"/>
        <w:left w:val="none" w:sz="0" w:space="0" w:color="auto"/>
        <w:bottom w:val="none" w:sz="0" w:space="0" w:color="auto"/>
        <w:right w:val="none" w:sz="0" w:space="0" w:color="auto"/>
      </w:divBdr>
    </w:div>
    <w:div w:id="1378819000">
      <w:bodyDiv w:val="1"/>
      <w:marLeft w:val="0"/>
      <w:marRight w:val="0"/>
      <w:marTop w:val="0"/>
      <w:marBottom w:val="0"/>
      <w:divBdr>
        <w:top w:val="none" w:sz="0" w:space="0" w:color="auto"/>
        <w:left w:val="none" w:sz="0" w:space="0" w:color="auto"/>
        <w:bottom w:val="none" w:sz="0" w:space="0" w:color="auto"/>
        <w:right w:val="none" w:sz="0" w:space="0" w:color="auto"/>
      </w:divBdr>
    </w:div>
    <w:div w:id="1395548741">
      <w:bodyDiv w:val="1"/>
      <w:marLeft w:val="0"/>
      <w:marRight w:val="0"/>
      <w:marTop w:val="0"/>
      <w:marBottom w:val="0"/>
      <w:divBdr>
        <w:top w:val="none" w:sz="0" w:space="0" w:color="auto"/>
        <w:left w:val="none" w:sz="0" w:space="0" w:color="auto"/>
        <w:bottom w:val="none" w:sz="0" w:space="0" w:color="auto"/>
        <w:right w:val="none" w:sz="0" w:space="0" w:color="auto"/>
      </w:divBdr>
    </w:div>
    <w:div w:id="1411464162">
      <w:bodyDiv w:val="1"/>
      <w:marLeft w:val="0"/>
      <w:marRight w:val="0"/>
      <w:marTop w:val="0"/>
      <w:marBottom w:val="0"/>
      <w:divBdr>
        <w:top w:val="none" w:sz="0" w:space="0" w:color="auto"/>
        <w:left w:val="none" w:sz="0" w:space="0" w:color="auto"/>
        <w:bottom w:val="none" w:sz="0" w:space="0" w:color="auto"/>
        <w:right w:val="none" w:sz="0" w:space="0" w:color="auto"/>
      </w:divBdr>
    </w:div>
    <w:div w:id="1415472560">
      <w:bodyDiv w:val="1"/>
      <w:marLeft w:val="0"/>
      <w:marRight w:val="0"/>
      <w:marTop w:val="0"/>
      <w:marBottom w:val="0"/>
      <w:divBdr>
        <w:top w:val="none" w:sz="0" w:space="0" w:color="auto"/>
        <w:left w:val="none" w:sz="0" w:space="0" w:color="auto"/>
        <w:bottom w:val="none" w:sz="0" w:space="0" w:color="auto"/>
        <w:right w:val="none" w:sz="0" w:space="0" w:color="auto"/>
      </w:divBdr>
    </w:div>
    <w:div w:id="1442143029">
      <w:bodyDiv w:val="1"/>
      <w:marLeft w:val="0"/>
      <w:marRight w:val="0"/>
      <w:marTop w:val="0"/>
      <w:marBottom w:val="0"/>
      <w:divBdr>
        <w:top w:val="none" w:sz="0" w:space="0" w:color="auto"/>
        <w:left w:val="none" w:sz="0" w:space="0" w:color="auto"/>
        <w:bottom w:val="none" w:sz="0" w:space="0" w:color="auto"/>
        <w:right w:val="none" w:sz="0" w:space="0" w:color="auto"/>
      </w:divBdr>
    </w:div>
    <w:div w:id="1467314771">
      <w:bodyDiv w:val="1"/>
      <w:marLeft w:val="0"/>
      <w:marRight w:val="0"/>
      <w:marTop w:val="0"/>
      <w:marBottom w:val="0"/>
      <w:divBdr>
        <w:top w:val="none" w:sz="0" w:space="0" w:color="auto"/>
        <w:left w:val="none" w:sz="0" w:space="0" w:color="auto"/>
        <w:bottom w:val="none" w:sz="0" w:space="0" w:color="auto"/>
        <w:right w:val="none" w:sz="0" w:space="0" w:color="auto"/>
      </w:divBdr>
    </w:div>
    <w:div w:id="1478453545">
      <w:bodyDiv w:val="1"/>
      <w:marLeft w:val="0"/>
      <w:marRight w:val="0"/>
      <w:marTop w:val="0"/>
      <w:marBottom w:val="0"/>
      <w:divBdr>
        <w:top w:val="none" w:sz="0" w:space="0" w:color="auto"/>
        <w:left w:val="none" w:sz="0" w:space="0" w:color="auto"/>
        <w:bottom w:val="none" w:sz="0" w:space="0" w:color="auto"/>
        <w:right w:val="none" w:sz="0" w:space="0" w:color="auto"/>
      </w:divBdr>
    </w:div>
    <w:div w:id="1490099563">
      <w:bodyDiv w:val="1"/>
      <w:marLeft w:val="0"/>
      <w:marRight w:val="0"/>
      <w:marTop w:val="0"/>
      <w:marBottom w:val="0"/>
      <w:divBdr>
        <w:top w:val="none" w:sz="0" w:space="0" w:color="auto"/>
        <w:left w:val="none" w:sz="0" w:space="0" w:color="auto"/>
        <w:bottom w:val="none" w:sz="0" w:space="0" w:color="auto"/>
        <w:right w:val="none" w:sz="0" w:space="0" w:color="auto"/>
      </w:divBdr>
    </w:div>
    <w:div w:id="1550605764">
      <w:bodyDiv w:val="1"/>
      <w:marLeft w:val="0"/>
      <w:marRight w:val="0"/>
      <w:marTop w:val="0"/>
      <w:marBottom w:val="0"/>
      <w:divBdr>
        <w:top w:val="none" w:sz="0" w:space="0" w:color="auto"/>
        <w:left w:val="none" w:sz="0" w:space="0" w:color="auto"/>
        <w:bottom w:val="none" w:sz="0" w:space="0" w:color="auto"/>
        <w:right w:val="none" w:sz="0" w:space="0" w:color="auto"/>
      </w:divBdr>
    </w:div>
    <w:div w:id="1555509133">
      <w:bodyDiv w:val="1"/>
      <w:marLeft w:val="0"/>
      <w:marRight w:val="0"/>
      <w:marTop w:val="0"/>
      <w:marBottom w:val="0"/>
      <w:divBdr>
        <w:top w:val="none" w:sz="0" w:space="0" w:color="auto"/>
        <w:left w:val="none" w:sz="0" w:space="0" w:color="auto"/>
        <w:bottom w:val="none" w:sz="0" w:space="0" w:color="auto"/>
        <w:right w:val="none" w:sz="0" w:space="0" w:color="auto"/>
      </w:divBdr>
    </w:div>
    <w:div w:id="1563708210">
      <w:bodyDiv w:val="1"/>
      <w:marLeft w:val="0"/>
      <w:marRight w:val="0"/>
      <w:marTop w:val="0"/>
      <w:marBottom w:val="0"/>
      <w:divBdr>
        <w:top w:val="none" w:sz="0" w:space="0" w:color="auto"/>
        <w:left w:val="none" w:sz="0" w:space="0" w:color="auto"/>
        <w:bottom w:val="none" w:sz="0" w:space="0" w:color="auto"/>
        <w:right w:val="none" w:sz="0" w:space="0" w:color="auto"/>
      </w:divBdr>
    </w:div>
    <w:div w:id="1579634814">
      <w:bodyDiv w:val="1"/>
      <w:marLeft w:val="0"/>
      <w:marRight w:val="0"/>
      <w:marTop w:val="0"/>
      <w:marBottom w:val="0"/>
      <w:divBdr>
        <w:top w:val="none" w:sz="0" w:space="0" w:color="auto"/>
        <w:left w:val="none" w:sz="0" w:space="0" w:color="auto"/>
        <w:bottom w:val="none" w:sz="0" w:space="0" w:color="auto"/>
        <w:right w:val="none" w:sz="0" w:space="0" w:color="auto"/>
      </w:divBdr>
    </w:div>
    <w:div w:id="1587569561">
      <w:bodyDiv w:val="1"/>
      <w:marLeft w:val="0"/>
      <w:marRight w:val="0"/>
      <w:marTop w:val="0"/>
      <w:marBottom w:val="0"/>
      <w:divBdr>
        <w:top w:val="none" w:sz="0" w:space="0" w:color="auto"/>
        <w:left w:val="none" w:sz="0" w:space="0" w:color="auto"/>
        <w:bottom w:val="none" w:sz="0" w:space="0" w:color="auto"/>
        <w:right w:val="none" w:sz="0" w:space="0" w:color="auto"/>
      </w:divBdr>
    </w:div>
    <w:div w:id="1595162060">
      <w:bodyDiv w:val="1"/>
      <w:marLeft w:val="0"/>
      <w:marRight w:val="0"/>
      <w:marTop w:val="0"/>
      <w:marBottom w:val="0"/>
      <w:divBdr>
        <w:top w:val="none" w:sz="0" w:space="0" w:color="auto"/>
        <w:left w:val="none" w:sz="0" w:space="0" w:color="auto"/>
        <w:bottom w:val="none" w:sz="0" w:space="0" w:color="auto"/>
        <w:right w:val="none" w:sz="0" w:space="0" w:color="auto"/>
      </w:divBdr>
    </w:div>
    <w:div w:id="1615476711">
      <w:bodyDiv w:val="1"/>
      <w:marLeft w:val="0"/>
      <w:marRight w:val="0"/>
      <w:marTop w:val="0"/>
      <w:marBottom w:val="0"/>
      <w:divBdr>
        <w:top w:val="none" w:sz="0" w:space="0" w:color="auto"/>
        <w:left w:val="none" w:sz="0" w:space="0" w:color="auto"/>
        <w:bottom w:val="none" w:sz="0" w:space="0" w:color="auto"/>
        <w:right w:val="none" w:sz="0" w:space="0" w:color="auto"/>
      </w:divBdr>
    </w:div>
    <w:div w:id="1630360095">
      <w:bodyDiv w:val="1"/>
      <w:marLeft w:val="0"/>
      <w:marRight w:val="0"/>
      <w:marTop w:val="0"/>
      <w:marBottom w:val="0"/>
      <w:divBdr>
        <w:top w:val="none" w:sz="0" w:space="0" w:color="auto"/>
        <w:left w:val="none" w:sz="0" w:space="0" w:color="auto"/>
        <w:bottom w:val="none" w:sz="0" w:space="0" w:color="auto"/>
        <w:right w:val="none" w:sz="0" w:space="0" w:color="auto"/>
      </w:divBdr>
    </w:div>
    <w:div w:id="1634941528">
      <w:bodyDiv w:val="1"/>
      <w:marLeft w:val="0"/>
      <w:marRight w:val="0"/>
      <w:marTop w:val="0"/>
      <w:marBottom w:val="0"/>
      <w:divBdr>
        <w:top w:val="none" w:sz="0" w:space="0" w:color="auto"/>
        <w:left w:val="none" w:sz="0" w:space="0" w:color="auto"/>
        <w:bottom w:val="none" w:sz="0" w:space="0" w:color="auto"/>
        <w:right w:val="none" w:sz="0" w:space="0" w:color="auto"/>
      </w:divBdr>
    </w:div>
    <w:div w:id="1650859809">
      <w:bodyDiv w:val="1"/>
      <w:marLeft w:val="0"/>
      <w:marRight w:val="0"/>
      <w:marTop w:val="0"/>
      <w:marBottom w:val="0"/>
      <w:divBdr>
        <w:top w:val="none" w:sz="0" w:space="0" w:color="auto"/>
        <w:left w:val="none" w:sz="0" w:space="0" w:color="auto"/>
        <w:bottom w:val="none" w:sz="0" w:space="0" w:color="auto"/>
        <w:right w:val="none" w:sz="0" w:space="0" w:color="auto"/>
      </w:divBdr>
    </w:div>
    <w:div w:id="1661039906">
      <w:bodyDiv w:val="1"/>
      <w:marLeft w:val="0"/>
      <w:marRight w:val="0"/>
      <w:marTop w:val="0"/>
      <w:marBottom w:val="0"/>
      <w:divBdr>
        <w:top w:val="none" w:sz="0" w:space="0" w:color="auto"/>
        <w:left w:val="none" w:sz="0" w:space="0" w:color="auto"/>
        <w:bottom w:val="none" w:sz="0" w:space="0" w:color="auto"/>
        <w:right w:val="none" w:sz="0" w:space="0" w:color="auto"/>
      </w:divBdr>
    </w:div>
    <w:div w:id="1667703009">
      <w:bodyDiv w:val="1"/>
      <w:marLeft w:val="0"/>
      <w:marRight w:val="0"/>
      <w:marTop w:val="0"/>
      <w:marBottom w:val="0"/>
      <w:divBdr>
        <w:top w:val="none" w:sz="0" w:space="0" w:color="auto"/>
        <w:left w:val="none" w:sz="0" w:space="0" w:color="auto"/>
        <w:bottom w:val="none" w:sz="0" w:space="0" w:color="auto"/>
        <w:right w:val="none" w:sz="0" w:space="0" w:color="auto"/>
      </w:divBdr>
    </w:div>
    <w:div w:id="1713766473">
      <w:bodyDiv w:val="1"/>
      <w:marLeft w:val="0"/>
      <w:marRight w:val="0"/>
      <w:marTop w:val="0"/>
      <w:marBottom w:val="0"/>
      <w:divBdr>
        <w:top w:val="none" w:sz="0" w:space="0" w:color="auto"/>
        <w:left w:val="none" w:sz="0" w:space="0" w:color="auto"/>
        <w:bottom w:val="none" w:sz="0" w:space="0" w:color="auto"/>
        <w:right w:val="none" w:sz="0" w:space="0" w:color="auto"/>
      </w:divBdr>
    </w:div>
    <w:div w:id="1726755817">
      <w:bodyDiv w:val="1"/>
      <w:marLeft w:val="0"/>
      <w:marRight w:val="0"/>
      <w:marTop w:val="0"/>
      <w:marBottom w:val="0"/>
      <w:divBdr>
        <w:top w:val="none" w:sz="0" w:space="0" w:color="auto"/>
        <w:left w:val="none" w:sz="0" w:space="0" w:color="auto"/>
        <w:bottom w:val="none" w:sz="0" w:space="0" w:color="auto"/>
        <w:right w:val="none" w:sz="0" w:space="0" w:color="auto"/>
      </w:divBdr>
    </w:div>
    <w:div w:id="1742023894">
      <w:bodyDiv w:val="1"/>
      <w:marLeft w:val="0"/>
      <w:marRight w:val="0"/>
      <w:marTop w:val="0"/>
      <w:marBottom w:val="0"/>
      <w:divBdr>
        <w:top w:val="none" w:sz="0" w:space="0" w:color="auto"/>
        <w:left w:val="none" w:sz="0" w:space="0" w:color="auto"/>
        <w:bottom w:val="none" w:sz="0" w:space="0" w:color="auto"/>
        <w:right w:val="none" w:sz="0" w:space="0" w:color="auto"/>
      </w:divBdr>
    </w:div>
    <w:div w:id="1752392454">
      <w:bodyDiv w:val="1"/>
      <w:marLeft w:val="0"/>
      <w:marRight w:val="0"/>
      <w:marTop w:val="0"/>
      <w:marBottom w:val="0"/>
      <w:divBdr>
        <w:top w:val="none" w:sz="0" w:space="0" w:color="auto"/>
        <w:left w:val="none" w:sz="0" w:space="0" w:color="auto"/>
        <w:bottom w:val="none" w:sz="0" w:space="0" w:color="auto"/>
        <w:right w:val="none" w:sz="0" w:space="0" w:color="auto"/>
      </w:divBdr>
    </w:div>
    <w:div w:id="1800031624">
      <w:bodyDiv w:val="1"/>
      <w:marLeft w:val="0"/>
      <w:marRight w:val="0"/>
      <w:marTop w:val="0"/>
      <w:marBottom w:val="0"/>
      <w:divBdr>
        <w:top w:val="none" w:sz="0" w:space="0" w:color="auto"/>
        <w:left w:val="none" w:sz="0" w:space="0" w:color="auto"/>
        <w:bottom w:val="none" w:sz="0" w:space="0" w:color="auto"/>
        <w:right w:val="none" w:sz="0" w:space="0" w:color="auto"/>
      </w:divBdr>
    </w:div>
    <w:div w:id="1805615083">
      <w:bodyDiv w:val="1"/>
      <w:marLeft w:val="0"/>
      <w:marRight w:val="0"/>
      <w:marTop w:val="0"/>
      <w:marBottom w:val="0"/>
      <w:divBdr>
        <w:top w:val="none" w:sz="0" w:space="0" w:color="auto"/>
        <w:left w:val="none" w:sz="0" w:space="0" w:color="auto"/>
        <w:bottom w:val="none" w:sz="0" w:space="0" w:color="auto"/>
        <w:right w:val="none" w:sz="0" w:space="0" w:color="auto"/>
      </w:divBdr>
    </w:div>
    <w:div w:id="1813908798">
      <w:bodyDiv w:val="1"/>
      <w:marLeft w:val="0"/>
      <w:marRight w:val="0"/>
      <w:marTop w:val="0"/>
      <w:marBottom w:val="0"/>
      <w:divBdr>
        <w:top w:val="none" w:sz="0" w:space="0" w:color="auto"/>
        <w:left w:val="none" w:sz="0" w:space="0" w:color="auto"/>
        <w:bottom w:val="none" w:sz="0" w:space="0" w:color="auto"/>
        <w:right w:val="none" w:sz="0" w:space="0" w:color="auto"/>
      </w:divBdr>
    </w:div>
    <w:div w:id="1830439838">
      <w:bodyDiv w:val="1"/>
      <w:marLeft w:val="0"/>
      <w:marRight w:val="0"/>
      <w:marTop w:val="0"/>
      <w:marBottom w:val="0"/>
      <w:divBdr>
        <w:top w:val="none" w:sz="0" w:space="0" w:color="auto"/>
        <w:left w:val="none" w:sz="0" w:space="0" w:color="auto"/>
        <w:bottom w:val="none" w:sz="0" w:space="0" w:color="auto"/>
        <w:right w:val="none" w:sz="0" w:space="0" w:color="auto"/>
      </w:divBdr>
    </w:div>
    <w:div w:id="1838426006">
      <w:bodyDiv w:val="1"/>
      <w:marLeft w:val="0"/>
      <w:marRight w:val="0"/>
      <w:marTop w:val="0"/>
      <w:marBottom w:val="0"/>
      <w:divBdr>
        <w:top w:val="none" w:sz="0" w:space="0" w:color="auto"/>
        <w:left w:val="none" w:sz="0" w:space="0" w:color="auto"/>
        <w:bottom w:val="none" w:sz="0" w:space="0" w:color="auto"/>
        <w:right w:val="none" w:sz="0" w:space="0" w:color="auto"/>
      </w:divBdr>
    </w:div>
    <w:div w:id="1841502028">
      <w:bodyDiv w:val="1"/>
      <w:marLeft w:val="0"/>
      <w:marRight w:val="0"/>
      <w:marTop w:val="0"/>
      <w:marBottom w:val="0"/>
      <w:divBdr>
        <w:top w:val="none" w:sz="0" w:space="0" w:color="auto"/>
        <w:left w:val="none" w:sz="0" w:space="0" w:color="auto"/>
        <w:bottom w:val="none" w:sz="0" w:space="0" w:color="auto"/>
        <w:right w:val="none" w:sz="0" w:space="0" w:color="auto"/>
      </w:divBdr>
    </w:div>
    <w:div w:id="1852714890">
      <w:bodyDiv w:val="1"/>
      <w:marLeft w:val="0"/>
      <w:marRight w:val="0"/>
      <w:marTop w:val="0"/>
      <w:marBottom w:val="0"/>
      <w:divBdr>
        <w:top w:val="none" w:sz="0" w:space="0" w:color="auto"/>
        <w:left w:val="none" w:sz="0" w:space="0" w:color="auto"/>
        <w:bottom w:val="none" w:sz="0" w:space="0" w:color="auto"/>
        <w:right w:val="none" w:sz="0" w:space="0" w:color="auto"/>
      </w:divBdr>
    </w:div>
    <w:div w:id="1864519063">
      <w:bodyDiv w:val="1"/>
      <w:marLeft w:val="0"/>
      <w:marRight w:val="0"/>
      <w:marTop w:val="0"/>
      <w:marBottom w:val="0"/>
      <w:divBdr>
        <w:top w:val="none" w:sz="0" w:space="0" w:color="auto"/>
        <w:left w:val="none" w:sz="0" w:space="0" w:color="auto"/>
        <w:bottom w:val="none" w:sz="0" w:space="0" w:color="auto"/>
        <w:right w:val="none" w:sz="0" w:space="0" w:color="auto"/>
      </w:divBdr>
    </w:div>
    <w:div w:id="1882591346">
      <w:bodyDiv w:val="1"/>
      <w:marLeft w:val="0"/>
      <w:marRight w:val="0"/>
      <w:marTop w:val="0"/>
      <w:marBottom w:val="0"/>
      <w:divBdr>
        <w:top w:val="none" w:sz="0" w:space="0" w:color="auto"/>
        <w:left w:val="none" w:sz="0" w:space="0" w:color="auto"/>
        <w:bottom w:val="none" w:sz="0" w:space="0" w:color="auto"/>
        <w:right w:val="none" w:sz="0" w:space="0" w:color="auto"/>
      </w:divBdr>
    </w:div>
    <w:div w:id="1913077357">
      <w:bodyDiv w:val="1"/>
      <w:marLeft w:val="0"/>
      <w:marRight w:val="0"/>
      <w:marTop w:val="0"/>
      <w:marBottom w:val="0"/>
      <w:divBdr>
        <w:top w:val="none" w:sz="0" w:space="0" w:color="auto"/>
        <w:left w:val="none" w:sz="0" w:space="0" w:color="auto"/>
        <w:bottom w:val="none" w:sz="0" w:space="0" w:color="auto"/>
        <w:right w:val="none" w:sz="0" w:space="0" w:color="auto"/>
      </w:divBdr>
    </w:div>
    <w:div w:id="1915554724">
      <w:bodyDiv w:val="1"/>
      <w:marLeft w:val="0"/>
      <w:marRight w:val="0"/>
      <w:marTop w:val="0"/>
      <w:marBottom w:val="0"/>
      <w:divBdr>
        <w:top w:val="none" w:sz="0" w:space="0" w:color="auto"/>
        <w:left w:val="none" w:sz="0" w:space="0" w:color="auto"/>
        <w:bottom w:val="none" w:sz="0" w:space="0" w:color="auto"/>
        <w:right w:val="none" w:sz="0" w:space="0" w:color="auto"/>
      </w:divBdr>
    </w:div>
    <w:div w:id="1917013778">
      <w:bodyDiv w:val="1"/>
      <w:marLeft w:val="0"/>
      <w:marRight w:val="0"/>
      <w:marTop w:val="0"/>
      <w:marBottom w:val="0"/>
      <w:divBdr>
        <w:top w:val="none" w:sz="0" w:space="0" w:color="auto"/>
        <w:left w:val="none" w:sz="0" w:space="0" w:color="auto"/>
        <w:bottom w:val="none" w:sz="0" w:space="0" w:color="auto"/>
        <w:right w:val="none" w:sz="0" w:space="0" w:color="auto"/>
      </w:divBdr>
    </w:div>
    <w:div w:id="1951740847">
      <w:bodyDiv w:val="1"/>
      <w:marLeft w:val="0"/>
      <w:marRight w:val="0"/>
      <w:marTop w:val="0"/>
      <w:marBottom w:val="0"/>
      <w:divBdr>
        <w:top w:val="none" w:sz="0" w:space="0" w:color="auto"/>
        <w:left w:val="none" w:sz="0" w:space="0" w:color="auto"/>
        <w:bottom w:val="none" w:sz="0" w:space="0" w:color="auto"/>
        <w:right w:val="none" w:sz="0" w:space="0" w:color="auto"/>
      </w:divBdr>
    </w:div>
    <w:div w:id="1969898073">
      <w:bodyDiv w:val="1"/>
      <w:marLeft w:val="0"/>
      <w:marRight w:val="0"/>
      <w:marTop w:val="0"/>
      <w:marBottom w:val="0"/>
      <w:divBdr>
        <w:top w:val="none" w:sz="0" w:space="0" w:color="auto"/>
        <w:left w:val="none" w:sz="0" w:space="0" w:color="auto"/>
        <w:bottom w:val="none" w:sz="0" w:space="0" w:color="auto"/>
        <w:right w:val="none" w:sz="0" w:space="0" w:color="auto"/>
      </w:divBdr>
    </w:div>
    <w:div w:id="1983776791">
      <w:bodyDiv w:val="1"/>
      <w:marLeft w:val="0"/>
      <w:marRight w:val="0"/>
      <w:marTop w:val="0"/>
      <w:marBottom w:val="0"/>
      <w:divBdr>
        <w:top w:val="none" w:sz="0" w:space="0" w:color="auto"/>
        <w:left w:val="none" w:sz="0" w:space="0" w:color="auto"/>
        <w:bottom w:val="none" w:sz="0" w:space="0" w:color="auto"/>
        <w:right w:val="none" w:sz="0" w:space="0" w:color="auto"/>
      </w:divBdr>
    </w:div>
    <w:div w:id="2026595443">
      <w:bodyDiv w:val="1"/>
      <w:marLeft w:val="0"/>
      <w:marRight w:val="0"/>
      <w:marTop w:val="0"/>
      <w:marBottom w:val="0"/>
      <w:divBdr>
        <w:top w:val="none" w:sz="0" w:space="0" w:color="auto"/>
        <w:left w:val="none" w:sz="0" w:space="0" w:color="auto"/>
        <w:bottom w:val="none" w:sz="0" w:space="0" w:color="auto"/>
        <w:right w:val="none" w:sz="0" w:space="0" w:color="auto"/>
      </w:divBdr>
    </w:div>
    <w:div w:id="2032762500">
      <w:bodyDiv w:val="1"/>
      <w:marLeft w:val="0"/>
      <w:marRight w:val="0"/>
      <w:marTop w:val="0"/>
      <w:marBottom w:val="0"/>
      <w:divBdr>
        <w:top w:val="none" w:sz="0" w:space="0" w:color="auto"/>
        <w:left w:val="none" w:sz="0" w:space="0" w:color="auto"/>
        <w:bottom w:val="none" w:sz="0" w:space="0" w:color="auto"/>
        <w:right w:val="none" w:sz="0" w:space="0" w:color="auto"/>
      </w:divBdr>
    </w:div>
    <w:div w:id="2064057176">
      <w:bodyDiv w:val="1"/>
      <w:marLeft w:val="0"/>
      <w:marRight w:val="0"/>
      <w:marTop w:val="0"/>
      <w:marBottom w:val="0"/>
      <w:divBdr>
        <w:top w:val="none" w:sz="0" w:space="0" w:color="auto"/>
        <w:left w:val="none" w:sz="0" w:space="0" w:color="auto"/>
        <w:bottom w:val="none" w:sz="0" w:space="0" w:color="auto"/>
        <w:right w:val="none" w:sz="0" w:space="0" w:color="auto"/>
      </w:divBdr>
    </w:div>
    <w:div w:id="2099790504">
      <w:bodyDiv w:val="1"/>
      <w:marLeft w:val="0"/>
      <w:marRight w:val="0"/>
      <w:marTop w:val="0"/>
      <w:marBottom w:val="0"/>
      <w:divBdr>
        <w:top w:val="none" w:sz="0" w:space="0" w:color="auto"/>
        <w:left w:val="none" w:sz="0" w:space="0" w:color="auto"/>
        <w:bottom w:val="none" w:sz="0" w:space="0" w:color="auto"/>
        <w:right w:val="none" w:sz="0" w:space="0" w:color="auto"/>
      </w:divBdr>
    </w:div>
    <w:div w:id="21130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hdc-fps01\data$\Education%20(Current)\DHB%20Reports\2015%20Jan%20to%20Jun\Analysis\Discharge%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cat>
            <c:strRef>
              <c:f>'[Discharge analysis.xlsx]Complaints over time'!$A$1:$J$1</c:f>
              <c:strCache>
                <c:ptCount val="10"/>
                <c:pt idx="0">
                  <c:v>Jul-Dec 10</c:v>
                </c:pt>
                <c:pt idx="1">
                  <c:v>Jan-Jun 11</c:v>
                </c:pt>
                <c:pt idx="2">
                  <c:v>Jul-Dec 11</c:v>
                </c:pt>
                <c:pt idx="3">
                  <c:v>Jan-Jun 12</c:v>
                </c:pt>
                <c:pt idx="4">
                  <c:v>Jul-Dec 12</c:v>
                </c:pt>
                <c:pt idx="5">
                  <c:v>Jan-Jun 13</c:v>
                </c:pt>
                <c:pt idx="6">
                  <c:v>Jul-Dec 13</c:v>
                </c:pt>
                <c:pt idx="7">
                  <c:v>Jan-Jun 14</c:v>
                </c:pt>
                <c:pt idx="8">
                  <c:v>Jul-Dec 14</c:v>
                </c:pt>
                <c:pt idx="9">
                  <c:v>Jan-Jun 15</c:v>
                </c:pt>
              </c:strCache>
            </c:strRef>
          </c:cat>
          <c:val>
            <c:numRef>
              <c:f>'[Discharge analysis.xlsx]Complaints over time'!$A$2:$J$2</c:f>
              <c:numCache>
                <c:formatCode>General</c:formatCode>
                <c:ptCount val="10"/>
                <c:pt idx="0">
                  <c:v>257</c:v>
                </c:pt>
                <c:pt idx="1">
                  <c:v>268</c:v>
                </c:pt>
                <c:pt idx="2">
                  <c:v>255</c:v>
                </c:pt>
                <c:pt idx="3">
                  <c:v>355</c:v>
                </c:pt>
                <c:pt idx="4">
                  <c:v>292</c:v>
                </c:pt>
                <c:pt idx="5">
                  <c:v>324</c:v>
                </c:pt>
                <c:pt idx="6">
                  <c:v>330</c:v>
                </c:pt>
                <c:pt idx="7">
                  <c:v>330</c:v>
                </c:pt>
                <c:pt idx="8">
                  <c:v>368</c:v>
                </c:pt>
                <c:pt idx="9">
                  <c:v>389</c:v>
                </c:pt>
              </c:numCache>
            </c:numRef>
          </c:val>
          <c:smooth val="0"/>
        </c:ser>
        <c:dLbls>
          <c:showLegendKey val="0"/>
          <c:showVal val="0"/>
          <c:showCatName val="0"/>
          <c:showSerName val="0"/>
          <c:showPercent val="0"/>
          <c:showBubbleSize val="0"/>
        </c:dLbls>
        <c:marker val="1"/>
        <c:smooth val="0"/>
        <c:axId val="63477248"/>
        <c:axId val="63478784"/>
      </c:lineChart>
      <c:catAx>
        <c:axId val="63477248"/>
        <c:scaling>
          <c:orientation val="minMax"/>
        </c:scaling>
        <c:delete val="0"/>
        <c:axPos val="b"/>
        <c:majorTickMark val="out"/>
        <c:minorTickMark val="none"/>
        <c:tickLblPos val="nextTo"/>
        <c:crossAx val="63478784"/>
        <c:crosses val="autoZero"/>
        <c:auto val="1"/>
        <c:lblAlgn val="ctr"/>
        <c:lblOffset val="100"/>
        <c:noMultiLvlLbl val="0"/>
      </c:catAx>
      <c:valAx>
        <c:axId val="63478784"/>
        <c:scaling>
          <c:orientation val="minMax"/>
        </c:scaling>
        <c:delete val="0"/>
        <c:axPos val="l"/>
        <c:majorGridlines/>
        <c:numFmt formatCode="General" sourceLinked="1"/>
        <c:majorTickMark val="out"/>
        <c:minorTickMark val="none"/>
        <c:tickLblPos val="nextTo"/>
        <c:crossAx val="6347724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903E4-4D88-45A6-8FDF-58DA07AA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B23669B9</Template>
  <TotalTime>0</TotalTime>
  <Pages>23</Pages>
  <Words>6389</Words>
  <Characters>36420</Characters>
  <Application>Microsoft Office Word</Application>
  <DocSecurity>0</DocSecurity>
  <Lines>303</Lines>
  <Paragraphs>85</Paragraphs>
  <ScaleCrop>false</ScaleCrop>
  <Company/>
  <LinksUpToDate>false</LinksUpToDate>
  <CharactersWithSpaces>42724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2015-09-29T06:41:00Z</dcterms:created>
  <dcterms:modified xsi:type="dcterms:W3CDTF">2015-09-29T06:42:00Z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