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057134" w:rsidRPr="00666BAC" w:rsidRDefault="00057134" w:rsidP="00057134">
      <w:pPr>
        <w:pStyle w:val="NoSpacing"/>
        <w:jc w:val="center"/>
        <w:rPr>
          <w:rFonts w:eastAsiaTheme="majorEastAsia" w:cstheme="majorBidi"/>
          <w:b/>
          <w:sz w:val="48"/>
          <w:szCs w:val="48"/>
          <w:lang w:val="en-NZ"/>
        </w:rPr>
      </w:pPr>
      <w:r w:rsidRPr="00666BAC">
        <w:rPr>
          <w:rFonts w:eastAsiaTheme="majorEastAsia" w:cstheme="majorBidi"/>
          <w:b/>
          <w:sz w:val="48"/>
          <w:szCs w:val="48"/>
          <w:lang w:val="en-NZ"/>
        </w:rPr>
        <w:t xml:space="preserve">Complaints to the Health and Disability Commissioner involving </w:t>
      </w:r>
    </w:p>
    <w:p w:rsidR="00057134" w:rsidRPr="00666BAC" w:rsidRDefault="00057134" w:rsidP="00057134">
      <w:pPr>
        <w:pStyle w:val="NoSpacing"/>
        <w:jc w:val="center"/>
        <w:rPr>
          <w:rFonts w:eastAsiaTheme="majorEastAsia" w:cstheme="majorBidi"/>
          <w:b/>
          <w:sz w:val="48"/>
          <w:szCs w:val="48"/>
          <w:lang w:val="en-NZ"/>
        </w:rPr>
      </w:pPr>
      <w:r w:rsidRPr="00666BAC">
        <w:rPr>
          <w:rFonts w:eastAsiaTheme="majorEastAsia" w:cstheme="majorBidi"/>
          <w:b/>
          <w:sz w:val="48"/>
          <w:szCs w:val="48"/>
          <w:lang w:val="en-NZ"/>
        </w:rPr>
        <w:t>District Health Boards</w:t>
      </w:r>
    </w:p>
    <w:p w:rsidR="00E129ED" w:rsidRPr="00666BAC" w:rsidRDefault="00E129ED" w:rsidP="00E129ED">
      <w:pPr>
        <w:pStyle w:val="NoSpacing"/>
        <w:jc w:val="center"/>
        <w:rPr>
          <w:rFonts w:eastAsiaTheme="majorEastAsia" w:cstheme="majorBidi"/>
          <w:b/>
          <w:sz w:val="36"/>
          <w:szCs w:val="36"/>
          <w:lang w:val="en-NZ"/>
        </w:rPr>
      </w:pPr>
    </w:p>
    <w:p w:rsidR="00E129ED" w:rsidRPr="00666BAC" w:rsidRDefault="00E129ED" w:rsidP="00E129ED">
      <w:pPr>
        <w:pStyle w:val="NoSpacing"/>
        <w:jc w:val="center"/>
        <w:rPr>
          <w:rFonts w:eastAsiaTheme="majorEastAsia" w:cstheme="majorBidi"/>
          <w:b/>
          <w:sz w:val="32"/>
          <w:szCs w:val="32"/>
          <w:lang w:val="en-NZ"/>
        </w:rPr>
      </w:pPr>
      <w:r w:rsidRPr="00666BAC">
        <w:rPr>
          <w:rFonts w:eastAsiaTheme="majorEastAsia" w:cstheme="majorBidi"/>
          <w:b/>
          <w:sz w:val="32"/>
          <w:szCs w:val="32"/>
          <w:lang w:val="en-NZ"/>
        </w:rPr>
        <w:t>Report a</w:t>
      </w:r>
      <w:r w:rsidR="00664BA8" w:rsidRPr="00666BAC">
        <w:rPr>
          <w:rFonts w:eastAsiaTheme="majorEastAsia" w:cstheme="majorBidi"/>
          <w:b/>
          <w:sz w:val="32"/>
          <w:szCs w:val="32"/>
          <w:lang w:val="en-NZ"/>
        </w:rPr>
        <w:t>nd Analysis for period 1 J</w:t>
      </w:r>
      <w:r w:rsidR="00057134" w:rsidRPr="00666BAC">
        <w:rPr>
          <w:rFonts w:eastAsiaTheme="majorEastAsia" w:cstheme="majorBidi"/>
          <w:b/>
          <w:sz w:val="32"/>
          <w:szCs w:val="32"/>
          <w:lang w:val="en-NZ"/>
        </w:rPr>
        <w:t>uly 201</w:t>
      </w:r>
      <w:r w:rsidR="002B4B70" w:rsidRPr="00666BAC">
        <w:rPr>
          <w:rFonts w:eastAsiaTheme="majorEastAsia" w:cstheme="majorBidi"/>
          <w:b/>
          <w:sz w:val="32"/>
          <w:szCs w:val="32"/>
          <w:lang w:val="en-NZ"/>
        </w:rPr>
        <w:t>5</w:t>
      </w:r>
      <w:r w:rsidR="00664BA8" w:rsidRPr="00666BAC">
        <w:rPr>
          <w:rFonts w:eastAsiaTheme="majorEastAsia" w:cstheme="majorBidi"/>
          <w:b/>
          <w:sz w:val="32"/>
          <w:szCs w:val="32"/>
          <w:lang w:val="en-NZ"/>
        </w:rPr>
        <w:t xml:space="preserve"> to 30</w:t>
      </w:r>
      <w:r w:rsidR="005270CD" w:rsidRPr="00666BAC">
        <w:rPr>
          <w:rFonts w:eastAsiaTheme="majorEastAsia" w:cstheme="majorBidi"/>
          <w:b/>
          <w:sz w:val="32"/>
          <w:szCs w:val="32"/>
          <w:lang w:val="en-NZ"/>
        </w:rPr>
        <w:t xml:space="preserve"> </w:t>
      </w:r>
      <w:r w:rsidR="00664BA8" w:rsidRPr="00666BAC">
        <w:rPr>
          <w:rFonts w:eastAsiaTheme="majorEastAsia" w:cstheme="majorBidi"/>
          <w:b/>
          <w:sz w:val="32"/>
          <w:szCs w:val="32"/>
          <w:lang w:val="en-NZ"/>
        </w:rPr>
        <w:t>June</w:t>
      </w:r>
      <w:r w:rsidRPr="00666BAC">
        <w:rPr>
          <w:rFonts w:eastAsiaTheme="majorEastAsia" w:cstheme="majorBidi"/>
          <w:b/>
          <w:sz w:val="32"/>
          <w:szCs w:val="32"/>
          <w:lang w:val="en-NZ"/>
        </w:rPr>
        <w:t xml:space="preserve"> 201</w:t>
      </w:r>
      <w:r w:rsidR="002B4B70" w:rsidRPr="00666BAC">
        <w:rPr>
          <w:rFonts w:eastAsiaTheme="majorEastAsia" w:cstheme="majorBidi"/>
          <w:b/>
          <w:sz w:val="32"/>
          <w:szCs w:val="32"/>
          <w:lang w:val="en-NZ"/>
        </w:rPr>
        <w:t>6</w:t>
      </w: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r w:rsidRPr="00666BAC">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051633CB" wp14:editId="3FCDA10D">
            <wp:simplePos x="0" y="0"/>
            <wp:positionH relativeFrom="page">
              <wp:align>center</wp:align>
            </wp:positionH>
            <wp:positionV relativeFrom="paragraph">
              <wp:posOffset>975995</wp:posOffset>
            </wp:positionV>
            <wp:extent cx="1016000" cy="551815"/>
            <wp:effectExtent l="19050" t="0" r="0" b="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6000" cy="551815"/>
                    </a:xfrm>
                    <a:prstGeom prst="rect">
                      <a:avLst/>
                    </a:prstGeom>
                  </pic:spPr>
                </pic:pic>
              </a:graphicData>
            </a:graphic>
          </wp:anchor>
        </w:drawing>
      </w:r>
    </w:p>
    <w:p w:rsidR="00E129ED" w:rsidRPr="00666BAC" w:rsidRDefault="00E129ED" w:rsidP="00E129ED">
      <w:pPr>
        <w:jc w:val="center"/>
        <w:sectPr w:rsidR="00E129ED" w:rsidRPr="00666BAC" w:rsidSect="00A9442D">
          <w:headerReference w:type="even" r:id="rId10"/>
          <w:headerReference w:type="default" r:id="rId11"/>
          <w:footerReference w:type="even" r:id="rId12"/>
          <w:footerReference w:type="default" r:id="rId13"/>
          <w:headerReference w:type="first" r:id="rId14"/>
          <w:footerReference w:type="first" r:id="rId15"/>
          <w:pgSz w:w="11906" w:h="16838" w:code="9"/>
          <w:pgMar w:top="1140" w:right="1412" w:bottom="851" w:left="1412" w:header="720" w:footer="590" w:gutter="0"/>
          <w:cols w:space="720"/>
          <w:titlePg/>
          <w:docGrid w:linePitch="360"/>
        </w:sect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r w:rsidRPr="00666BAC">
        <w:rPr>
          <w:b/>
          <w:szCs w:val="22"/>
        </w:rPr>
        <w:t>Feedback</w:t>
      </w:r>
    </w:p>
    <w:p w:rsidR="003D7EDA" w:rsidRPr="00666BAC" w:rsidRDefault="003D7EDA" w:rsidP="003D7EDA">
      <w:pPr>
        <w:jc w:val="left"/>
        <w:rPr>
          <w:szCs w:val="22"/>
        </w:rPr>
      </w:pPr>
      <w:r w:rsidRPr="00666BAC">
        <w:rPr>
          <w:szCs w:val="22"/>
        </w:rPr>
        <w:t>We welcome your feedback on this report. Please contact Natasha Davidson at hdc@hdc.org.nz</w:t>
      </w:r>
    </w:p>
    <w:p w:rsidR="003D7EDA" w:rsidRPr="00666BAC" w:rsidRDefault="003D7EDA" w:rsidP="003D7EDA">
      <w:pPr>
        <w:jc w:val="left"/>
        <w:rPr>
          <w:szCs w:val="22"/>
        </w:rPr>
      </w:pPr>
    </w:p>
    <w:p w:rsidR="003D7EDA" w:rsidRPr="00666BAC" w:rsidRDefault="003D7EDA" w:rsidP="003D7EDA">
      <w:pPr>
        <w:jc w:val="left"/>
        <w:rPr>
          <w:b/>
          <w:szCs w:val="22"/>
        </w:rPr>
      </w:pPr>
      <w:r w:rsidRPr="00666BAC">
        <w:rPr>
          <w:b/>
          <w:szCs w:val="22"/>
        </w:rPr>
        <w:t>Authors</w:t>
      </w:r>
    </w:p>
    <w:p w:rsidR="003D7EDA" w:rsidRPr="00666BAC" w:rsidRDefault="003D7EDA" w:rsidP="003D7EDA">
      <w:pPr>
        <w:jc w:val="left"/>
        <w:rPr>
          <w:szCs w:val="22"/>
        </w:rPr>
      </w:pPr>
      <w:r w:rsidRPr="00666BAC">
        <w:rPr>
          <w:szCs w:val="22"/>
        </w:rPr>
        <w:t>This report was prepared by Natasha Davidson (</w:t>
      </w:r>
      <w:r w:rsidR="002B4B70" w:rsidRPr="00666BAC">
        <w:rPr>
          <w:szCs w:val="22"/>
        </w:rPr>
        <w:t>Senior Advisor – Research and Education).</w:t>
      </w:r>
    </w:p>
    <w:p w:rsidR="003D7EDA" w:rsidRPr="00666BAC" w:rsidRDefault="003D7EDA" w:rsidP="003D7EDA">
      <w:pPr>
        <w:jc w:val="left"/>
        <w:rPr>
          <w:szCs w:val="22"/>
        </w:rPr>
      </w:pPr>
    </w:p>
    <w:p w:rsidR="003D7EDA" w:rsidRPr="00666BAC" w:rsidRDefault="003D7EDA" w:rsidP="003D7EDA">
      <w:pPr>
        <w:jc w:val="left"/>
        <w:rPr>
          <w:i/>
          <w:szCs w:val="22"/>
        </w:rPr>
      </w:pPr>
      <w:r w:rsidRPr="00666BAC">
        <w:rPr>
          <w:szCs w:val="22"/>
        </w:rPr>
        <w:t>Citation: The Health a</w:t>
      </w:r>
      <w:r w:rsidR="0032313D" w:rsidRPr="00666BAC">
        <w:rPr>
          <w:szCs w:val="22"/>
        </w:rPr>
        <w:t>nd Disability Commissioner. 2017</w:t>
      </w:r>
      <w:r w:rsidRPr="00666BAC">
        <w:rPr>
          <w:szCs w:val="22"/>
        </w:rPr>
        <w:t xml:space="preserve">. </w:t>
      </w:r>
      <w:r w:rsidRPr="00666BAC">
        <w:rPr>
          <w:i/>
          <w:szCs w:val="22"/>
        </w:rPr>
        <w:t xml:space="preserve">Complaints to the Health and Disability Commissioner involving District Health </w:t>
      </w:r>
      <w:r w:rsidR="0032313D" w:rsidRPr="00666BAC">
        <w:rPr>
          <w:i/>
          <w:szCs w:val="22"/>
        </w:rPr>
        <w:t>Boards: Analysis and Report 2015/16</w:t>
      </w:r>
      <w:r w:rsidRPr="00666BAC">
        <w:rPr>
          <w:i/>
          <w:szCs w:val="22"/>
        </w:rPr>
        <w:t>.</w:t>
      </w:r>
    </w:p>
    <w:p w:rsidR="003D7EDA" w:rsidRPr="00666BAC" w:rsidRDefault="003D7EDA" w:rsidP="003D7EDA">
      <w:pPr>
        <w:jc w:val="left"/>
        <w:rPr>
          <w:szCs w:val="22"/>
        </w:rPr>
      </w:pPr>
    </w:p>
    <w:p w:rsidR="003D7EDA" w:rsidRPr="00666BAC" w:rsidRDefault="003D7EDA" w:rsidP="003D7EDA">
      <w:pPr>
        <w:jc w:val="left"/>
        <w:rPr>
          <w:szCs w:val="22"/>
        </w:rPr>
      </w:pPr>
      <w:r w:rsidRPr="00666BAC">
        <w:rPr>
          <w:szCs w:val="22"/>
        </w:rPr>
        <w:t xml:space="preserve">Published in </w:t>
      </w:r>
      <w:r w:rsidR="00523AD3">
        <w:rPr>
          <w:szCs w:val="22"/>
        </w:rPr>
        <w:t xml:space="preserve">March </w:t>
      </w:r>
      <w:r w:rsidR="0032313D" w:rsidRPr="00666BAC">
        <w:rPr>
          <w:szCs w:val="22"/>
        </w:rPr>
        <w:t>2017</w:t>
      </w:r>
    </w:p>
    <w:p w:rsidR="003D7EDA" w:rsidRPr="00666BAC" w:rsidRDefault="003D7EDA" w:rsidP="003D7EDA">
      <w:pPr>
        <w:jc w:val="left"/>
        <w:rPr>
          <w:szCs w:val="22"/>
        </w:rPr>
      </w:pPr>
      <w:r w:rsidRPr="00666BAC">
        <w:rPr>
          <w:szCs w:val="22"/>
        </w:rPr>
        <w:t>by the Health and Disability Commissioner</w:t>
      </w:r>
    </w:p>
    <w:p w:rsidR="003D7EDA" w:rsidRPr="00666BAC" w:rsidRDefault="003D7EDA" w:rsidP="003D7EDA">
      <w:pPr>
        <w:jc w:val="left"/>
        <w:rPr>
          <w:szCs w:val="22"/>
        </w:rPr>
      </w:pPr>
      <w:r w:rsidRPr="00666BAC">
        <w:rPr>
          <w:szCs w:val="22"/>
        </w:rPr>
        <w:t>PO Box 1791, Auckland 1140</w:t>
      </w:r>
    </w:p>
    <w:p w:rsidR="003D7EDA" w:rsidRPr="00666BAC" w:rsidRDefault="003D7EDA" w:rsidP="003D7EDA">
      <w:pPr>
        <w:jc w:val="left"/>
        <w:rPr>
          <w:b/>
          <w:szCs w:val="22"/>
        </w:rPr>
      </w:pPr>
    </w:p>
    <w:p w:rsidR="003D7EDA" w:rsidRPr="00666BAC" w:rsidRDefault="0032313D" w:rsidP="003D7EDA">
      <w:pPr>
        <w:jc w:val="left"/>
        <w:rPr>
          <w:szCs w:val="22"/>
        </w:rPr>
      </w:pPr>
      <w:r w:rsidRPr="00666BAC">
        <w:rPr>
          <w:szCs w:val="22"/>
        </w:rPr>
        <w:t>©2017</w:t>
      </w:r>
      <w:r w:rsidR="003D7EDA" w:rsidRPr="00666BAC">
        <w:rPr>
          <w:szCs w:val="22"/>
        </w:rPr>
        <w:t xml:space="preserve"> The Health and Disability Commissioner</w:t>
      </w:r>
    </w:p>
    <w:p w:rsidR="003D7EDA" w:rsidRPr="00666BAC" w:rsidRDefault="003D7EDA" w:rsidP="003D7EDA">
      <w:pPr>
        <w:jc w:val="left"/>
        <w:rPr>
          <w:b/>
          <w:szCs w:val="22"/>
        </w:rPr>
      </w:pPr>
    </w:p>
    <w:p w:rsidR="003D7EDA" w:rsidRPr="00666BAC" w:rsidRDefault="003D7EDA" w:rsidP="003D7EDA">
      <w:pPr>
        <w:jc w:val="left"/>
        <w:rPr>
          <w:b/>
          <w:szCs w:val="22"/>
        </w:rPr>
        <w:sectPr w:rsidR="003D7EDA" w:rsidRPr="00666BAC" w:rsidSect="003D7EDA">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rsidR="00E129ED" w:rsidRPr="00666BAC" w:rsidRDefault="00E129ED" w:rsidP="00E129ED">
      <w:pPr>
        <w:sectPr w:rsidR="00E129ED" w:rsidRPr="00666BAC" w:rsidSect="00635635">
          <w:pgSz w:w="11906" w:h="16838" w:code="9"/>
          <w:pgMar w:top="1140" w:right="1412" w:bottom="851" w:left="1412" w:header="720" w:footer="590" w:gutter="0"/>
          <w:pgNumType w:start="0"/>
          <w:cols w:space="720"/>
          <w:titlePg/>
          <w:docGrid w:linePitch="360"/>
        </w:sectPr>
      </w:pPr>
    </w:p>
    <w:p w:rsidR="00E129ED" w:rsidRPr="00666BAC" w:rsidRDefault="00E129ED" w:rsidP="005270CD">
      <w:pPr>
        <w:pStyle w:val="Heading1"/>
        <w:rPr>
          <w:lang w:val="en-NZ"/>
        </w:rPr>
      </w:pPr>
      <w:r w:rsidRPr="00666BAC">
        <w:rPr>
          <w:lang w:val="en-NZ"/>
        </w:rPr>
        <w:br w:type="textWrapping" w:clear="all"/>
      </w:r>
      <w:bookmarkStart w:id="0" w:name="_Toc438024716"/>
      <w:r w:rsidR="003D7EDA" w:rsidRPr="00666BAC">
        <w:rPr>
          <w:color w:val="C00000"/>
          <w:sz w:val="36"/>
          <w:szCs w:val="36"/>
        </w:rPr>
        <w:t>CONTENTS</w:t>
      </w:r>
      <w:bookmarkEnd w:id="0"/>
      <w:r w:rsidR="003D7EDA" w:rsidRPr="00666BAC">
        <w:rPr>
          <w:color w:val="C00000"/>
          <w:sz w:val="36"/>
          <w:szCs w:val="36"/>
        </w:rPr>
        <w:t xml:space="preserve">  </w:t>
      </w:r>
    </w:p>
    <w:p w:rsidR="008A48D8" w:rsidRPr="00666BAC" w:rsidRDefault="00E129ED">
      <w:pPr>
        <w:pStyle w:val="TOC1"/>
        <w:rPr>
          <w:rFonts w:eastAsiaTheme="minorEastAsia" w:cstheme="minorBidi"/>
          <w:b w:val="0"/>
          <w:noProof/>
          <w:sz w:val="22"/>
          <w:szCs w:val="22"/>
          <w:lang w:eastAsia="en-NZ" w:bidi="ar-SA"/>
        </w:rPr>
      </w:pPr>
      <w:r w:rsidRPr="00666BAC">
        <w:rPr>
          <w:color w:val="000000" w:themeColor="text1"/>
          <w:sz w:val="32"/>
          <w:szCs w:val="32"/>
        </w:rPr>
        <w:fldChar w:fldCharType="begin"/>
      </w:r>
      <w:r w:rsidRPr="00666BAC">
        <w:rPr>
          <w:color w:val="000000" w:themeColor="text1"/>
          <w:sz w:val="32"/>
          <w:szCs w:val="32"/>
        </w:rPr>
        <w:instrText xml:space="preserve"> TOC \o "2-3" \h \z \t "Heading 1,1" </w:instrText>
      </w:r>
      <w:r w:rsidRPr="00666BAC">
        <w:rPr>
          <w:color w:val="000000" w:themeColor="text1"/>
          <w:sz w:val="32"/>
          <w:szCs w:val="32"/>
        </w:rPr>
        <w:fldChar w:fldCharType="separate"/>
      </w:r>
      <w:hyperlink w:anchor="_Toc438024716" w:history="1">
        <w:r w:rsidR="008A48D8" w:rsidRPr="00666BAC">
          <w:rPr>
            <w:rStyle w:val="Hyperlink"/>
            <w:noProof/>
          </w:rPr>
          <w:t>CONTENTS</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_Toc438024716 \h </w:instrText>
        </w:r>
        <w:r w:rsidR="008A48D8" w:rsidRPr="00666BAC">
          <w:rPr>
            <w:noProof/>
            <w:webHidden/>
          </w:rPr>
        </w:r>
        <w:r w:rsidR="008A48D8" w:rsidRPr="00666BAC">
          <w:rPr>
            <w:noProof/>
            <w:webHidden/>
          </w:rPr>
          <w:fldChar w:fldCharType="separate"/>
        </w:r>
        <w:r w:rsidR="001B2EA8">
          <w:rPr>
            <w:noProof/>
            <w:webHidden/>
          </w:rPr>
          <w:t>i</w:t>
        </w:r>
        <w:r w:rsidR="008A48D8" w:rsidRPr="00666BAC">
          <w:rPr>
            <w:noProof/>
            <w:webHidden/>
          </w:rPr>
          <w:fldChar w:fldCharType="end"/>
        </w:r>
      </w:hyperlink>
    </w:p>
    <w:p w:rsidR="008A48D8" w:rsidRPr="00666BAC" w:rsidRDefault="001B2EA8">
      <w:pPr>
        <w:pStyle w:val="TOC1"/>
        <w:rPr>
          <w:rFonts w:eastAsiaTheme="minorEastAsia" w:cstheme="minorBidi"/>
          <w:b w:val="0"/>
          <w:noProof/>
          <w:sz w:val="22"/>
          <w:szCs w:val="22"/>
          <w:lang w:eastAsia="en-NZ" w:bidi="ar-SA"/>
        </w:rPr>
      </w:pPr>
      <w:hyperlink w:anchor="_Toc438024717" w:history="1">
        <w:r w:rsidR="008A48D8" w:rsidRPr="00666BAC">
          <w:rPr>
            <w:rStyle w:val="Hyperlink"/>
            <w:noProof/>
          </w:rPr>
          <w:t>COMMISSIONER’S FOREWORD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_Toc438024717 \h </w:instrText>
        </w:r>
        <w:r w:rsidR="008A48D8" w:rsidRPr="00666BAC">
          <w:rPr>
            <w:noProof/>
            <w:webHidden/>
          </w:rPr>
        </w:r>
        <w:r w:rsidR="008A48D8" w:rsidRPr="00666BAC">
          <w:rPr>
            <w:noProof/>
            <w:webHidden/>
          </w:rPr>
          <w:fldChar w:fldCharType="separate"/>
        </w:r>
        <w:r>
          <w:rPr>
            <w:noProof/>
            <w:webHidden/>
          </w:rPr>
          <w:t>ii</w:t>
        </w:r>
        <w:r w:rsidR="008A48D8" w:rsidRPr="00666BAC">
          <w:rPr>
            <w:noProof/>
            <w:webHidden/>
          </w:rPr>
          <w:fldChar w:fldCharType="end"/>
        </w:r>
      </w:hyperlink>
    </w:p>
    <w:p w:rsidR="008A48D8" w:rsidRPr="00666BAC" w:rsidRDefault="001B2EA8">
      <w:pPr>
        <w:pStyle w:val="TOC1"/>
        <w:rPr>
          <w:rFonts w:eastAsiaTheme="minorEastAsia" w:cstheme="minorBidi"/>
          <w:b w:val="0"/>
          <w:noProof/>
          <w:sz w:val="22"/>
          <w:szCs w:val="22"/>
          <w:lang w:eastAsia="en-NZ" w:bidi="ar-SA"/>
        </w:rPr>
      </w:pPr>
      <w:hyperlink w:anchor="_Toc438024718" w:history="1">
        <w:r w:rsidR="008A48D8" w:rsidRPr="00666BAC">
          <w:rPr>
            <w:rStyle w:val="Hyperlink"/>
            <w:noProof/>
          </w:rPr>
          <w:t>EXECUTIVE SUMMARY</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_Toc438024718 \h </w:instrText>
        </w:r>
        <w:r w:rsidR="008A48D8" w:rsidRPr="00666BAC">
          <w:rPr>
            <w:noProof/>
            <w:webHidden/>
          </w:rPr>
        </w:r>
        <w:r w:rsidR="008A48D8" w:rsidRPr="00666BAC">
          <w:rPr>
            <w:noProof/>
            <w:webHidden/>
          </w:rPr>
          <w:fldChar w:fldCharType="separate"/>
        </w:r>
        <w:r>
          <w:rPr>
            <w:noProof/>
            <w:webHidden/>
          </w:rPr>
          <w:t>1</w:t>
        </w:r>
        <w:r w:rsidR="008A48D8" w:rsidRPr="00666BAC">
          <w:rPr>
            <w:noProof/>
            <w:webHidden/>
          </w:rPr>
          <w:fldChar w:fldCharType="end"/>
        </w:r>
      </w:hyperlink>
    </w:p>
    <w:p w:rsidR="008A48D8" w:rsidRPr="00666BAC" w:rsidRDefault="001B2EA8">
      <w:pPr>
        <w:pStyle w:val="TOC1"/>
        <w:rPr>
          <w:rFonts w:eastAsiaTheme="minorEastAsia" w:cstheme="minorBidi"/>
          <w:b w:val="0"/>
          <w:noProof/>
          <w:sz w:val="22"/>
          <w:szCs w:val="22"/>
          <w:lang w:eastAsia="en-NZ" w:bidi="ar-SA"/>
        </w:rPr>
      </w:pPr>
      <w:hyperlink w:anchor="_Toc438024719" w:history="1">
        <w:r w:rsidR="008A48D8" w:rsidRPr="00666BAC">
          <w:rPr>
            <w:rStyle w:val="Hyperlink"/>
            <w:noProof/>
          </w:rPr>
          <w:t>BACKGROUND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_Toc438024719 \h </w:instrText>
        </w:r>
        <w:r w:rsidR="008A48D8" w:rsidRPr="00666BAC">
          <w:rPr>
            <w:noProof/>
            <w:webHidden/>
          </w:rPr>
        </w:r>
        <w:r w:rsidR="008A48D8" w:rsidRPr="00666BAC">
          <w:rPr>
            <w:noProof/>
            <w:webHidden/>
          </w:rPr>
          <w:fldChar w:fldCharType="separate"/>
        </w:r>
        <w:r>
          <w:rPr>
            <w:noProof/>
            <w:webHidden/>
          </w:rPr>
          <w:t>2</w:t>
        </w:r>
        <w:r w:rsidR="008A48D8" w:rsidRPr="00666BAC">
          <w:rPr>
            <w:noProof/>
            <w:webHidden/>
          </w:rPr>
          <w:fldChar w:fldCharType="end"/>
        </w:r>
      </w:hyperlink>
    </w:p>
    <w:p w:rsidR="008A48D8" w:rsidRPr="00666BAC" w:rsidRDefault="001B2EA8">
      <w:pPr>
        <w:pStyle w:val="TOC2"/>
        <w:rPr>
          <w:rFonts w:eastAsiaTheme="minorEastAsia" w:cstheme="minorBidi"/>
          <w:b w:val="0"/>
          <w:noProof/>
          <w:lang w:eastAsia="en-NZ" w:bidi="ar-SA"/>
        </w:rPr>
      </w:pPr>
      <w:hyperlink w:anchor="_Toc438024720" w:history="1">
        <w:r w:rsidR="008A48D8" w:rsidRPr="00666BAC">
          <w:rPr>
            <w:rStyle w:val="Hyperlink"/>
            <w:noProof/>
          </w:rPr>
          <w:t>1.</w:t>
        </w:r>
        <w:r w:rsidR="008A48D8" w:rsidRPr="00666BAC">
          <w:rPr>
            <w:rFonts w:eastAsiaTheme="minorEastAsia" w:cstheme="minorBidi"/>
            <w:b w:val="0"/>
            <w:noProof/>
            <w:lang w:eastAsia="en-NZ" w:bidi="ar-SA"/>
          </w:rPr>
          <w:tab/>
        </w:r>
        <w:r w:rsidR="008A48D8" w:rsidRPr="00666BAC">
          <w:rPr>
            <w:rStyle w:val="Hyperlink"/>
            <w:noProof/>
          </w:rPr>
          <w:t>The Health and Disability Commissioner</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_Toc438024720 \h </w:instrText>
        </w:r>
        <w:r w:rsidR="008A48D8" w:rsidRPr="00666BAC">
          <w:rPr>
            <w:noProof/>
            <w:webHidden/>
          </w:rPr>
        </w:r>
        <w:r w:rsidR="008A48D8" w:rsidRPr="00666BAC">
          <w:rPr>
            <w:noProof/>
            <w:webHidden/>
          </w:rPr>
          <w:fldChar w:fldCharType="separate"/>
        </w:r>
        <w:r>
          <w:rPr>
            <w:noProof/>
            <w:webHidden/>
          </w:rPr>
          <w:t>2</w:t>
        </w:r>
        <w:r w:rsidR="008A48D8" w:rsidRPr="00666BAC">
          <w:rPr>
            <w:noProof/>
            <w:webHidden/>
          </w:rPr>
          <w:fldChar w:fldCharType="end"/>
        </w:r>
      </w:hyperlink>
    </w:p>
    <w:p w:rsidR="008A48D8" w:rsidRPr="00666BAC" w:rsidRDefault="001B2EA8">
      <w:pPr>
        <w:pStyle w:val="TOC2"/>
        <w:rPr>
          <w:rFonts w:eastAsiaTheme="minorEastAsia" w:cstheme="minorBidi"/>
          <w:b w:val="0"/>
          <w:noProof/>
          <w:lang w:eastAsia="en-NZ" w:bidi="ar-SA"/>
        </w:rPr>
      </w:pPr>
      <w:hyperlink w:anchor="_Toc438024721" w:history="1">
        <w:r w:rsidR="008A48D8" w:rsidRPr="00666BAC">
          <w:rPr>
            <w:rStyle w:val="Hyperlink"/>
            <w:noProof/>
          </w:rPr>
          <w:t>2.</w:t>
        </w:r>
        <w:r w:rsidR="008A48D8" w:rsidRPr="00666BAC">
          <w:rPr>
            <w:rFonts w:eastAsiaTheme="minorEastAsia" w:cstheme="minorBidi"/>
            <w:b w:val="0"/>
            <w:noProof/>
            <w:lang w:eastAsia="en-NZ" w:bidi="ar-SA"/>
          </w:rPr>
          <w:tab/>
        </w:r>
        <w:r w:rsidR="008A48D8" w:rsidRPr="00666BAC">
          <w:rPr>
            <w:rStyle w:val="Hyperlink"/>
            <w:noProof/>
          </w:rPr>
          <w:t>District Health Boards</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_Toc438024721 \h </w:instrText>
        </w:r>
        <w:r w:rsidR="008A48D8" w:rsidRPr="00666BAC">
          <w:rPr>
            <w:noProof/>
            <w:webHidden/>
          </w:rPr>
        </w:r>
        <w:r w:rsidR="008A48D8" w:rsidRPr="00666BAC">
          <w:rPr>
            <w:noProof/>
            <w:webHidden/>
          </w:rPr>
          <w:fldChar w:fldCharType="separate"/>
        </w:r>
        <w:r>
          <w:rPr>
            <w:noProof/>
            <w:webHidden/>
          </w:rPr>
          <w:t>3</w:t>
        </w:r>
        <w:r w:rsidR="008A48D8" w:rsidRPr="00666BAC">
          <w:rPr>
            <w:noProof/>
            <w:webHidden/>
          </w:rPr>
          <w:fldChar w:fldCharType="end"/>
        </w:r>
      </w:hyperlink>
    </w:p>
    <w:p w:rsidR="008A48D8" w:rsidRPr="00666BAC" w:rsidRDefault="001B2EA8">
      <w:pPr>
        <w:pStyle w:val="TOC2"/>
        <w:rPr>
          <w:rFonts w:eastAsiaTheme="minorEastAsia" w:cstheme="minorBidi"/>
          <w:b w:val="0"/>
          <w:noProof/>
          <w:lang w:eastAsia="en-NZ" w:bidi="ar-SA"/>
        </w:rPr>
      </w:pPr>
      <w:hyperlink w:anchor="_Toc438024722" w:history="1">
        <w:r w:rsidR="008A48D8" w:rsidRPr="00666BAC">
          <w:rPr>
            <w:rStyle w:val="Hyperlink"/>
            <w:noProof/>
          </w:rPr>
          <w:t>3.</w:t>
        </w:r>
        <w:r w:rsidR="008A48D8" w:rsidRPr="00666BAC">
          <w:rPr>
            <w:rFonts w:eastAsiaTheme="minorEastAsia" w:cstheme="minorBidi"/>
            <w:b w:val="0"/>
            <w:noProof/>
            <w:lang w:eastAsia="en-NZ" w:bidi="ar-SA"/>
          </w:rPr>
          <w:tab/>
        </w:r>
        <w:r w:rsidR="008A48D8" w:rsidRPr="00666BAC">
          <w:rPr>
            <w:rStyle w:val="Hyperlink"/>
            <w:noProof/>
          </w:rPr>
          <w:t>This Report</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_Toc438024722 \h </w:instrText>
        </w:r>
        <w:r w:rsidR="008A48D8" w:rsidRPr="00666BAC">
          <w:rPr>
            <w:noProof/>
            <w:webHidden/>
          </w:rPr>
        </w:r>
        <w:r w:rsidR="008A48D8" w:rsidRPr="00666BAC">
          <w:rPr>
            <w:noProof/>
            <w:webHidden/>
          </w:rPr>
          <w:fldChar w:fldCharType="separate"/>
        </w:r>
        <w:r>
          <w:rPr>
            <w:noProof/>
            <w:webHidden/>
          </w:rPr>
          <w:t>4</w:t>
        </w:r>
        <w:r w:rsidR="008A48D8" w:rsidRPr="00666BAC">
          <w:rPr>
            <w:noProof/>
            <w:webHidden/>
          </w:rPr>
          <w:fldChar w:fldCharType="end"/>
        </w:r>
      </w:hyperlink>
    </w:p>
    <w:p w:rsidR="008A48D8" w:rsidRPr="00666BAC" w:rsidRDefault="001B2EA8">
      <w:pPr>
        <w:pStyle w:val="TOC1"/>
        <w:rPr>
          <w:rFonts w:eastAsiaTheme="minorEastAsia" w:cstheme="minorBidi"/>
          <w:b w:val="0"/>
          <w:noProof/>
          <w:sz w:val="22"/>
          <w:szCs w:val="22"/>
          <w:lang w:eastAsia="en-NZ" w:bidi="ar-SA"/>
        </w:rPr>
      </w:pPr>
      <w:hyperlink w:anchor="_Toc438024723" w:history="1">
        <w:r w:rsidR="008A48D8" w:rsidRPr="00666BAC">
          <w:rPr>
            <w:rStyle w:val="Hyperlink"/>
            <w:noProof/>
          </w:rPr>
          <w:t>COMPLAINTS RECEIVED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_Toc438024723 \h </w:instrText>
        </w:r>
        <w:r w:rsidR="008A48D8" w:rsidRPr="00666BAC">
          <w:rPr>
            <w:noProof/>
            <w:webHidden/>
          </w:rPr>
        </w:r>
        <w:r w:rsidR="008A48D8" w:rsidRPr="00666BAC">
          <w:rPr>
            <w:noProof/>
            <w:webHidden/>
          </w:rPr>
          <w:fldChar w:fldCharType="separate"/>
        </w:r>
        <w:r>
          <w:rPr>
            <w:noProof/>
            <w:webHidden/>
          </w:rPr>
          <w:t>5</w:t>
        </w:r>
        <w:r w:rsidR="008A48D8" w:rsidRPr="00666BAC">
          <w:rPr>
            <w:noProof/>
            <w:webHidden/>
          </w:rPr>
          <w:fldChar w:fldCharType="end"/>
        </w:r>
      </w:hyperlink>
    </w:p>
    <w:p w:rsidR="008A48D8" w:rsidRPr="00666BAC" w:rsidRDefault="001B2EA8">
      <w:pPr>
        <w:pStyle w:val="TOC2"/>
        <w:rPr>
          <w:rFonts w:eastAsiaTheme="minorEastAsia" w:cstheme="minorBidi"/>
          <w:b w:val="0"/>
          <w:noProof/>
          <w:lang w:eastAsia="en-NZ" w:bidi="ar-SA"/>
        </w:rPr>
      </w:pPr>
      <w:hyperlink w:anchor="_Toc438024724" w:history="1">
        <w:r w:rsidR="008A48D8" w:rsidRPr="00666BAC">
          <w:rPr>
            <w:rStyle w:val="Hyperlink"/>
            <w:noProof/>
          </w:rPr>
          <w:t>1.</w:t>
        </w:r>
        <w:r w:rsidR="008A48D8" w:rsidRPr="00666BAC">
          <w:rPr>
            <w:rFonts w:eastAsiaTheme="minorEastAsia" w:cstheme="minorBidi"/>
            <w:b w:val="0"/>
            <w:noProof/>
            <w:lang w:eastAsia="en-NZ" w:bidi="ar-SA"/>
          </w:rPr>
          <w:tab/>
        </w:r>
        <w:r w:rsidR="008A48D8" w:rsidRPr="00666BAC">
          <w:rPr>
            <w:rStyle w:val="Hyperlink"/>
            <w:noProof/>
          </w:rPr>
          <w:t>How many complaints were received?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_Toc438024724 \h </w:instrText>
        </w:r>
        <w:r w:rsidR="008A48D8" w:rsidRPr="00666BAC">
          <w:rPr>
            <w:noProof/>
            <w:webHidden/>
          </w:rPr>
        </w:r>
        <w:r w:rsidR="008A48D8" w:rsidRPr="00666BAC">
          <w:rPr>
            <w:noProof/>
            <w:webHidden/>
          </w:rPr>
          <w:fldChar w:fldCharType="separate"/>
        </w:r>
        <w:r>
          <w:rPr>
            <w:noProof/>
            <w:webHidden/>
          </w:rPr>
          <w:t>5</w:t>
        </w:r>
        <w:r w:rsidR="008A48D8" w:rsidRPr="00666BAC">
          <w:rPr>
            <w:noProof/>
            <w:webHidden/>
          </w:rPr>
          <w:fldChar w:fldCharType="end"/>
        </w:r>
      </w:hyperlink>
    </w:p>
    <w:p w:rsidR="008A48D8" w:rsidRPr="00666BAC" w:rsidRDefault="001B2EA8">
      <w:pPr>
        <w:pStyle w:val="TOC3"/>
        <w:rPr>
          <w:rFonts w:eastAsiaTheme="minorEastAsia" w:cstheme="minorBidi"/>
          <w:noProof/>
          <w:lang w:eastAsia="en-NZ" w:bidi="ar-SA"/>
        </w:rPr>
      </w:pPr>
      <w:hyperlink w:anchor="_Toc438024725" w:history="1">
        <w:r w:rsidR="008A48D8" w:rsidRPr="00666BAC">
          <w:rPr>
            <w:rStyle w:val="Hyperlink"/>
            <w:b/>
            <w:noProof/>
          </w:rPr>
          <w:t>1.1</w:t>
        </w:r>
        <w:r w:rsidR="008A48D8" w:rsidRPr="00666BAC">
          <w:rPr>
            <w:rFonts w:eastAsiaTheme="minorEastAsia" w:cstheme="minorBidi"/>
            <w:noProof/>
            <w:lang w:eastAsia="en-NZ" w:bidi="ar-SA"/>
          </w:rPr>
          <w:tab/>
        </w:r>
        <w:r w:rsidR="008A48D8" w:rsidRPr="00666BAC">
          <w:rPr>
            <w:rStyle w:val="Hyperlink"/>
            <w:b/>
            <w:noProof/>
          </w:rPr>
          <w:t>Number of complaints received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_Toc438024725 \h </w:instrText>
        </w:r>
        <w:r w:rsidR="008A48D8" w:rsidRPr="00666BAC">
          <w:rPr>
            <w:noProof/>
            <w:webHidden/>
          </w:rPr>
        </w:r>
        <w:r w:rsidR="008A48D8" w:rsidRPr="00666BAC">
          <w:rPr>
            <w:noProof/>
            <w:webHidden/>
          </w:rPr>
          <w:fldChar w:fldCharType="separate"/>
        </w:r>
        <w:r>
          <w:rPr>
            <w:noProof/>
            <w:webHidden/>
          </w:rPr>
          <w:t>5</w:t>
        </w:r>
        <w:r w:rsidR="008A48D8" w:rsidRPr="00666BAC">
          <w:rPr>
            <w:noProof/>
            <w:webHidden/>
          </w:rPr>
          <w:fldChar w:fldCharType="end"/>
        </w:r>
      </w:hyperlink>
    </w:p>
    <w:p w:rsidR="008A48D8" w:rsidRPr="00666BAC" w:rsidRDefault="001B2EA8">
      <w:pPr>
        <w:pStyle w:val="TOC3"/>
        <w:rPr>
          <w:rFonts w:eastAsiaTheme="minorEastAsia" w:cstheme="minorBidi"/>
          <w:noProof/>
          <w:lang w:eastAsia="en-NZ" w:bidi="ar-SA"/>
        </w:rPr>
      </w:pPr>
      <w:hyperlink w:anchor="_Toc438024726" w:history="1">
        <w:r w:rsidR="008A48D8" w:rsidRPr="00666BAC">
          <w:rPr>
            <w:rStyle w:val="Hyperlink"/>
            <w:b/>
            <w:noProof/>
          </w:rPr>
          <w:t>1.2</w:t>
        </w:r>
        <w:r w:rsidR="008A48D8" w:rsidRPr="00666BAC">
          <w:rPr>
            <w:rFonts w:eastAsiaTheme="minorEastAsia" w:cstheme="minorBidi"/>
            <w:noProof/>
            <w:lang w:eastAsia="en-NZ" w:bidi="ar-SA"/>
          </w:rPr>
          <w:tab/>
        </w:r>
        <w:r w:rsidR="008A48D8" w:rsidRPr="00666BAC">
          <w:rPr>
            <w:rStyle w:val="Hyperlink"/>
            <w:b/>
            <w:noProof/>
          </w:rPr>
          <w:t xml:space="preserve"> Rate of complaints received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_Toc438024726 \h </w:instrText>
        </w:r>
        <w:r w:rsidR="008A48D8" w:rsidRPr="00666BAC">
          <w:rPr>
            <w:noProof/>
            <w:webHidden/>
          </w:rPr>
        </w:r>
        <w:r w:rsidR="008A48D8" w:rsidRPr="00666BAC">
          <w:rPr>
            <w:noProof/>
            <w:webHidden/>
          </w:rPr>
          <w:fldChar w:fldCharType="separate"/>
        </w:r>
        <w:r>
          <w:rPr>
            <w:noProof/>
            <w:webHidden/>
          </w:rPr>
          <w:t>6</w:t>
        </w:r>
        <w:r w:rsidR="008A48D8" w:rsidRPr="00666BAC">
          <w:rPr>
            <w:noProof/>
            <w:webHidden/>
          </w:rPr>
          <w:fldChar w:fldCharType="end"/>
        </w:r>
      </w:hyperlink>
    </w:p>
    <w:p w:rsidR="008A48D8" w:rsidRPr="00666BAC" w:rsidRDefault="001B2EA8">
      <w:pPr>
        <w:pStyle w:val="TOC2"/>
        <w:rPr>
          <w:rFonts w:eastAsiaTheme="minorEastAsia" w:cstheme="minorBidi"/>
          <w:b w:val="0"/>
          <w:noProof/>
          <w:lang w:eastAsia="en-NZ" w:bidi="ar-SA"/>
        </w:rPr>
      </w:pPr>
      <w:hyperlink w:anchor="_Toc438024727" w:history="1">
        <w:r w:rsidR="008A48D8" w:rsidRPr="00666BAC">
          <w:rPr>
            <w:rStyle w:val="Hyperlink"/>
            <w:noProof/>
          </w:rPr>
          <w:t>2.</w:t>
        </w:r>
        <w:r w:rsidR="008A48D8" w:rsidRPr="00666BAC">
          <w:rPr>
            <w:rFonts w:eastAsiaTheme="minorEastAsia" w:cstheme="minorBidi"/>
            <w:b w:val="0"/>
            <w:noProof/>
            <w:lang w:eastAsia="en-NZ" w:bidi="ar-SA"/>
          </w:rPr>
          <w:tab/>
        </w:r>
        <w:r w:rsidR="008A48D8" w:rsidRPr="00666BAC">
          <w:rPr>
            <w:rStyle w:val="Hyperlink"/>
            <w:noProof/>
          </w:rPr>
          <w:t>Which DHB services were complained about?</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_Toc438024727 \h </w:instrText>
        </w:r>
        <w:r w:rsidR="008A48D8" w:rsidRPr="00666BAC">
          <w:rPr>
            <w:noProof/>
            <w:webHidden/>
          </w:rPr>
        </w:r>
        <w:r w:rsidR="008A48D8" w:rsidRPr="00666BAC">
          <w:rPr>
            <w:noProof/>
            <w:webHidden/>
          </w:rPr>
          <w:fldChar w:fldCharType="separate"/>
        </w:r>
        <w:r>
          <w:rPr>
            <w:noProof/>
            <w:webHidden/>
          </w:rPr>
          <w:t>8</w:t>
        </w:r>
        <w:r w:rsidR="008A48D8" w:rsidRPr="00666BAC">
          <w:rPr>
            <w:noProof/>
            <w:webHidden/>
          </w:rPr>
          <w:fldChar w:fldCharType="end"/>
        </w:r>
      </w:hyperlink>
    </w:p>
    <w:p w:rsidR="008A48D8" w:rsidRPr="00666BAC" w:rsidRDefault="001B2EA8">
      <w:pPr>
        <w:pStyle w:val="TOC3"/>
        <w:rPr>
          <w:rFonts w:eastAsiaTheme="minorEastAsia" w:cstheme="minorBidi"/>
          <w:noProof/>
          <w:lang w:eastAsia="en-NZ" w:bidi="ar-SA"/>
        </w:rPr>
      </w:pPr>
      <w:hyperlink w:anchor="_Toc438024728" w:history="1">
        <w:r w:rsidR="008A48D8" w:rsidRPr="00666BAC">
          <w:rPr>
            <w:rStyle w:val="Hyperlink"/>
            <w:b/>
            <w:noProof/>
          </w:rPr>
          <w:t>2.1</w:t>
        </w:r>
        <w:r w:rsidR="008A48D8" w:rsidRPr="00666BAC">
          <w:rPr>
            <w:rFonts w:eastAsiaTheme="minorEastAsia" w:cstheme="minorBidi"/>
            <w:noProof/>
            <w:lang w:eastAsia="en-NZ" w:bidi="ar-SA"/>
          </w:rPr>
          <w:tab/>
        </w:r>
        <w:r w:rsidR="008A48D8" w:rsidRPr="00666BAC">
          <w:rPr>
            <w:rStyle w:val="Hyperlink"/>
            <w:b/>
            <w:noProof/>
          </w:rPr>
          <w:t xml:space="preserve"> DHB service types complained about</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_Toc438024728 \h </w:instrText>
        </w:r>
        <w:r w:rsidR="008A48D8" w:rsidRPr="00666BAC">
          <w:rPr>
            <w:noProof/>
            <w:webHidden/>
          </w:rPr>
        </w:r>
        <w:r w:rsidR="008A48D8" w:rsidRPr="00666BAC">
          <w:rPr>
            <w:noProof/>
            <w:webHidden/>
          </w:rPr>
          <w:fldChar w:fldCharType="separate"/>
        </w:r>
        <w:r>
          <w:rPr>
            <w:noProof/>
            <w:webHidden/>
          </w:rPr>
          <w:t>8</w:t>
        </w:r>
        <w:r w:rsidR="008A48D8" w:rsidRPr="00666BAC">
          <w:rPr>
            <w:noProof/>
            <w:webHidden/>
          </w:rPr>
          <w:fldChar w:fldCharType="end"/>
        </w:r>
      </w:hyperlink>
    </w:p>
    <w:p w:rsidR="008A48D8" w:rsidRPr="00666BAC" w:rsidRDefault="001B2EA8">
      <w:pPr>
        <w:pStyle w:val="TOC3"/>
        <w:rPr>
          <w:rFonts w:eastAsiaTheme="minorEastAsia" w:cstheme="minorBidi"/>
          <w:noProof/>
          <w:lang w:eastAsia="en-NZ" w:bidi="ar-SA"/>
        </w:rPr>
      </w:pPr>
      <w:hyperlink w:anchor="_Toc438024729" w:history="1">
        <w:r w:rsidR="008A48D8" w:rsidRPr="00666BAC">
          <w:rPr>
            <w:rStyle w:val="Hyperlink"/>
            <w:b/>
            <w:noProof/>
          </w:rPr>
          <w:t>2.2</w:t>
        </w:r>
        <w:r w:rsidR="008A48D8" w:rsidRPr="00666BAC">
          <w:rPr>
            <w:rFonts w:eastAsiaTheme="minorEastAsia" w:cstheme="minorBidi"/>
            <w:noProof/>
            <w:lang w:eastAsia="en-NZ" w:bidi="ar-SA"/>
          </w:rPr>
          <w:tab/>
        </w:r>
        <w:r w:rsidR="008A48D8" w:rsidRPr="00666BAC">
          <w:rPr>
            <w:rStyle w:val="Hyperlink"/>
            <w:b/>
            <w:noProof/>
          </w:rPr>
          <w:t xml:space="preserve"> Professions of individual providers complained about</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_Toc438024729 \h </w:instrText>
        </w:r>
        <w:r w:rsidR="008A48D8" w:rsidRPr="00666BAC">
          <w:rPr>
            <w:noProof/>
            <w:webHidden/>
          </w:rPr>
        </w:r>
        <w:r w:rsidR="008A48D8" w:rsidRPr="00666BAC">
          <w:rPr>
            <w:noProof/>
            <w:webHidden/>
          </w:rPr>
          <w:fldChar w:fldCharType="separate"/>
        </w:r>
        <w:r>
          <w:rPr>
            <w:noProof/>
            <w:webHidden/>
          </w:rPr>
          <w:t>12</w:t>
        </w:r>
        <w:r w:rsidR="008A48D8" w:rsidRPr="00666BAC">
          <w:rPr>
            <w:noProof/>
            <w:webHidden/>
          </w:rPr>
          <w:fldChar w:fldCharType="end"/>
        </w:r>
      </w:hyperlink>
    </w:p>
    <w:p w:rsidR="008A48D8" w:rsidRPr="00666BAC" w:rsidRDefault="001B2EA8">
      <w:pPr>
        <w:pStyle w:val="TOC2"/>
        <w:rPr>
          <w:rFonts w:eastAsiaTheme="minorEastAsia" w:cstheme="minorBidi"/>
          <w:b w:val="0"/>
          <w:noProof/>
          <w:lang w:eastAsia="en-NZ" w:bidi="ar-SA"/>
        </w:rPr>
      </w:pPr>
      <w:hyperlink w:anchor="_Toc438024730" w:history="1">
        <w:r w:rsidR="008A48D8" w:rsidRPr="00666BAC">
          <w:rPr>
            <w:rStyle w:val="Hyperlink"/>
            <w:noProof/>
          </w:rPr>
          <w:t>3.</w:t>
        </w:r>
        <w:r w:rsidR="008A48D8" w:rsidRPr="00666BAC">
          <w:rPr>
            <w:rFonts w:eastAsiaTheme="minorEastAsia" w:cstheme="minorBidi"/>
            <w:b w:val="0"/>
            <w:noProof/>
            <w:lang w:eastAsia="en-NZ" w:bidi="ar-SA"/>
          </w:rPr>
          <w:tab/>
        </w:r>
        <w:r w:rsidR="008A48D8" w:rsidRPr="00666BAC">
          <w:rPr>
            <w:rStyle w:val="Hyperlink"/>
            <w:noProof/>
          </w:rPr>
          <w:t>What did people complain about?</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_Toc438024730 \h </w:instrText>
        </w:r>
        <w:r w:rsidR="008A48D8" w:rsidRPr="00666BAC">
          <w:rPr>
            <w:noProof/>
            <w:webHidden/>
          </w:rPr>
        </w:r>
        <w:r w:rsidR="008A48D8" w:rsidRPr="00666BAC">
          <w:rPr>
            <w:noProof/>
            <w:webHidden/>
          </w:rPr>
          <w:fldChar w:fldCharType="separate"/>
        </w:r>
        <w:r>
          <w:rPr>
            <w:noProof/>
            <w:webHidden/>
          </w:rPr>
          <w:t>15</w:t>
        </w:r>
        <w:r w:rsidR="008A48D8" w:rsidRPr="00666BAC">
          <w:rPr>
            <w:noProof/>
            <w:webHidden/>
          </w:rPr>
          <w:fldChar w:fldCharType="end"/>
        </w:r>
      </w:hyperlink>
    </w:p>
    <w:p w:rsidR="008A48D8" w:rsidRPr="00666BAC" w:rsidRDefault="001B2EA8">
      <w:pPr>
        <w:pStyle w:val="TOC3"/>
        <w:rPr>
          <w:rFonts w:eastAsiaTheme="minorEastAsia" w:cstheme="minorBidi"/>
          <w:noProof/>
          <w:lang w:eastAsia="en-NZ" w:bidi="ar-SA"/>
        </w:rPr>
      </w:pPr>
      <w:hyperlink w:anchor="_Toc438024731" w:history="1">
        <w:r w:rsidR="008A48D8" w:rsidRPr="00666BAC">
          <w:rPr>
            <w:rStyle w:val="Hyperlink"/>
            <w:b/>
            <w:noProof/>
          </w:rPr>
          <w:t>3.1</w:t>
        </w:r>
        <w:r w:rsidR="008A48D8" w:rsidRPr="00666BAC">
          <w:rPr>
            <w:rFonts w:eastAsiaTheme="minorEastAsia" w:cstheme="minorBidi"/>
            <w:noProof/>
            <w:lang w:eastAsia="en-NZ" w:bidi="ar-SA"/>
          </w:rPr>
          <w:tab/>
        </w:r>
        <w:r w:rsidR="008A48D8" w:rsidRPr="00666BAC">
          <w:rPr>
            <w:rStyle w:val="Hyperlink"/>
            <w:b/>
            <w:noProof/>
          </w:rPr>
          <w:t>Issues identified in complaints</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_Toc438024731 \h </w:instrText>
        </w:r>
        <w:r w:rsidR="008A48D8" w:rsidRPr="00666BAC">
          <w:rPr>
            <w:noProof/>
            <w:webHidden/>
          </w:rPr>
        </w:r>
        <w:r w:rsidR="008A48D8" w:rsidRPr="00666BAC">
          <w:rPr>
            <w:noProof/>
            <w:webHidden/>
          </w:rPr>
          <w:fldChar w:fldCharType="separate"/>
        </w:r>
        <w:r>
          <w:rPr>
            <w:noProof/>
            <w:webHidden/>
          </w:rPr>
          <w:t>15</w:t>
        </w:r>
        <w:r w:rsidR="008A48D8" w:rsidRPr="00666BAC">
          <w:rPr>
            <w:noProof/>
            <w:webHidden/>
          </w:rPr>
          <w:fldChar w:fldCharType="end"/>
        </w:r>
      </w:hyperlink>
    </w:p>
    <w:p w:rsidR="008A48D8" w:rsidRPr="00666BAC" w:rsidRDefault="001B2EA8">
      <w:pPr>
        <w:pStyle w:val="TOC3"/>
        <w:rPr>
          <w:rFonts w:eastAsiaTheme="minorEastAsia" w:cstheme="minorBidi"/>
          <w:noProof/>
          <w:lang w:eastAsia="en-NZ" w:bidi="ar-SA"/>
        </w:rPr>
      </w:pPr>
      <w:hyperlink w:anchor="_Toc438024732" w:history="1">
        <w:r w:rsidR="008A48D8" w:rsidRPr="00666BAC">
          <w:rPr>
            <w:rStyle w:val="Hyperlink"/>
            <w:b/>
            <w:noProof/>
          </w:rPr>
          <w:t>3.2</w:t>
        </w:r>
        <w:r w:rsidR="008A48D8" w:rsidRPr="00666BAC">
          <w:rPr>
            <w:rFonts w:eastAsiaTheme="minorEastAsia" w:cstheme="minorBidi"/>
            <w:noProof/>
            <w:lang w:eastAsia="en-NZ" w:bidi="ar-SA"/>
          </w:rPr>
          <w:tab/>
        </w:r>
        <w:r w:rsidR="008A48D8" w:rsidRPr="00666BAC">
          <w:rPr>
            <w:rStyle w:val="Hyperlink"/>
            <w:b/>
            <w:noProof/>
          </w:rPr>
          <w:t>Complaint issues by service type</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_Toc438024732 \h </w:instrText>
        </w:r>
        <w:r w:rsidR="008A48D8" w:rsidRPr="00666BAC">
          <w:rPr>
            <w:noProof/>
            <w:webHidden/>
          </w:rPr>
        </w:r>
        <w:r w:rsidR="008A48D8" w:rsidRPr="00666BAC">
          <w:rPr>
            <w:noProof/>
            <w:webHidden/>
          </w:rPr>
          <w:fldChar w:fldCharType="separate"/>
        </w:r>
        <w:r>
          <w:rPr>
            <w:noProof/>
            <w:webHidden/>
          </w:rPr>
          <w:t>23</w:t>
        </w:r>
        <w:r w:rsidR="008A48D8" w:rsidRPr="00666BAC">
          <w:rPr>
            <w:noProof/>
            <w:webHidden/>
          </w:rPr>
          <w:fldChar w:fldCharType="end"/>
        </w:r>
      </w:hyperlink>
    </w:p>
    <w:p w:rsidR="008A48D8" w:rsidRPr="00666BAC" w:rsidRDefault="001B2EA8">
      <w:pPr>
        <w:pStyle w:val="TOC1"/>
        <w:rPr>
          <w:rFonts w:eastAsiaTheme="minorEastAsia" w:cstheme="minorBidi"/>
          <w:b w:val="0"/>
          <w:noProof/>
          <w:sz w:val="22"/>
          <w:szCs w:val="22"/>
          <w:lang w:eastAsia="en-NZ" w:bidi="ar-SA"/>
        </w:rPr>
      </w:pPr>
      <w:hyperlink w:anchor="_Toc438024733" w:history="1">
        <w:r w:rsidR="008A48D8" w:rsidRPr="00666BAC">
          <w:rPr>
            <w:rStyle w:val="Hyperlink"/>
            <w:noProof/>
          </w:rPr>
          <w:t>COMPLAINTS CLOSED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_Toc438024733 \h </w:instrText>
        </w:r>
        <w:r w:rsidR="008A48D8" w:rsidRPr="00666BAC">
          <w:rPr>
            <w:noProof/>
            <w:webHidden/>
          </w:rPr>
        </w:r>
        <w:r w:rsidR="008A48D8" w:rsidRPr="00666BAC">
          <w:rPr>
            <w:noProof/>
            <w:webHidden/>
          </w:rPr>
          <w:fldChar w:fldCharType="separate"/>
        </w:r>
        <w:r>
          <w:rPr>
            <w:noProof/>
            <w:webHidden/>
          </w:rPr>
          <w:t>27</w:t>
        </w:r>
        <w:r w:rsidR="008A48D8" w:rsidRPr="00666BAC">
          <w:rPr>
            <w:noProof/>
            <w:webHidden/>
          </w:rPr>
          <w:fldChar w:fldCharType="end"/>
        </w:r>
      </w:hyperlink>
    </w:p>
    <w:p w:rsidR="008A48D8" w:rsidRPr="00666BAC" w:rsidRDefault="001B2EA8">
      <w:pPr>
        <w:pStyle w:val="TOC2"/>
        <w:rPr>
          <w:rFonts w:eastAsiaTheme="minorEastAsia" w:cstheme="minorBidi"/>
          <w:b w:val="0"/>
          <w:noProof/>
          <w:lang w:eastAsia="en-NZ" w:bidi="ar-SA"/>
        </w:rPr>
      </w:pPr>
      <w:hyperlink w:anchor="_Toc438024734" w:history="1">
        <w:r w:rsidR="008A48D8" w:rsidRPr="00666BAC">
          <w:rPr>
            <w:rStyle w:val="Hyperlink"/>
            <w:noProof/>
          </w:rPr>
          <w:t>1.</w:t>
        </w:r>
        <w:r w:rsidR="008A48D8" w:rsidRPr="00666BAC">
          <w:rPr>
            <w:rFonts w:eastAsiaTheme="minorEastAsia" w:cstheme="minorBidi"/>
            <w:b w:val="0"/>
            <w:noProof/>
            <w:lang w:eastAsia="en-NZ" w:bidi="ar-SA"/>
          </w:rPr>
          <w:tab/>
        </w:r>
        <w:r w:rsidR="008A48D8" w:rsidRPr="00666BAC">
          <w:rPr>
            <w:rStyle w:val="Hyperlink"/>
            <w:noProof/>
          </w:rPr>
          <w:t>How many complaints were closed?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_Toc438024734 \h </w:instrText>
        </w:r>
        <w:r w:rsidR="008A48D8" w:rsidRPr="00666BAC">
          <w:rPr>
            <w:noProof/>
            <w:webHidden/>
          </w:rPr>
        </w:r>
        <w:r w:rsidR="008A48D8" w:rsidRPr="00666BAC">
          <w:rPr>
            <w:noProof/>
            <w:webHidden/>
          </w:rPr>
          <w:fldChar w:fldCharType="separate"/>
        </w:r>
        <w:r>
          <w:rPr>
            <w:noProof/>
            <w:webHidden/>
          </w:rPr>
          <w:t>27</w:t>
        </w:r>
        <w:r w:rsidR="008A48D8" w:rsidRPr="00666BAC">
          <w:rPr>
            <w:noProof/>
            <w:webHidden/>
          </w:rPr>
          <w:fldChar w:fldCharType="end"/>
        </w:r>
      </w:hyperlink>
    </w:p>
    <w:p w:rsidR="008A48D8" w:rsidRPr="00666BAC" w:rsidRDefault="001B2EA8">
      <w:pPr>
        <w:pStyle w:val="TOC2"/>
        <w:rPr>
          <w:rFonts w:eastAsiaTheme="minorEastAsia" w:cstheme="minorBidi"/>
          <w:b w:val="0"/>
          <w:noProof/>
          <w:lang w:eastAsia="en-NZ" w:bidi="ar-SA"/>
        </w:rPr>
      </w:pPr>
      <w:hyperlink w:anchor="_Toc438024735" w:history="1">
        <w:r w:rsidR="008A48D8" w:rsidRPr="00666BAC">
          <w:rPr>
            <w:rStyle w:val="Hyperlink"/>
            <w:noProof/>
          </w:rPr>
          <w:t>2.     What were the outcomes of the complaints closed?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_Toc438024735 \h </w:instrText>
        </w:r>
        <w:r w:rsidR="008A48D8" w:rsidRPr="00666BAC">
          <w:rPr>
            <w:noProof/>
            <w:webHidden/>
          </w:rPr>
        </w:r>
        <w:r w:rsidR="008A48D8" w:rsidRPr="00666BAC">
          <w:rPr>
            <w:noProof/>
            <w:webHidden/>
          </w:rPr>
          <w:fldChar w:fldCharType="separate"/>
        </w:r>
        <w:r>
          <w:rPr>
            <w:noProof/>
            <w:webHidden/>
          </w:rPr>
          <w:t>28</w:t>
        </w:r>
        <w:r w:rsidR="008A48D8" w:rsidRPr="00666BAC">
          <w:rPr>
            <w:noProof/>
            <w:webHidden/>
          </w:rPr>
          <w:fldChar w:fldCharType="end"/>
        </w:r>
      </w:hyperlink>
    </w:p>
    <w:p w:rsidR="008A48D8" w:rsidRPr="00666BAC" w:rsidRDefault="001B2EA8">
      <w:pPr>
        <w:pStyle w:val="TOC3"/>
        <w:rPr>
          <w:rFonts w:eastAsiaTheme="minorEastAsia" w:cstheme="minorBidi"/>
          <w:noProof/>
          <w:lang w:eastAsia="en-NZ" w:bidi="ar-SA"/>
        </w:rPr>
      </w:pPr>
      <w:hyperlink w:anchor="_Toc438024736" w:history="1">
        <w:r w:rsidR="008A48D8" w:rsidRPr="00666BAC">
          <w:rPr>
            <w:rStyle w:val="Hyperlink"/>
            <w:b/>
            <w:noProof/>
            <w:lang w:val="en-AU"/>
          </w:rPr>
          <w:t xml:space="preserve">2.1 </w:t>
        </w:r>
        <w:r w:rsidR="008A48D8" w:rsidRPr="00666BAC">
          <w:rPr>
            <w:rFonts w:eastAsiaTheme="minorEastAsia" w:cstheme="minorBidi"/>
            <w:noProof/>
            <w:lang w:eastAsia="en-NZ" w:bidi="ar-SA"/>
          </w:rPr>
          <w:tab/>
        </w:r>
        <w:r w:rsidR="008A48D8" w:rsidRPr="00666BAC">
          <w:rPr>
            <w:rStyle w:val="Hyperlink"/>
            <w:b/>
            <w:noProof/>
            <w:lang w:val="en-AU"/>
          </w:rPr>
          <w:t>Available resolution options</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_Toc438024736 \h </w:instrText>
        </w:r>
        <w:r w:rsidR="008A48D8" w:rsidRPr="00666BAC">
          <w:rPr>
            <w:noProof/>
            <w:webHidden/>
          </w:rPr>
        </w:r>
        <w:r w:rsidR="008A48D8" w:rsidRPr="00666BAC">
          <w:rPr>
            <w:noProof/>
            <w:webHidden/>
          </w:rPr>
          <w:fldChar w:fldCharType="separate"/>
        </w:r>
        <w:r>
          <w:rPr>
            <w:noProof/>
            <w:webHidden/>
          </w:rPr>
          <w:t>28</w:t>
        </w:r>
        <w:r w:rsidR="008A48D8" w:rsidRPr="00666BAC">
          <w:rPr>
            <w:noProof/>
            <w:webHidden/>
          </w:rPr>
          <w:fldChar w:fldCharType="end"/>
        </w:r>
      </w:hyperlink>
    </w:p>
    <w:p w:rsidR="008A48D8" w:rsidRPr="00666BAC" w:rsidRDefault="001B2EA8">
      <w:pPr>
        <w:pStyle w:val="TOC3"/>
        <w:rPr>
          <w:rFonts w:eastAsiaTheme="minorEastAsia" w:cstheme="minorBidi"/>
          <w:noProof/>
          <w:lang w:eastAsia="en-NZ" w:bidi="ar-SA"/>
        </w:rPr>
      </w:pPr>
      <w:hyperlink w:anchor="_Toc438024737" w:history="1">
        <w:r w:rsidR="008A48D8" w:rsidRPr="00666BAC">
          <w:rPr>
            <w:rStyle w:val="Hyperlink"/>
            <w:b/>
            <w:noProof/>
            <w:lang w:eastAsia="en-NZ"/>
          </w:rPr>
          <w:t>2.2</w:t>
        </w:r>
        <w:r w:rsidR="008A48D8" w:rsidRPr="00666BAC">
          <w:rPr>
            <w:rFonts w:eastAsiaTheme="minorEastAsia" w:cstheme="minorBidi"/>
            <w:noProof/>
            <w:lang w:eastAsia="en-NZ" w:bidi="ar-SA"/>
          </w:rPr>
          <w:tab/>
        </w:r>
        <w:r w:rsidR="008A48D8" w:rsidRPr="00666BAC">
          <w:rPr>
            <w:rStyle w:val="Hyperlink"/>
            <w:b/>
            <w:noProof/>
            <w:lang w:eastAsia="en-NZ"/>
          </w:rPr>
          <w:t>Manner of resolution and outcomes in complaints closed</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_Toc438024737 \h </w:instrText>
        </w:r>
        <w:r w:rsidR="008A48D8" w:rsidRPr="00666BAC">
          <w:rPr>
            <w:noProof/>
            <w:webHidden/>
          </w:rPr>
        </w:r>
        <w:r w:rsidR="008A48D8" w:rsidRPr="00666BAC">
          <w:rPr>
            <w:noProof/>
            <w:webHidden/>
          </w:rPr>
          <w:fldChar w:fldCharType="separate"/>
        </w:r>
        <w:r>
          <w:rPr>
            <w:noProof/>
            <w:webHidden/>
          </w:rPr>
          <w:t>29</w:t>
        </w:r>
        <w:r w:rsidR="008A48D8" w:rsidRPr="00666BAC">
          <w:rPr>
            <w:noProof/>
            <w:webHidden/>
          </w:rPr>
          <w:fldChar w:fldCharType="end"/>
        </w:r>
      </w:hyperlink>
    </w:p>
    <w:p w:rsidR="008A48D8" w:rsidRPr="00666BAC" w:rsidRDefault="001B2EA8">
      <w:pPr>
        <w:pStyle w:val="TOC2"/>
        <w:rPr>
          <w:rFonts w:eastAsiaTheme="minorEastAsia" w:cstheme="minorBidi"/>
          <w:b w:val="0"/>
          <w:noProof/>
          <w:lang w:eastAsia="en-NZ" w:bidi="ar-SA"/>
        </w:rPr>
      </w:pPr>
      <w:hyperlink w:anchor="_Toc438024738" w:history="1">
        <w:r w:rsidR="008A48D8" w:rsidRPr="00666BAC">
          <w:rPr>
            <w:rStyle w:val="Hyperlink"/>
            <w:noProof/>
          </w:rPr>
          <w:t>3.</w:t>
        </w:r>
        <w:r w:rsidR="008A48D8" w:rsidRPr="00666BAC">
          <w:rPr>
            <w:rFonts w:eastAsiaTheme="minorEastAsia" w:cstheme="minorBidi"/>
            <w:b w:val="0"/>
            <w:noProof/>
            <w:lang w:eastAsia="en-NZ" w:bidi="ar-SA"/>
          </w:rPr>
          <w:tab/>
        </w:r>
        <w:r w:rsidR="008A48D8" w:rsidRPr="00666BAC">
          <w:rPr>
            <w:rStyle w:val="Hyperlink"/>
            <w:noProof/>
          </w:rPr>
          <w:t>Recommendations made to DHBs following resolution of complaints</w:t>
        </w:r>
        <w:r w:rsidR="008A48D8" w:rsidRPr="00666BAC">
          <w:rPr>
            <w:noProof/>
            <w:webHidden/>
          </w:rPr>
          <w:tab/>
        </w:r>
        <w:r w:rsidR="008A48D8" w:rsidRPr="00666BAC">
          <w:rPr>
            <w:noProof/>
            <w:webHidden/>
          </w:rPr>
          <w:fldChar w:fldCharType="begin"/>
        </w:r>
        <w:r w:rsidR="008A48D8" w:rsidRPr="00666BAC">
          <w:rPr>
            <w:noProof/>
            <w:webHidden/>
          </w:rPr>
          <w:instrText xml:space="preserve"> PAGEREF _Toc438024738 \h </w:instrText>
        </w:r>
        <w:r w:rsidR="008A48D8" w:rsidRPr="00666BAC">
          <w:rPr>
            <w:noProof/>
            <w:webHidden/>
          </w:rPr>
        </w:r>
        <w:r w:rsidR="008A48D8" w:rsidRPr="00666BAC">
          <w:rPr>
            <w:noProof/>
            <w:webHidden/>
          </w:rPr>
          <w:fldChar w:fldCharType="separate"/>
        </w:r>
        <w:r>
          <w:rPr>
            <w:noProof/>
            <w:webHidden/>
          </w:rPr>
          <w:t>30</w:t>
        </w:r>
        <w:r w:rsidR="008A48D8" w:rsidRPr="00666BAC">
          <w:rPr>
            <w:noProof/>
            <w:webHidden/>
          </w:rPr>
          <w:fldChar w:fldCharType="end"/>
        </w:r>
      </w:hyperlink>
    </w:p>
    <w:p w:rsidR="00E129ED" w:rsidRPr="00666BAC" w:rsidRDefault="00E129ED" w:rsidP="00E129ED">
      <w:pPr>
        <w:jc w:val="left"/>
        <w:rPr>
          <w:b/>
          <w:color w:val="000000" w:themeColor="text1"/>
          <w:sz w:val="32"/>
          <w:szCs w:val="32"/>
        </w:rPr>
      </w:pPr>
      <w:r w:rsidRPr="00666BAC">
        <w:rPr>
          <w:b/>
          <w:color w:val="000000" w:themeColor="text1"/>
          <w:sz w:val="32"/>
          <w:szCs w:val="32"/>
        </w:rPr>
        <w:fldChar w:fldCharType="end"/>
      </w:r>
    </w:p>
    <w:p w:rsidR="00E129ED" w:rsidRPr="00666BAC" w:rsidRDefault="00E129ED" w:rsidP="00E129ED">
      <w:pPr>
        <w:jc w:val="left"/>
        <w:rPr>
          <w:b/>
          <w:color w:val="000000" w:themeColor="text1"/>
          <w:sz w:val="32"/>
          <w:szCs w:val="32"/>
        </w:rPr>
        <w:sectPr w:rsidR="00E129ED" w:rsidRPr="00666BAC" w:rsidSect="00540962">
          <w:headerReference w:type="default" r:id="rId16"/>
          <w:footerReference w:type="default" r:id="rId17"/>
          <w:headerReference w:type="first" r:id="rId18"/>
          <w:footerReference w:type="first" r:id="rId19"/>
          <w:pgSz w:w="11906" w:h="16838" w:code="9"/>
          <w:pgMar w:top="1140" w:right="1412" w:bottom="851" w:left="1412" w:header="720" w:footer="590" w:gutter="0"/>
          <w:pgNumType w:fmt="lowerRoman" w:start="1"/>
          <w:cols w:space="720"/>
          <w:titlePg/>
          <w:docGrid w:linePitch="360"/>
        </w:sectPr>
      </w:pPr>
    </w:p>
    <w:p w:rsidR="0076672D" w:rsidRPr="00666BAC" w:rsidRDefault="003D7EDA" w:rsidP="00F85294">
      <w:pPr>
        <w:pStyle w:val="Heading1"/>
        <w:spacing w:before="240"/>
        <w:rPr>
          <w:color w:val="C00000"/>
          <w:sz w:val="40"/>
          <w:szCs w:val="40"/>
          <w:lang w:val="en-NZ"/>
        </w:rPr>
      </w:pPr>
      <w:bookmarkStart w:id="1" w:name="_Toc438024717"/>
      <w:r w:rsidRPr="00666BAC">
        <w:rPr>
          <w:color w:val="C00000"/>
          <w:sz w:val="40"/>
          <w:szCs w:val="40"/>
          <w:lang w:val="en-NZ"/>
        </w:rPr>
        <w:t>COMMISSIONER’S FOREWORD</w:t>
      </w:r>
      <w:bookmarkEnd w:id="1"/>
    </w:p>
    <w:p w:rsidR="00705549" w:rsidRDefault="00705549" w:rsidP="004626BC">
      <w:pPr>
        <w:rPr>
          <w:szCs w:val="22"/>
        </w:rPr>
      </w:pPr>
      <w:r>
        <w:t>Welcome to HDC’s analysis of complaints received involving Di</w:t>
      </w:r>
      <w:r w:rsidR="00F30DCE">
        <w:t>strict Health Boards for 2015/</w:t>
      </w:r>
      <w:r>
        <w:t xml:space="preserve">16. The aim of this report is to provide the general public and providers with an understanding of the </w:t>
      </w:r>
      <w:r w:rsidRPr="00797CC2">
        <w:rPr>
          <w:szCs w:val="22"/>
        </w:rPr>
        <w:t>for the types of complaints HDC receives about services run by DHBs and the positive changes that have been made to services as a result</w:t>
      </w:r>
      <w:r>
        <w:rPr>
          <w:szCs w:val="22"/>
        </w:rPr>
        <w:t xml:space="preserve"> of these complaints. </w:t>
      </w:r>
    </w:p>
    <w:p w:rsidR="00705549" w:rsidRDefault="00705549" w:rsidP="004626BC">
      <w:pPr>
        <w:rPr>
          <w:szCs w:val="22"/>
        </w:rPr>
      </w:pPr>
    </w:p>
    <w:p w:rsidR="00601386" w:rsidRDefault="00705549" w:rsidP="00601386">
      <w:r>
        <w:t>This is the thir</w:t>
      </w:r>
      <w:r w:rsidR="00947A1E">
        <w:t xml:space="preserve">d such report published by HDC, and so </w:t>
      </w:r>
      <w:r w:rsidR="00F33088" w:rsidRPr="00797CC2">
        <w:t>analysis of changes that have occurred in DHB complaints</w:t>
      </w:r>
      <w:r w:rsidR="00F33088">
        <w:t xml:space="preserve"> over the past three years is now possible. </w:t>
      </w:r>
      <w:r w:rsidR="00601386">
        <w:t>DHB complaints trends have remained broadly consistent over the last three years. However,</w:t>
      </w:r>
      <w:r w:rsidR="00601386" w:rsidRPr="00666BAC">
        <w:t xml:space="preserve"> </w:t>
      </w:r>
      <w:r w:rsidR="00601386">
        <w:t xml:space="preserve">as you will see </w:t>
      </w:r>
      <w:r w:rsidR="00601386" w:rsidRPr="00666BAC">
        <w:t>there has been an increase in the proportion of complaints</w:t>
      </w:r>
      <w:r w:rsidR="00746ACF">
        <w:t xml:space="preserve"> in which complainants</w:t>
      </w:r>
      <w:r w:rsidR="00601386">
        <w:t xml:space="preserve"> were concerned about the</w:t>
      </w:r>
      <w:r w:rsidR="00601386" w:rsidRPr="00666BAC">
        <w:t xml:space="preserve"> coordination </w:t>
      </w:r>
      <w:r w:rsidR="00746ACF" w:rsidRPr="00666BAC">
        <w:t xml:space="preserve">of </w:t>
      </w:r>
      <w:r w:rsidR="00746ACF">
        <w:t>care</w:t>
      </w:r>
      <w:r w:rsidR="00601386">
        <w:t>/treatment, the</w:t>
      </w:r>
      <w:r w:rsidR="00601386" w:rsidRPr="00666BAC">
        <w:t xml:space="preserve"> examination/assessment</w:t>
      </w:r>
      <w:r w:rsidR="00601386">
        <w:t>s conducted</w:t>
      </w:r>
      <w:r w:rsidR="00746ACF">
        <w:t>,</w:t>
      </w:r>
      <w:r w:rsidR="00601386">
        <w:t xml:space="preserve"> and the way in which they were communicated with. I anticipate that over time, as we continue to publish these reports, the ability to conduct this ti</w:t>
      </w:r>
      <w:r w:rsidR="00746ACF">
        <w:t>me series analysis of complaint trends</w:t>
      </w:r>
      <w:r w:rsidR="00601386">
        <w:t xml:space="preserve"> will </w:t>
      </w:r>
      <w:r w:rsidR="00746ACF">
        <w:t>prove to be of significant additional usefulness.</w:t>
      </w:r>
      <w:r w:rsidR="00601386">
        <w:t xml:space="preserve"> </w:t>
      </w:r>
    </w:p>
    <w:p w:rsidR="00601386" w:rsidRDefault="00601386" w:rsidP="00601386"/>
    <w:p w:rsidR="00601386" w:rsidRDefault="00D2280E" w:rsidP="00601386">
      <w:r>
        <w:t>On reading this report I was struck again by the importance of doing the basics well. It is often in the ordinary where things go wro</w:t>
      </w:r>
      <w:r w:rsidR="00812189">
        <w:t>ng and mistakes occur. The failure to do the basics well is a common theme in complaints to my Office. In the context of this report it can be seen in the failure to adequately communicate with the patient, to ask them the relevant questions about their medical history or their symptoms. Sometimes it can be seen in a failure of coordination of care, a failure to review the patient’s notes</w:t>
      </w:r>
      <w:r w:rsidR="00746ACF">
        <w:t xml:space="preserve"> or</w:t>
      </w:r>
      <w:r w:rsidR="00812189">
        <w:t xml:space="preserve"> to ask questions of a colleague.</w:t>
      </w:r>
      <w:r w:rsidR="00597539">
        <w:t xml:space="preserve"> Sometimes it can be seen in the decision to not undertake a physical examination where </w:t>
      </w:r>
      <w:r w:rsidR="00A17313">
        <w:t xml:space="preserve">clinically </w:t>
      </w:r>
      <w:r w:rsidR="00597539">
        <w:t xml:space="preserve">indicated, other times in the failure to follow up on abnormal test results. </w:t>
      </w:r>
      <w:r w:rsidR="00947A1E">
        <w:t>The basics</w:t>
      </w:r>
      <w:r w:rsidR="00597539">
        <w:t xml:space="preserve"> can be easily overlooked in the context of busyness and competing</w:t>
      </w:r>
      <w:r w:rsidR="00947A1E">
        <w:t xml:space="preserve"> demands. This is why it is</w:t>
      </w:r>
      <w:r w:rsidR="00597539">
        <w:t xml:space="preserve"> important to have systems in place and a</w:t>
      </w:r>
      <w:r w:rsidR="00746ACF">
        <w:t xml:space="preserve"> team</w:t>
      </w:r>
      <w:r w:rsidR="00597539">
        <w:t xml:space="preserve"> culture that supports providers to get these basics right.</w:t>
      </w:r>
    </w:p>
    <w:p w:rsidR="00597539" w:rsidRDefault="00597539" w:rsidP="00601386"/>
    <w:p w:rsidR="00597539" w:rsidRDefault="00597539" w:rsidP="00601386">
      <w:r w:rsidRPr="00797CC2">
        <w:rPr>
          <w:szCs w:val="22"/>
          <w:lang w:val="en-US"/>
        </w:rPr>
        <w:t>I trust you will find this report of interest, and the changes made encouraging.</w:t>
      </w:r>
      <w:r>
        <w:rPr>
          <w:szCs w:val="22"/>
          <w:lang w:val="en-US"/>
        </w:rPr>
        <w:t xml:space="preserve"> </w:t>
      </w:r>
      <w:r>
        <w:t>It is my hope that those</w:t>
      </w:r>
      <w:r w:rsidRPr="00797CC2">
        <w:rPr>
          <w:szCs w:val="22"/>
        </w:rPr>
        <w:t xml:space="preserve"> who read the report will, as a result, be empowered to be stronger pa</w:t>
      </w:r>
      <w:r>
        <w:rPr>
          <w:szCs w:val="22"/>
        </w:rPr>
        <w:t>rtners in their own health care, a</w:t>
      </w:r>
      <w:r w:rsidR="00A17313">
        <w:rPr>
          <w:szCs w:val="22"/>
        </w:rPr>
        <w:t>nd that it</w:t>
      </w:r>
      <w:r>
        <w:rPr>
          <w:szCs w:val="22"/>
        </w:rPr>
        <w:t xml:space="preserve"> will assist</w:t>
      </w:r>
      <w:r w:rsidR="00746ACF">
        <w:rPr>
          <w:szCs w:val="22"/>
        </w:rPr>
        <w:t xml:space="preserve"> DHBs </w:t>
      </w:r>
      <w:r w:rsidRPr="00797CC2">
        <w:rPr>
          <w:szCs w:val="22"/>
        </w:rPr>
        <w:t>to learn from complaints received about other DHBs, and to better understand how their own complaint patterns compare nationally</w:t>
      </w:r>
      <w:r>
        <w:rPr>
          <w:szCs w:val="22"/>
        </w:rPr>
        <w:t>.</w:t>
      </w:r>
    </w:p>
    <w:p w:rsidR="00597539" w:rsidRDefault="00597539" w:rsidP="00601386"/>
    <w:p w:rsidR="00597539" w:rsidRPr="00797CC2" w:rsidRDefault="00597539" w:rsidP="00601386"/>
    <w:p w:rsidR="00025891" w:rsidRPr="00666BAC" w:rsidRDefault="00025891" w:rsidP="004626BC"/>
    <w:p w:rsidR="00025891" w:rsidRPr="00666BAC" w:rsidRDefault="00025891" w:rsidP="004626BC"/>
    <w:p w:rsidR="004626BC" w:rsidRPr="00666BAC" w:rsidRDefault="00F85294" w:rsidP="004626BC">
      <w:pPr>
        <w:rPr>
          <w:lang w:bidi="ar-SA"/>
        </w:rPr>
      </w:pPr>
      <w:r w:rsidRPr="00666BAC">
        <w:rPr>
          <w:lang w:bidi="ar-SA"/>
        </w:rPr>
        <w:t>Anthony Hill</w:t>
      </w:r>
    </w:p>
    <w:p w:rsidR="00F85294" w:rsidRPr="00666BAC" w:rsidRDefault="00F85294" w:rsidP="004626BC">
      <w:pPr>
        <w:rPr>
          <w:b/>
          <w:lang w:bidi="ar-SA"/>
        </w:rPr>
      </w:pPr>
      <w:r w:rsidRPr="00666BAC">
        <w:rPr>
          <w:b/>
          <w:lang w:bidi="ar-SA"/>
        </w:rPr>
        <w:t>Health and Disability Commissioner</w:t>
      </w:r>
    </w:p>
    <w:p w:rsidR="007268D5" w:rsidRPr="00666BAC" w:rsidRDefault="007268D5" w:rsidP="00BC1F5B"/>
    <w:p w:rsidR="004626BC" w:rsidRPr="00666BAC" w:rsidRDefault="004626BC" w:rsidP="00BC1F5B">
      <w:pPr>
        <w:sectPr w:rsidR="004626BC" w:rsidRPr="00666BAC" w:rsidSect="006D0724">
          <w:headerReference w:type="default" r:id="rId20"/>
          <w:footerReference w:type="default" r:id="rId21"/>
          <w:pgSz w:w="11906" w:h="16838" w:code="9"/>
          <w:pgMar w:top="1140" w:right="1412" w:bottom="851" w:left="1412" w:header="720" w:footer="590" w:gutter="0"/>
          <w:pgNumType w:fmt="lowerRoman"/>
          <w:cols w:space="720"/>
          <w:docGrid w:linePitch="360"/>
        </w:sectPr>
      </w:pPr>
    </w:p>
    <w:p w:rsidR="00B918CA" w:rsidRPr="00666BAC" w:rsidRDefault="00B918CA" w:rsidP="00B918CA">
      <w:pPr>
        <w:pStyle w:val="Heading1"/>
        <w:rPr>
          <w:color w:val="C00000"/>
          <w:sz w:val="40"/>
          <w:szCs w:val="40"/>
        </w:rPr>
      </w:pPr>
      <w:bookmarkStart w:id="2" w:name="_Toc438024718"/>
      <w:r w:rsidRPr="00666BAC">
        <w:rPr>
          <w:color w:val="C00000"/>
          <w:sz w:val="40"/>
          <w:szCs w:val="40"/>
        </w:rPr>
        <w:t>EXECUTIVE SUMMARY</w:t>
      </w:r>
      <w:bookmarkEnd w:id="2"/>
    </w:p>
    <w:p w:rsidR="00B918CA" w:rsidRPr="00666BAC" w:rsidRDefault="00A17313" w:rsidP="00455A1D">
      <w:r>
        <w:t>In the 2015/</w:t>
      </w:r>
      <w:r w:rsidR="00B8721A" w:rsidRPr="00666BAC">
        <w:t>16</w:t>
      </w:r>
      <w:r w:rsidR="00541F06" w:rsidRPr="00666BAC">
        <w:t xml:space="preserve"> year</w:t>
      </w:r>
      <w:r w:rsidR="00B8721A" w:rsidRPr="00666BAC">
        <w:t>, HDC received 805</w:t>
      </w:r>
      <w:r w:rsidR="00F85294" w:rsidRPr="00666BAC">
        <w:t xml:space="preserve"> complaints involving DHBs. This wa</w:t>
      </w:r>
      <w:r w:rsidR="00B8721A" w:rsidRPr="00666BAC">
        <w:t>s an increase of 6</w:t>
      </w:r>
      <w:r w:rsidR="00102BDE" w:rsidRPr="00666BAC">
        <w:t>% compared to</w:t>
      </w:r>
      <w:r w:rsidR="00F85294" w:rsidRPr="00666BAC">
        <w:t xml:space="preserve"> the number received in the prev</w:t>
      </w:r>
      <w:r>
        <w:t>ious year. The significant year-on-</w:t>
      </w:r>
      <w:r w:rsidR="00F85294" w:rsidRPr="00666BAC">
        <w:t>year increase in complaints about DHB services is consistent with increasing overall complaint numbers to HDC each year.</w:t>
      </w:r>
    </w:p>
    <w:p w:rsidR="00F85294" w:rsidRPr="00666BAC" w:rsidRDefault="00F85294" w:rsidP="00455A1D"/>
    <w:p w:rsidR="00F85294" w:rsidRPr="00666BAC" w:rsidRDefault="00F85294" w:rsidP="00455A1D">
      <w:r w:rsidRPr="00666BAC">
        <w:t>The rate of complaints about DHB services is also incr</w:t>
      </w:r>
      <w:r w:rsidR="00F30DCE">
        <w:t>easing, with the 2015/</w:t>
      </w:r>
      <w:r w:rsidR="00B8721A" w:rsidRPr="00666BAC">
        <w:t>16 rate of 85</w:t>
      </w:r>
      <w:r w:rsidRPr="00666BAC">
        <w:t xml:space="preserve"> complaints per 100,000 discharges</w:t>
      </w:r>
      <w:r w:rsidR="00BF04E2" w:rsidRPr="00666BAC">
        <w:t xml:space="preserve"> being</w:t>
      </w:r>
      <w:r w:rsidRPr="00666BAC">
        <w:t xml:space="preserve"> the highest to date. </w:t>
      </w:r>
    </w:p>
    <w:p w:rsidR="00F85294" w:rsidRPr="00666BAC" w:rsidRDefault="00F85294" w:rsidP="00455A1D"/>
    <w:p w:rsidR="00F85294" w:rsidRPr="00666BAC" w:rsidRDefault="00F85294" w:rsidP="00455A1D">
      <w:r w:rsidRPr="00666BAC">
        <w:t xml:space="preserve">Complaints were received in relation to a wide variety of DHB service types, with the most commonly complained about service types being surgical and mental health services. The service types complained about are broadly consistent with what was seen in </w:t>
      </w:r>
      <w:r w:rsidR="00BF04E2" w:rsidRPr="00666BAC">
        <w:t>complaints about DHBs</w:t>
      </w:r>
      <w:r w:rsidR="00A17313">
        <w:t xml:space="preserve"> in 2014/</w:t>
      </w:r>
      <w:r w:rsidR="0032313D" w:rsidRPr="00666BAC">
        <w:t>15</w:t>
      </w:r>
      <w:r w:rsidRPr="00666BAC">
        <w:t>.</w:t>
      </w:r>
    </w:p>
    <w:p w:rsidR="00F85294" w:rsidRPr="00666BAC" w:rsidRDefault="00F85294" w:rsidP="00455A1D"/>
    <w:p w:rsidR="00F85294" w:rsidRPr="00666BAC" w:rsidRDefault="00F85294" w:rsidP="00455A1D">
      <w:r w:rsidRPr="00666BAC">
        <w:t>Also consistent wi</w:t>
      </w:r>
      <w:r w:rsidR="00B8721A" w:rsidRPr="00666BAC">
        <w:t xml:space="preserve">th complaint trends seen </w:t>
      </w:r>
      <w:r w:rsidR="0032313D" w:rsidRPr="00666BAC">
        <w:t>in previous years</w:t>
      </w:r>
      <w:r w:rsidRPr="00666BAC">
        <w:t>, doctors were the individual providers complained about most commonly within compla</w:t>
      </w:r>
      <w:r w:rsidR="00B8721A" w:rsidRPr="00666BAC">
        <w:t>ints about DHB services, with 77% of the individual providers identified in DHB complaints being doctors</w:t>
      </w:r>
      <w:r w:rsidR="0012759E" w:rsidRPr="00666BAC">
        <w:t>.</w:t>
      </w:r>
    </w:p>
    <w:p w:rsidR="0012759E" w:rsidRPr="00666BAC" w:rsidRDefault="0012759E" w:rsidP="00455A1D"/>
    <w:p w:rsidR="00F85294" w:rsidRPr="00666BAC" w:rsidRDefault="00F85294" w:rsidP="00455A1D">
      <w:r w:rsidRPr="00666BAC">
        <w:t xml:space="preserve">Missed, incorrect or delayed diagnosis was the </w:t>
      </w:r>
      <w:r w:rsidR="00852DEA" w:rsidRPr="00666BAC">
        <w:t>primary</w:t>
      </w:r>
      <w:r w:rsidRPr="00666BAC">
        <w:t xml:space="preserve"> issue of concern raised by the complainant in </w:t>
      </w:r>
      <w:r w:rsidR="00B8721A" w:rsidRPr="00666BAC">
        <w:t>16</w:t>
      </w:r>
      <w:r w:rsidR="00852DEA" w:rsidRPr="00666BAC">
        <w:t>% of complaints. When all issues raised in complaints were considered, we found that concerns about inadequate/inappropriate treatment were the most prevalent, followed by a failure to communicate effectively with the consumer. This is broadly consistent with co</w:t>
      </w:r>
      <w:r w:rsidR="00B8721A" w:rsidRPr="00666BAC">
        <w:t>mplaint issue trends over the past three years, although there has been</w:t>
      </w:r>
      <w:r w:rsidR="00852DEA" w:rsidRPr="00666BAC">
        <w:t xml:space="preserve"> an increase in the propor</w:t>
      </w:r>
      <w:r w:rsidR="00B8721A" w:rsidRPr="00666BAC">
        <w:t>tion of complaints involving inadequate coordination of care/treatment, inadequate/inappropriate examination/assessment and failure to communicate effectively with consumer. There was a decrease in the proportion of complaints involving an inadequate response to the consumer’s complaint by th</w:t>
      </w:r>
      <w:r w:rsidR="00A17313">
        <w:t>e DHB in 2015/</w:t>
      </w:r>
      <w:r w:rsidR="00B8721A" w:rsidRPr="00666BAC">
        <w:t>16.</w:t>
      </w:r>
    </w:p>
    <w:p w:rsidR="00852DEA" w:rsidRPr="00666BAC" w:rsidRDefault="00852DEA" w:rsidP="00455A1D"/>
    <w:p w:rsidR="00852DEA" w:rsidRPr="00666BAC" w:rsidRDefault="00541F06" w:rsidP="00455A1D">
      <w:r w:rsidRPr="00666BAC">
        <w:t>The</w:t>
      </w:r>
      <w:r w:rsidR="00852DEA" w:rsidRPr="00666BAC">
        <w:t xml:space="preserve"> issues raised in complaints varied by the service type involved. Services with high diagnostic workloads</w:t>
      </w:r>
      <w:r w:rsidR="00BF04E2" w:rsidRPr="00666BAC">
        <w:t>,</w:t>
      </w:r>
      <w:r w:rsidR="00852DEA" w:rsidRPr="00666BAC">
        <w:t xml:space="preserve"> such as general medicine and emergency departments</w:t>
      </w:r>
      <w:r w:rsidR="00BF04E2" w:rsidRPr="00666BAC">
        <w:t>,</w:t>
      </w:r>
      <w:r w:rsidR="00852DEA" w:rsidRPr="00666BAC">
        <w:t xml:space="preserve"> commonly received</w:t>
      </w:r>
      <w:r w:rsidRPr="00666BAC">
        <w:t xml:space="preserve"> more</w:t>
      </w:r>
      <w:r w:rsidR="00852DEA" w:rsidRPr="00666BAC">
        <w:t xml:space="preserve"> complaints</w:t>
      </w:r>
      <w:r w:rsidR="00D77E06" w:rsidRPr="00666BAC">
        <w:t xml:space="preserve"> primarily</w:t>
      </w:r>
      <w:r w:rsidR="00852DEA" w:rsidRPr="00666BAC">
        <w:t xml:space="preserve"> regarding missed, incorrect or delayed diagnoses. </w:t>
      </w:r>
      <w:r w:rsidR="00D77E06" w:rsidRPr="00666BAC">
        <w:t>When all issues raised in compla</w:t>
      </w:r>
      <w:r w:rsidR="0017767C" w:rsidRPr="00666BAC">
        <w:t>ints about each service type were</w:t>
      </w:r>
      <w:r w:rsidR="00D77E06" w:rsidRPr="00666BAC">
        <w:t xml:space="preserve"> analysed</w:t>
      </w:r>
      <w:r w:rsidR="0017767C" w:rsidRPr="00666BAC">
        <w:t>, general medicine and surgical services received a greater proportion of complaints involving inadequate coordination of care/treatment and emergency department services received a greater proportion of complaints involvin</w:t>
      </w:r>
      <w:r w:rsidR="00A17313">
        <w:t>g inadequate testing. M</w:t>
      </w:r>
      <w:r w:rsidR="0017767C" w:rsidRPr="00666BAC">
        <w:t>aternity services received a greater proportion of complaints regarding a delay in treatment</w:t>
      </w:r>
      <w:r w:rsidR="00A17313">
        <w:t>,</w:t>
      </w:r>
      <w:r w:rsidR="0017767C" w:rsidRPr="00666BAC">
        <w:t xml:space="preserve"> and mental health services received a greater proportion of complaints regarding communication issues</w:t>
      </w:r>
      <w:r w:rsidR="00A17313">
        <w:t>,</w:t>
      </w:r>
      <w:r w:rsidR="0017767C" w:rsidRPr="00666BAC">
        <w:t xml:space="preserve"> than did other service types</w:t>
      </w:r>
    </w:p>
    <w:p w:rsidR="00852DEA" w:rsidRPr="00666BAC" w:rsidRDefault="00852DEA" w:rsidP="00455A1D"/>
    <w:p w:rsidR="00852DEA" w:rsidRPr="00666BAC" w:rsidRDefault="00A17313" w:rsidP="00455A1D">
      <w:r>
        <w:t>In the 2015/</w:t>
      </w:r>
      <w:r w:rsidR="0032313D" w:rsidRPr="00666BAC">
        <w:t>16</w:t>
      </w:r>
      <w:r w:rsidR="00852DEA" w:rsidRPr="00666BAC">
        <w:t xml:space="preserve"> year, HDC closed more complaints about DHBs than ever before</w:t>
      </w:r>
      <w:r w:rsidR="00541F06" w:rsidRPr="00666BAC">
        <w:t>. T</w:t>
      </w:r>
      <w:r w:rsidR="00852DEA" w:rsidRPr="00666BAC">
        <w:t>he 754 complaints closed this</w:t>
      </w:r>
      <w:r w:rsidR="00BF04E2" w:rsidRPr="00666BAC">
        <w:t xml:space="preserve"> year </w:t>
      </w:r>
      <w:r w:rsidR="00541F06" w:rsidRPr="00666BAC">
        <w:t>was</w:t>
      </w:r>
      <w:r w:rsidR="00BF04E2" w:rsidRPr="00666BAC">
        <w:t xml:space="preserve"> an increase of 9% over</w:t>
      </w:r>
      <w:r w:rsidR="00852DEA" w:rsidRPr="00666BAC">
        <w:t xml:space="preserve"> the number of complaints closed about DHBs in the previous year. This included the conclusion of 45</w:t>
      </w:r>
      <w:r w:rsidR="00541F06" w:rsidRPr="00666BAC">
        <w:t xml:space="preserve"> formal</w:t>
      </w:r>
      <w:r w:rsidR="00852DEA" w:rsidRPr="00666BAC">
        <w:t xml:space="preserve"> inves</w:t>
      </w:r>
      <w:r w:rsidR="00BF04E2" w:rsidRPr="00666BAC">
        <w:t xml:space="preserve">tigations. </w:t>
      </w:r>
      <w:r w:rsidR="00541F06" w:rsidRPr="00666BAC">
        <w:t xml:space="preserve">Around </w:t>
      </w:r>
      <w:r w:rsidR="002971FC" w:rsidRPr="00666BAC">
        <w:t>19%</w:t>
      </w:r>
      <w:r w:rsidR="00541F06" w:rsidRPr="00666BAC">
        <w:t xml:space="preserve"> of complaints </w:t>
      </w:r>
      <w:r w:rsidR="002971FC" w:rsidRPr="00666BAC">
        <w:t xml:space="preserve">were referred back to the DHB for </w:t>
      </w:r>
      <w:r w:rsidR="00541F06" w:rsidRPr="00666BAC">
        <w:t>resolution. In around 23</w:t>
      </w:r>
      <w:r w:rsidR="002971FC" w:rsidRPr="00666BAC">
        <w:t>% of c</w:t>
      </w:r>
      <w:r w:rsidR="00541F06" w:rsidRPr="00666BAC">
        <w:t>ases</w:t>
      </w:r>
      <w:r w:rsidR="002971FC" w:rsidRPr="00666BAC">
        <w:t>, HDC recommended some kind of follow-up action or made educational comments designed to facilitate improvement in DHB services. The most common recommendation made by HDC to DHB</w:t>
      </w:r>
      <w:r w:rsidR="00BF04E2" w:rsidRPr="00666BAC">
        <w:t>s</w:t>
      </w:r>
      <w:r w:rsidR="002971FC" w:rsidRPr="00666BAC">
        <w:t xml:space="preserve"> was that</w:t>
      </w:r>
      <w:r w:rsidR="002971FC" w:rsidRPr="00666BAC">
        <w:rPr>
          <w:lang w:eastAsia="en-NZ"/>
        </w:rPr>
        <w:t xml:space="preserve"> they review their policies/procedures, followed by </w:t>
      </w:r>
      <w:r w:rsidR="00541F06" w:rsidRPr="00666BAC">
        <w:rPr>
          <w:lang w:eastAsia="en-NZ"/>
        </w:rPr>
        <w:t>the recommendation</w:t>
      </w:r>
      <w:r w:rsidR="002971FC" w:rsidRPr="00666BAC">
        <w:rPr>
          <w:lang w:eastAsia="en-NZ"/>
        </w:rPr>
        <w:t xml:space="preserve"> that the DHB conduct an audit, most often of policies/procedures and</w:t>
      </w:r>
      <w:r w:rsidR="00541F06" w:rsidRPr="00666BAC">
        <w:rPr>
          <w:lang w:eastAsia="en-NZ"/>
        </w:rPr>
        <w:t>/or</w:t>
      </w:r>
      <w:r w:rsidR="002971FC" w:rsidRPr="00666BAC">
        <w:rPr>
          <w:lang w:eastAsia="en-NZ"/>
        </w:rPr>
        <w:t xml:space="preserve"> documentation.</w:t>
      </w:r>
    </w:p>
    <w:p w:rsidR="00852DEA" w:rsidRPr="00666BAC" w:rsidRDefault="00852DEA" w:rsidP="00455A1D"/>
    <w:p w:rsidR="00B918CA" w:rsidRPr="00666BAC" w:rsidRDefault="00B918CA" w:rsidP="00455A1D"/>
    <w:p w:rsidR="00B918CA" w:rsidRPr="00666BAC" w:rsidRDefault="00B918CA" w:rsidP="00455A1D"/>
    <w:p w:rsidR="00455A1D" w:rsidRPr="00666BAC" w:rsidRDefault="00455A1D" w:rsidP="00455A1D"/>
    <w:p w:rsidR="00B918CA" w:rsidRPr="00666BAC" w:rsidRDefault="00B918CA" w:rsidP="00B918CA">
      <w:pPr>
        <w:pStyle w:val="Heading1"/>
        <w:spacing w:before="240"/>
        <w:rPr>
          <w:color w:val="C00000"/>
          <w:sz w:val="40"/>
          <w:szCs w:val="40"/>
          <w:lang w:val="en-NZ"/>
        </w:rPr>
      </w:pPr>
      <w:bookmarkStart w:id="3" w:name="_Toc438024719"/>
      <w:r w:rsidRPr="00666BAC">
        <w:rPr>
          <w:color w:val="C00000"/>
          <w:sz w:val="40"/>
          <w:szCs w:val="40"/>
          <w:lang w:val="en-NZ"/>
        </w:rPr>
        <w:t>BACKGROUND</w:t>
      </w:r>
      <w:bookmarkEnd w:id="3"/>
    </w:p>
    <w:p w:rsidR="00B918CA" w:rsidRPr="00666BAC" w:rsidRDefault="00B918CA" w:rsidP="00B918CA">
      <w:pPr>
        <w:pStyle w:val="Heading2"/>
        <w:spacing w:before="360" w:after="240"/>
        <w:rPr>
          <w:sz w:val="36"/>
          <w:szCs w:val="36"/>
        </w:rPr>
      </w:pPr>
      <w:bookmarkStart w:id="4" w:name="_Toc404344421"/>
      <w:bookmarkStart w:id="5" w:name="_Toc438024720"/>
      <w:r w:rsidRPr="00666BAC">
        <w:rPr>
          <w:sz w:val="36"/>
          <w:szCs w:val="36"/>
        </w:rPr>
        <w:t>1.</w:t>
      </w:r>
      <w:r w:rsidRPr="00666BAC">
        <w:rPr>
          <w:sz w:val="36"/>
          <w:szCs w:val="36"/>
        </w:rPr>
        <w:tab/>
        <w:t>The Health and Disability Commissioner</w:t>
      </w:r>
      <w:bookmarkEnd w:id="4"/>
      <w:bookmarkEnd w:id="5"/>
    </w:p>
    <w:p w:rsidR="00B918CA" w:rsidRPr="00666BAC" w:rsidRDefault="00B918CA" w:rsidP="00B918CA">
      <w:pPr>
        <w:rPr>
          <w:lang w:val="en-AU" w:bidi="ar-SA"/>
        </w:rPr>
      </w:pPr>
      <w:r w:rsidRPr="00666BAC">
        <w:rPr>
          <w:lang w:val="en-AU" w:bidi="ar-SA"/>
        </w:rPr>
        <w:t xml:space="preserve">HDC is an independent crown entity established under the Health and Disability Commissioner Act 1994 to promote and protect the rights of health and </w:t>
      </w:r>
      <w:r w:rsidR="0078386C">
        <w:rPr>
          <w:lang w:val="en-AU" w:bidi="ar-SA"/>
        </w:rPr>
        <w:t xml:space="preserve">disability services consumers. </w:t>
      </w:r>
      <w:r w:rsidRPr="00666BAC">
        <w:rPr>
          <w:lang w:val="en-AU" w:bidi="ar-SA"/>
        </w:rPr>
        <w:t>The rights of consumers are set out in the Code of Health and Disability Services Consumers’ Rights (the Code).  The Code places corresponding obligations on all providers of health and disability services, including individual providers and organisational providers such as district health boards.</w:t>
      </w:r>
    </w:p>
    <w:p w:rsidR="00B918CA" w:rsidRPr="00666BAC" w:rsidRDefault="00B918CA" w:rsidP="00B918CA">
      <w:pPr>
        <w:rPr>
          <w:lang w:val="en-AU" w:bidi="ar-SA"/>
        </w:rPr>
      </w:pPr>
    </w:p>
    <w:p w:rsidR="00B918CA" w:rsidRPr="00666BAC" w:rsidRDefault="00B918CA" w:rsidP="00B918CA">
      <w:pPr>
        <w:rPr>
          <w:lang w:val="en-AU" w:bidi="ar-SA"/>
        </w:rPr>
      </w:pPr>
      <w:r w:rsidRPr="00666BAC">
        <w:rPr>
          <w:lang w:val="en-AU" w:bidi="ar-SA"/>
        </w:rPr>
        <w:t>HDC promotes and protects the rights of consumers of health and disability services by:</w:t>
      </w:r>
    </w:p>
    <w:p w:rsidR="00B918CA" w:rsidRPr="00666BAC" w:rsidRDefault="00B918CA" w:rsidP="00B918CA">
      <w:pPr>
        <w:pStyle w:val="ListParagraph"/>
        <w:numPr>
          <w:ilvl w:val="0"/>
          <w:numId w:val="8"/>
        </w:numPr>
        <w:rPr>
          <w:lang w:val="en-AU" w:bidi="ar-SA"/>
        </w:rPr>
      </w:pPr>
      <w:r w:rsidRPr="00666BAC">
        <w:rPr>
          <w:lang w:val="en-AU" w:bidi="ar-SA"/>
        </w:rPr>
        <w:t>resolving complaints;</w:t>
      </w:r>
    </w:p>
    <w:p w:rsidR="00B918CA" w:rsidRPr="00666BAC" w:rsidRDefault="00B918CA" w:rsidP="00B918CA">
      <w:pPr>
        <w:pStyle w:val="ListParagraph"/>
        <w:numPr>
          <w:ilvl w:val="0"/>
          <w:numId w:val="8"/>
        </w:numPr>
        <w:rPr>
          <w:lang w:val="en-AU" w:bidi="ar-SA"/>
        </w:rPr>
      </w:pPr>
      <w:r w:rsidRPr="00666BAC">
        <w:rPr>
          <w:lang w:val="en-AU" w:bidi="ar-SA"/>
        </w:rPr>
        <w:t>improving quality and safety within the sector; and</w:t>
      </w:r>
    </w:p>
    <w:p w:rsidR="00B918CA" w:rsidRPr="00666BAC" w:rsidRDefault="00B918CA" w:rsidP="00B918CA">
      <w:pPr>
        <w:pStyle w:val="ListParagraph"/>
        <w:numPr>
          <w:ilvl w:val="0"/>
          <w:numId w:val="8"/>
        </w:numPr>
        <w:rPr>
          <w:lang w:val="en-AU" w:bidi="ar-SA"/>
        </w:rPr>
      </w:pPr>
      <w:r w:rsidRPr="00666BAC">
        <w:rPr>
          <w:lang w:val="en-AU" w:bidi="ar-SA"/>
        </w:rPr>
        <w:t>appropriately holding providers to account.</w:t>
      </w:r>
    </w:p>
    <w:p w:rsidR="00B918CA" w:rsidRPr="00666BAC" w:rsidRDefault="00B918CA" w:rsidP="00B918CA">
      <w:pPr>
        <w:rPr>
          <w:lang w:val="en-AU" w:bidi="ar-SA"/>
        </w:rPr>
      </w:pPr>
    </w:p>
    <w:p w:rsidR="00B918CA" w:rsidRPr="00666BAC" w:rsidRDefault="00B918CA" w:rsidP="00B918CA">
      <w:pPr>
        <w:rPr>
          <w:lang w:val="en-AU" w:bidi="ar-SA"/>
        </w:rPr>
      </w:pPr>
      <w:r w:rsidRPr="00666BAC">
        <w:rPr>
          <w:lang w:val="en-AU" w:bidi="ar-SA"/>
        </w:rPr>
        <w:t>As such, HDC fulfils the critical role of independent watchdog for consumer rights within the sector.</w:t>
      </w:r>
    </w:p>
    <w:p w:rsidR="00B918CA" w:rsidRPr="00666BAC" w:rsidRDefault="00B918CA" w:rsidP="00B918CA">
      <w:pPr>
        <w:rPr>
          <w:lang w:val="en-AU" w:bidi="ar-SA"/>
        </w:rPr>
      </w:pPr>
    </w:p>
    <w:tbl>
      <w:tblPr>
        <w:tblStyle w:val="TableGrid"/>
        <w:tblW w:w="0" w:type="auto"/>
        <w:jc w:val="center"/>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6912"/>
      </w:tblGrid>
      <w:tr w:rsidR="00B918CA" w:rsidRPr="00666BAC" w:rsidTr="00B918CA">
        <w:trPr>
          <w:jc w:val="center"/>
        </w:trPr>
        <w:tc>
          <w:tcPr>
            <w:tcW w:w="6912" w:type="dxa"/>
          </w:tcPr>
          <w:p w:rsidR="00B918CA" w:rsidRPr="00666BAC" w:rsidRDefault="00B918CA" w:rsidP="00B918CA">
            <w:pPr>
              <w:tabs>
                <w:tab w:val="left" w:pos="1440"/>
                <w:tab w:val="left" w:pos="2610"/>
              </w:tabs>
              <w:jc w:val="center"/>
              <w:outlineLvl w:val="0"/>
              <w:rPr>
                <w:b/>
                <w:sz w:val="28"/>
                <w:szCs w:val="28"/>
              </w:rPr>
            </w:pPr>
          </w:p>
          <w:p w:rsidR="00B918CA" w:rsidRPr="00666BAC" w:rsidRDefault="00B918CA" w:rsidP="00B918CA">
            <w:pPr>
              <w:tabs>
                <w:tab w:val="left" w:pos="1440"/>
                <w:tab w:val="left" w:pos="2610"/>
              </w:tabs>
              <w:jc w:val="center"/>
              <w:outlineLvl w:val="0"/>
              <w:rPr>
                <w:b/>
                <w:sz w:val="28"/>
                <w:szCs w:val="28"/>
              </w:rPr>
            </w:pPr>
            <w:r w:rsidRPr="00666BAC">
              <w:rPr>
                <w:b/>
                <w:sz w:val="28"/>
                <w:szCs w:val="28"/>
              </w:rPr>
              <w:t>Rights under the Code</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be treated with respect.</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freedom from discrimination, coercion, harassment and exploitation.</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dignity and independence.</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services of an appropriate standard.</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effective communication.</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be fully informed.</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make an informed choice and give informed consent.</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support.</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Rights in respect of teaching or research.</w:t>
            </w:r>
          </w:p>
          <w:p w:rsidR="00B918CA" w:rsidRPr="00666BAC" w:rsidRDefault="00B918CA" w:rsidP="00B918CA">
            <w:pPr>
              <w:numPr>
                <w:ilvl w:val="0"/>
                <w:numId w:val="9"/>
              </w:numPr>
              <w:spacing w:after="120"/>
              <w:contextualSpacing/>
              <w:rPr>
                <w:rFonts w:eastAsia="SimSun"/>
                <w:szCs w:val="22"/>
                <w:lang w:eastAsia="zh-CN" w:bidi="ar-SA"/>
              </w:rPr>
            </w:pPr>
            <w:r w:rsidRPr="00666BAC">
              <w:rPr>
                <w:rFonts w:eastAsia="SimSun"/>
                <w:szCs w:val="22"/>
                <w:lang w:eastAsia="zh-CN" w:bidi="ar-SA"/>
              </w:rPr>
              <w:t>The right to complain.</w:t>
            </w:r>
          </w:p>
          <w:p w:rsidR="00B918CA" w:rsidRPr="00666BAC" w:rsidRDefault="00B918CA" w:rsidP="00B918CA">
            <w:pPr>
              <w:spacing w:after="120"/>
              <w:ind w:left="720"/>
              <w:contextualSpacing/>
              <w:rPr>
                <w:rFonts w:eastAsia="SimSun"/>
                <w:szCs w:val="22"/>
                <w:lang w:eastAsia="zh-CN" w:bidi="ar-SA"/>
              </w:rPr>
            </w:pPr>
          </w:p>
        </w:tc>
      </w:tr>
    </w:tbl>
    <w:p w:rsidR="00B918CA" w:rsidRPr="00666BAC" w:rsidRDefault="00B918CA" w:rsidP="00B918CA">
      <w:pPr>
        <w:spacing w:after="120"/>
        <w:contextualSpacing/>
        <w:rPr>
          <w:rFonts w:eastAsia="SimSun"/>
          <w:szCs w:val="22"/>
          <w:lang w:eastAsia="zh-CN" w:bidi="ar-SA"/>
        </w:rPr>
      </w:pPr>
    </w:p>
    <w:p w:rsidR="00B918CA" w:rsidRPr="00666BAC" w:rsidRDefault="00B918CA" w:rsidP="00B918CA">
      <w:pPr>
        <w:spacing w:after="120"/>
        <w:contextualSpacing/>
        <w:rPr>
          <w:rFonts w:eastAsia="SimSun"/>
          <w:szCs w:val="22"/>
          <w:lang w:eastAsia="zh-CN" w:bidi="ar-SA"/>
        </w:rPr>
      </w:pPr>
      <w:r w:rsidRPr="00666BAC">
        <w:rPr>
          <w:rFonts w:eastAsia="SimSun"/>
          <w:szCs w:val="22"/>
          <w:lang w:eastAsia="zh-CN" w:bidi="ar-SA"/>
        </w:rPr>
        <w:t>Anyone may make a complaint to HDC about a health or disability service that ha</w:t>
      </w:r>
      <w:r w:rsidR="0078386C">
        <w:rPr>
          <w:rFonts w:eastAsia="SimSun"/>
          <w:szCs w:val="22"/>
          <w:lang w:eastAsia="zh-CN" w:bidi="ar-SA"/>
        </w:rPr>
        <w:t xml:space="preserve">s been provided to a consumer. </w:t>
      </w:r>
      <w:r w:rsidRPr="00666BAC">
        <w:rPr>
          <w:rFonts w:eastAsia="SimSun"/>
          <w:szCs w:val="22"/>
          <w:lang w:eastAsia="zh-CN" w:bidi="ar-SA"/>
        </w:rPr>
        <w:t>It is not uncommon for HDC to receive complaints from third parties, such as family members, friends, or other providers in</w:t>
      </w:r>
      <w:r w:rsidR="0078386C">
        <w:rPr>
          <w:rFonts w:eastAsia="SimSun"/>
          <w:szCs w:val="22"/>
          <w:lang w:eastAsia="zh-CN" w:bidi="ar-SA"/>
        </w:rPr>
        <w:t xml:space="preserve">volved in the consumer’s care. </w:t>
      </w:r>
      <w:r w:rsidRPr="00666BAC">
        <w:rPr>
          <w:rFonts w:eastAsia="SimSun"/>
          <w:szCs w:val="22"/>
          <w:lang w:eastAsia="zh-CN" w:bidi="ar-SA"/>
        </w:rPr>
        <w:t xml:space="preserve">The Commissioner may also commence an investigation at his own initiative, even without having received a complaint, if he considers it appropriate to do so.  </w:t>
      </w:r>
    </w:p>
    <w:p w:rsidR="00B918CA" w:rsidRPr="00666BAC" w:rsidRDefault="00B918CA" w:rsidP="00B918CA">
      <w:pPr>
        <w:spacing w:after="120"/>
        <w:contextualSpacing/>
        <w:rPr>
          <w:rFonts w:eastAsia="SimSun"/>
          <w:szCs w:val="22"/>
          <w:lang w:eastAsia="zh-CN" w:bidi="ar-SA"/>
        </w:rPr>
      </w:pPr>
    </w:p>
    <w:p w:rsidR="00BC1F5B" w:rsidRPr="00666BAC" w:rsidRDefault="00BC1F5B"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C1F5B" w:rsidRPr="00666BAC" w:rsidRDefault="00BC1F5B" w:rsidP="00BC1F5B"/>
    <w:p w:rsidR="00BC1F5B" w:rsidRPr="00666BAC" w:rsidRDefault="00BC1F5B" w:rsidP="00BC1F5B"/>
    <w:p w:rsidR="00BC1F5B" w:rsidRPr="00666BAC" w:rsidRDefault="00BC1F5B" w:rsidP="00BC1F5B"/>
    <w:p w:rsidR="008D3B4B" w:rsidRPr="00666BAC" w:rsidRDefault="008D3B4B" w:rsidP="00BC1F5B"/>
    <w:p w:rsidR="00B918CA" w:rsidRPr="00666BAC" w:rsidRDefault="00B918CA" w:rsidP="00B918CA">
      <w:pPr>
        <w:pStyle w:val="Heading2"/>
        <w:spacing w:before="360" w:after="240"/>
        <w:rPr>
          <w:sz w:val="36"/>
          <w:szCs w:val="36"/>
        </w:rPr>
      </w:pPr>
      <w:bookmarkStart w:id="6" w:name="_Toc404344422"/>
      <w:bookmarkStart w:id="7" w:name="_Toc438024721"/>
      <w:r w:rsidRPr="00666BAC">
        <w:rPr>
          <w:sz w:val="36"/>
          <w:szCs w:val="36"/>
        </w:rPr>
        <w:t>2.</w:t>
      </w:r>
      <w:r w:rsidRPr="00666BAC">
        <w:rPr>
          <w:sz w:val="36"/>
          <w:szCs w:val="36"/>
        </w:rPr>
        <w:tab/>
        <w:t>District Health Boards</w:t>
      </w:r>
      <w:bookmarkEnd w:id="6"/>
      <w:bookmarkEnd w:id="7"/>
    </w:p>
    <w:p w:rsidR="00B918CA" w:rsidRPr="00666BAC" w:rsidRDefault="00B918CA" w:rsidP="00B918CA">
      <w:pPr>
        <w:rPr>
          <w:lang w:val="en-AU" w:bidi="ar-SA"/>
        </w:rPr>
      </w:pPr>
      <w:r w:rsidRPr="00666BAC">
        <w:rPr>
          <w:lang w:val="en-AU" w:bidi="ar-SA"/>
        </w:rPr>
        <w:t>There are 20 district health boards (DHBs) with responsibility for funding or providing a specified range of health and disability services</w:t>
      </w:r>
      <w:r w:rsidR="0078386C">
        <w:rPr>
          <w:lang w:val="en-AU" w:bidi="ar-SA"/>
        </w:rPr>
        <w:t xml:space="preserve"> on behalf of the government. </w:t>
      </w:r>
      <w:r w:rsidRPr="00666BAC">
        <w:rPr>
          <w:lang w:val="en-AU" w:bidi="ar-SA"/>
        </w:rPr>
        <w:t>Public hospitals, and other public health services, including various clinics and community-based services,</w:t>
      </w:r>
      <w:r w:rsidR="0078386C">
        <w:rPr>
          <w:lang w:val="en-AU" w:bidi="ar-SA"/>
        </w:rPr>
        <w:t xml:space="preserve"> are owned and funded by DHBs. </w:t>
      </w:r>
      <w:r w:rsidRPr="00666BAC">
        <w:rPr>
          <w:lang w:val="en-AU" w:bidi="ar-SA"/>
        </w:rPr>
        <w:t xml:space="preserve">Individual providers (for example, doctors and nurses) working in a DHB’s facility are usually employed by that DHB. </w:t>
      </w:r>
    </w:p>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3C0B43" w:rsidRPr="00666BAC" w:rsidRDefault="003C0B43" w:rsidP="00BC1F5B"/>
    <w:p w:rsidR="00BC1F5B" w:rsidRPr="00666BAC" w:rsidRDefault="00BC1F5B"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918CA">
      <w:pPr>
        <w:pStyle w:val="Heading2"/>
        <w:spacing w:before="360" w:after="240"/>
        <w:rPr>
          <w:sz w:val="36"/>
          <w:szCs w:val="36"/>
        </w:rPr>
      </w:pPr>
      <w:bookmarkStart w:id="8" w:name="_Toc404344423"/>
      <w:bookmarkStart w:id="9" w:name="_Toc438024722"/>
      <w:r w:rsidRPr="00666BAC">
        <w:rPr>
          <w:sz w:val="36"/>
          <w:szCs w:val="36"/>
        </w:rPr>
        <w:t>3.</w:t>
      </w:r>
      <w:r w:rsidRPr="00666BAC">
        <w:rPr>
          <w:sz w:val="36"/>
          <w:szCs w:val="36"/>
        </w:rPr>
        <w:tab/>
        <w:t>This Report</w:t>
      </w:r>
      <w:bookmarkEnd w:id="8"/>
      <w:bookmarkEnd w:id="9"/>
    </w:p>
    <w:p w:rsidR="00B918CA" w:rsidRPr="00666BAC" w:rsidRDefault="00B918CA" w:rsidP="00B918CA">
      <w:r w:rsidRPr="00666BAC">
        <w:t xml:space="preserve">This report describes the complaints HDC received and/or closed in </w:t>
      </w:r>
      <w:r w:rsidR="002B4B70" w:rsidRPr="00666BAC">
        <w:t>relation to DHBs during the 2015/16</w:t>
      </w:r>
      <w:r w:rsidRPr="00666BAC">
        <w:t xml:space="preserve"> financial year.  </w:t>
      </w:r>
    </w:p>
    <w:p w:rsidR="00B918CA" w:rsidRPr="00666BAC" w:rsidRDefault="00B918CA" w:rsidP="00B918CA"/>
    <w:p w:rsidR="00B918CA" w:rsidRPr="00666BAC" w:rsidRDefault="00B918CA" w:rsidP="00B918CA">
      <w:r w:rsidRPr="00666BAC">
        <w:t xml:space="preserve">Complaints about DHBs are of particular interest as DHBs are the largest organisational providers of health and disability services in this country.  Approximately one third of complaints received by HDC each year relate, at least in part, to DHB services.    </w:t>
      </w:r>
    </w:p>
    <w:p w:rsidR="00B918CA" w:rsidRPr="00666BAC" w:rsidRDefault="00B918CA" w:rsidP="00B918CA"/>
    <w:p w:rsidR="00B918CA" w:rsidRPr="00666BAC" w:rsidRDefault="00B918CA" w:rsidP="00B918CA">
      <w:r w:rsidRPr="00666BAC">
        <w:t>The complaints are described both in terms of overall numbers and characteristics, as well as by reference to case studies.  In terms of complaints received, the issues included in the analysis are as articul</w:t>
      </w:r>
      <w:r w:rsidR="0078386C">
        <w:t>ated by the complainant to HDC.</w:t>
      </w:r>
      <w:r w:rsidRPr="00666BAC">
        <w:t xml:space="preserve"> While not all issues raised in complaints are subsequently factually and/or clinically substantiated, those issues can still provide a valuable insight into the consumer’s experience of the services provided</w:t>
      </w:r>
      <w:r w:rsidR="00BA11E1" w:rsidRPr="00666BAC">
        <w:t xml:space="preserve"> and the issues they care most about</w:t>
      </w:r>
      <w:r w:rsidR="0078386C">
        <w:t>.</w:t>
      </w:r>
      <w:r w:rsidRPr="00666BAC">
        <w:t xml:space="preserve"> Case studies are included to encourage readers to consider their own service provision and to ask “could that happen at my place” and, if so, what changes can be made to prevent it.  </w:t>
      </w:r>
    </w:p>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C1F5B" w:rsidRPr="00666BAC" w:rsidRDefault="00BC1F5B" w:rsidP="00BC1F5B"/>
    <w:p w:rsidR="00B918CA" w:rsidRPr="00666BAC" w:rsidRDefault="00B918CA" w:rsidP="00BC1F5B"/>
    <w:p w:rsidR="00B918CA" w:rsidRPr="00666BAC" w:rsidRDefault="00B918CA" w:rsidP="00BC1F5B"/>
    <w:p w:rsidR="00B918CA" w:rsidRPr="00666BAC" w:rsidRDefault="00B918CA" w:rsidP="00B918CA">
      <w:pPr>
        <w:pStyle w:val="Heading1"/>
        <w:rPr>
          <w:color w:val="C00000"/>
          <w:sz w:val="40"/>
          <w:szCs w:val="40"/>
        </w:rPr>
      </w:pPr>
      <w:bookmarkStart w:id="10" w:name="_Toc438024723"/>
      <w:r w:rsidRPr="00666BAC">
        <w:rPr>
          <w:color w:val="C00000"/>
          <w:sz w:val="40"/>
          <w:szCs w:val="40"/>
        </w:rPr>
        <w:t>COMPLAINTS RECEIVED</w:t>
      </w:r>
      <w:bookmarkEnd w:id="10"/>
    </w:p>
    <w:p w:rsidR="00B918CA" w:rsidRPr="00666BAC" w:rsidRDefault="00B918CA" w:rsidP="00B918CA">
      <w:pPr>
        <w:pStyle w:val="Heading2"/>
        <w:spacing w:before="360" w:after="240"/>
        <w:rPr>
          <w:sz w:val="36"/>
          <w:szCs w:val="36"/>
        </w:rPr>
      </w:pPr>
      <w:bookmarkStart w:id="11" w:name="_Toc404344425"/>
      <w:bookmarkStart w:id="12" w:name="_Toc438024724"/>
      <w:bookmarkStart w:id="13" w:name="_Toc398125955"/>
      <w:r w:rsidRPr="00666BAC">
        <w:rPr>
          <w:sz w:val="36"/>
          <w:szCs w:val="36"/>
        </w:rPr>
        <w:t>1.</w:t>
      </w:r>
      <w:r w:rsidRPr="00666BAC">
        <w:rPr>
          <w:sz w:val="36"/>
          <w:szCs w:val="36"/>
        </w:rPr>
        <w:tab/>
        <w:t>How many complaints were received?</w:t>
      </w:r>
      <w:bookmarkEnd w:id="11"/>
      <w:bookmarkEnd w:id="12"/>
      <w:r w:rsidRPr="00666BAC">
        <w:rPr>
          <w:sz w:val="36"/>
          <w:szCs w:val="36"/>
        </w:rPr>
        <w:t xml:space="preserve"> </w:t>
      </w:r>
    </w:p>
    <w:p w:rsidR="00B918CA" w:rsidRPr="00666BAC" w:rsidRDefault="00B918CA" w:rsidP="00B918CA">
      <w:pPr>
        <w:pStyle w:val="Heading3"/>
        <w:rPr>
          <w:b/>
          <w:i w:val="0"/>
          <w:sz w:val="28"/>
          <w:szCs w:val="28"/>
        </w:rPr>
      </w:pPr>
      <w:bookmarkStart w:id="14" w:name="_Toc404344426"/>
      <w:bookmarkStart w:id="15" w:name="_Toc438024725"/>
      <w:bookmarkEnd w:id="13"/>
      <w:r w:rsidRPr="00666BAC">
        <w:rPr>
          <w:b/>
          <w:i w:val="0"/>
          <w:sz w:val="28"/>
          <w:szCs w:val="28"/>
        </w:rPr>
        <w:t>1.1</w:t>
      </w:r>
      <w:r w:rsidRPr="00666BAC">
        <w:rPr>
          <w:b/>
          <w:i w:val="0"/>
          <w:sz w:val="28"/>
          <w:szCs w:val="28"/>
        </w:rPr>
        <w:tab/>
        <w:t>Number of complaints received</w:t>
      </w:r>
      <w:bookmarkEnd w:id="14"/>
      <w:bookmarkEnd w:id="15"/>
    </w:p>
    <w:p w:rsidR="00B918CA" w:rsidRPr="00666BAC" w:rsidRDefault="00B918CA" w:rsidP="00B918CA">
      <w:pPr>
        <w:rPr>
          <w:b/>
        </w:rPr>
      </w:pPr>
    </w:p>
    <w:p w:rsidR="00B918CA" w:rsidRPr="00666BAC" w:rsidRDefault="006B1335" w:rsidP="00B918CA">
      <w:r w:rsidRPr="00666BAC">
        <w:t>In 201</w:t>
      </w:r>
      <w:r w:rsidR="00F74CF8" w:rsidRPr="00666BAC">
        <w:t>5/16</w:t>
      </w:r>
      <w:r w:rsidR="00B918CA" w:rsidRPr="00666BAC">
        <w:t xml:space="preserve">, HDC received a total of </w:t>
      </w:r>
      <w:r w:rsidR="00F74CF8" w:rsidRPr="00666BAC">
        <w:rPr>
          <w:b/>
        </w:rPr>
        <w:t>805</w:t>
      </w:r>
      <w:r w:rsidR="009879C9" w:rsidRPr="00666BAC">
        <w:rPr>
          <w:rStyle w:val="FootnoteReference"/>
          <w:b/>
        </w:rPr>
        <w:footnoteReference w:id="1"/>
      </w:r>
      <w:r w:rsidR="00B918CA" w:rsidRPr="00666BAC">
        <w:t xml:space="preserve"> complaints about care provided by all D</w:t>
      </w:r>
      <w:r w:rsidR="00742C09" w:rsidRPr="00666BAC">
        <w:t>HB</w:t>
      </w:r>
      <w:r w:rsidR="0078386C">
        <w:t>s.</w:t>
      </w:r>
      <w:r w:rsidR="00B918CA" w:rsidRPr="00666BAC">
        <w:t xml:space="preserve"> This equates to </w:t>
      </w:r>
      <w:r w:rsidR="00F74CF8" w:rsidRPr="00666BAC">
        <w:t>41</w:t>
      </w:r>
      <w:r w:rsidR="00B918CA" w:rsidRPr="00666BAC">
        <w:t>% of the total 1,</w:t>
      </w:r>
      <w:r w:rsidR="00F74CF8" w:rsidRPr="00666BAC">
        <w:t>958</w:t>
      </w:r>
      <w:r w:rsidR="00B918CA" w:rsidRPr="00666BAC">
        <w:t xml:space="preserve"> complaints received by HDC that year. </w:t>
      </w:r>
    </w:p>
    <w:p w:rsidR="00B918CA" w:rsidRPr="00666BAC" w:rsidRDefault="00B918CA" w:rsidP="00B918CA"/>
    <w:p w:rsidR="00B918CA" w:rsidRPr="00666BAC" w:rsidRDefault="00B918CA" w:rsidP="00B918CA">
      <w:r w:rsidRPr="00666BAC">
        <w:t xml:space="preserve">The </w:t>
      </w:r>
      <w:r w:rsidR="00F74CF8" w:rsidRPr="00666BAC">
        <w:t>805 complaints received in the 2015/16</w:t>
      </w:r>
      <w:r w:rsidR="00534DB1" w:rsidRPr="00666BAC">
        <w:t xml:space="preserve"> </w:t>
      </w:r>
      <w:r w:rsidR="00892D34" w:rsidRPr="00666BAC">
        <w:t>y</w:t>
      </w:r>
      <w:r w:rsidR="00F74CF8" w:rsidRPr="00666BAC">
        <w:t>ear represents an increase of 6</w:t>
      </w:r>
      <w:r w:rsidRPr="00666BAC">
        <w:t xml:space="preserve">% </w:t>
      </w:r>
      <w:r w:rsidR="00742C09" w:rsidRPr="00666BAC">
        <w:t>over</w:t>
      </w:r>
      <w:r w:rsidRPr="00666BAC">
        <w:t xml:space="preserve"> the </w:t>
      </w:r>
      <w:r w:rsidR="00F74CF8" w:rsidRPr="00666BAC">
        <w:t>757 complaints received in 2014/15</w:t>
      </w:r>
      <w:r w:rsidR="0078386C">
        <w:t>.</w:t>
      </w:r>
      <w:r w:rsidRPr="00666BAC">
        <w:t xml:space="preserve"> As can be seen from Figure 1 below, DHB complaint numbers have been steadily incre</w:t>
      </w:r>
      <w:r w:rsidR="00BA11E1" w:rsidRPr="00666BAC">
        <w:t>asing over the last five years.</w:t>
      </w:r>
      <w:r w:rsidRPr="00666BAC">
        <w:t xml:space="preserve"> Analysis shows that this increase is statistically significant</w:t>
      </w:r>
      <w:r w:rsidR="00742C09" w:rsidRPr="00666BAC">
        <w:t>.</w:t>
      </w:r>
      <w:r w:rsidRPr="00666BAC">
        <w:rPr>
          <w:rStyle w:val="FootnoteReference"/>
          <w:szCs w:val="22"/>
        </w:rPr>
        <w:footnoteReference w:id="2"/>
      </w:r>
      <w:r w:rsidRPr="00666BAC">
        <w:t xml:space="preserve"> </w:t>
      </w:r>
    </w:p>
    <w:p w:rsidR="00B918CA" w:rsidRPr="00666BAC" w:rsidRDefault="00B918CA" w:rsidP="00B918CA">
      <w:pPr>
        <w:spacing w:after="120"/>
        <w:rPr>
          <w:b/>
        </w:rPr>
      </w:pPr>
    </w:p>
    <w:p w:rsidR="00B918CA" w:rsidRPr="00666BAC" w:rsidRDefault="00B918CA" w:rsidP="00B918CA">
      <w:pPr>
        <w:spacing w:after="120"/>
        <w:rPr>
          <w:b/>
        </w:rPr>
      </w:pPr>
      <w:r w:rsidRPr="00666BAC">
        <w:rPr>
          <w:b/>
        </w:rPr>
        <w:t xml:space="preserve">Figure 1. </w:t>
      </w:r>
      <w:r w:rsidRPr="00666BAC">
        <w:t>Number of complaints received about DHBs</w:t>
      </w:r>
    </w:p>
    <w:p w:rsidR="00B918CA" w:rsidRPr="00666BAC" w:rsidRDefault="00920F2D" w:rsidP="00B918CA">
      <w:r w:rsidRPr="00666BAC">
        <w:rPr>
          <w:noProof/>
          <w:lang w:eastAsia="en-NZ" w:bidi="ar-SA"/>
        </w:rPr>
        <w:drawing>
          <wp:inline distT="0" distB="0" distL="0" distR="0" wp14:anchorId="4EA8534D" wp14:editId="2A909A2C">
            <wp:extent cx="5636029" cy="3266902"/>
            <wp:effectExtent l="0" t="0" r="2222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0F2D" w:rsidRPr="00666BAC" w:rsidRDefault="00920F2D" w:rsidP="00B918CA"/>
    <w:p w:rsidR="00B918CA" w:rsidRPr="00666BAC" w:rsidRDefault="000128B9" w:rsidP="00B918CA">
      <w:r>
        <w:t>In 2015/16 t</w:t>
      </w:r>
      <w:r w:rsidR="00B918CA" w:rsidRPr="00666BAC">
        <w:t>he number of complaints received abo</w:t>
      </w:r>
      <w:r w:rsidR="009879C9" w:rsidRPr="00666BAC">
        <w:t>ut individual DHBs ranged from 2</w:t>
      </w:r>
      <w:r w:rsidR="00892D34" w:rsidRPr="00666BAC">
        <w:t xml:space="preserve"> </w:t>
      </w:r>
      <w:r w:rsidR="00B918CA" w:rsidRPr="00666BAC">
        <w:t xml:space="preserve">complaints to </w:t>
      </w:r>
      <w:r w:rsidR="009879C9" w:rsidRPr="00666BAC">
        <w:t>11</w:t>
      </w:r>
      <w:r w:rsidR="00892D34" w:rsidRPr="00666BAC">
        <w:t>0</w:t>
      </w:r>
      <w:r w:rsidR="00BA11E1" w:rsidRPr="00666BAC">
        <w:t xml:space="preserve"> complaints.</w:t>
      </w:r>
      <w:r w:rsidR="00B918CA" w:rsidRPr="00666BAC">
        <w:t xml:space="preserve"> Large variability in complaint numbers is not unexpected given the similar variability in the size of populations served and number of services delivered by different DHBs.</w:t>
      </w: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47977" w:rsidRPr="00666BAC" w:rsidRDefault="00B47977" w:rsidP="00B47977">
      <w:pPr>
        <w:pStyle w:val="Heading3"/>
        <w:spacing w:before="120" w:after="120"/>
        <w:rPr>
          <w:b/>
          <w:i w:val="0"/>
          <w:sz w:val="28"/>
          <w:szCs w:val="28"/>
        </w:rPr>
      </w:pPr>
      <w:bookmarkStart w:id="16" w:name="_Toc404344427"/>
      <w:bookmarkStart w:id="17" w:name="_Toc438024726"/>
      <w:r w:rsidRPr="00666BAC">
        <w:rPr>
          <w:b/>
          <w:i w:val="0"/>
          <w:sz w:val="28"/>
          <w:szCs w:val="28"/>
        </w:rPr>
        <w:t>1.2</w:t>
      </w:r>
      <w:r w:rsidRPr="00666BAC">
        <w:rPr>
          <w:b/>
          <w:i w:val="0"/>
          <w:sz w:val="28"/>
          <w:szCs w:val="28"/>
        </w:rPr>
        <w:tab/>
        <w:t xml:space="preserve"> Rate of complaints received</w:t>
      </w:r>
      <w:bookmarkEnd w:id="16"/>
      <w:bookmarkEnd w:id="17"/>
      <w:r w:rsidRPr="00666BAC">
        <w:rPr>
          <w:b/>
          <w:i w:val="0"/>
          <w:sz w:val="28"/>
          <w:szCs w:val="28"/>
        </w:rPr>
        <w:t xml:space="preserve"> </w:t>
      </w:r>
    </w:p>
    <w:p w:rsidR="00B47977" w:rsidRPr="00666BAC" w:rsidRDefault="00B47977" w:rsidP="00B47977"/>
    <w:p w:rsidR="00B47977" w:rsidRPr="00666BAC" w:rsidRDefault="00B47977" w:rsidP="00B47977">
      <w:r w:rsidRPr="00666BAC">
        <w:t xml:space="preserve">Expressing complaints to HDC as a rate per 100,000 discharges allows more meaningful comparisons to be drawn between DHBs, and over time, </w:t>
      </w:r>
      <w:r w:rsidR="000128B9">
        <w:t>enables</w:t>
      </w:r>
      <w:r w:rsidRPr="00666BAC">
        <w:t xml:space="preserve"> any trends to be better observed.</w:t>
      </w:r>
    </w:p>
    <w:p w:rsidR="00B47977" w:rsidRPr="00666BAC" w:rsidRDefault="00B47977" w:rsidP="00B47977"/>
    <w:p w:rsidR="00B47977" w:rsidRPr="00666BAC" w:rsidRDefault="009879C9" w:rsidP="00B47977">
      <w:r w:rsidRPr="00666BAC">
        <w:t>In the 2015/16</w:t>
      </w:r>
      <w:r w:rsidR="00B47977" w:rsidRPr="00666BAC">
        <w:t xml:space="preserve"> year, according to Ministry of Health data</w:t>
      </w:r>
      <w:r w:rsidR="00742C09" w:rsidRPr="00666BAC">
        <w:t>,</w:t>
      </w:r>
      <w:r w:rsidR="00B47977" w:rsidRPr="00666BAC">
        <w:rPr>
          <w:rStyle w:val="FootnoteReference"/>
        </w:rPr>
        <w:footnoteReference w:id="3"/>
      </w:r>
      <w:r w:rsidR="000E4C54">
        <w:t xml:space="preserve"> there were 952,105</w:t>
      </w:r>
      <w:r w:rsidR="00B47977" w:rsidRPr="00666BAC">
        <w:t xml:space="preserve"> discharges nationally.  This </w:t>
      </w:r>
      <w:r w:rsidR="001F2AD8" w:rsidRPr="00666BAC">
        <w:t>equates to an overall rate of 85</w:t>
      </w:r>
      <w:r w:rsidR="00B47977" w:rsidRPr="00666BAC">
        <w:t xml:space="preserve"> complaints per 100,000 </w:t>
      </w:r>
      <w:r w:rsidR="00BA11E1" w:rsidRPr="00666BAC">
        <w:t>discharges across DHB services.</w:t>
      </w:r>
      <w:r w:rsidR="00B47977" w:rsidRPr="00666BAC">
        <w:t xml:space="preserve"> This c</w:t>
      </w:r>
      <w:r w:rsidR="001F2AD8" w:rsidRPr="00666BAC">
        <w:t>ompares to an overall rate of 81</w:t>
      </w:r>
      <w:r w:rsidR="00B47977" w:rsidRPr="00666BAC">
        <w:t xml:space="preserve"> complaints pe</w:t>
      </w:r>
      <w:r w:rsidR="001F2AD8" w:rsidRPr="00666BAC">
        <w:t>r 100,000 discharges during 2014/15; an increase of 5</w:t>
      </w:r>
      <w:r w:rsidR="00B47977" w:rsidRPr="00666BAC">
        <w:t>%.  As shown in Figure 2, the complaint rate per 100,000 discharges has increased steadily ov</w:t>
      </w:r>
      <w:r w:rsidR="0078386C">
        <w:t xml:space="preserve">er the last five years. </w:t>
      </w:r>
      <w:r w:rsidR="001F2AD8" w:rsidRPr="00666BAC">
        <w:t>As with</w:t>
      </w:r>
      <w:r w:rsidR="00B47977" w:rsidRPr="00666BAC">
        <w:t xml:space="preserve"> complaint numbers, analysis shows that this increase is statistically significant</w:t>
      </w:r>
      <w:r w:rsidR="00742C09" w:rsidRPr="00666BAC">
        <w:t>.</w:t>
      </w:r>
      <w:r w:rsidR="00B47977" w:rsidRPr="00666BAC">
        <w:rPr>
          <w:rStyle w:val="FootnoteReference"/>
          <w:szCs w:val="22"/>
        </w:rPr>
        <w:footnoteReference w:id="4"/>
      </w:r>
    </w:p>
    <w:p w:rsidR="00B47977" w:rsidRPr="00666BAC" w:rsidRDefault="00B47977" w:rsidP="00B47977"/>
    <w:p w:rsidR="00B47977" w:rsidRPr="00666BAC" w:rsidRDefault="00B47977" w:rsidP="000C30B7">
      <w:pPr>
        <w:spacing w:before="120" w:after="120"/>
        <w:rPr>
          <w:szCs w:val="22"/>
        </w:rPr>
      </w:pPr>
      <w:r w:rsidRPr="00666BAC">
        <w:t xml:space="preserve">  </w:t>
      </w:r>
      <w:r w:rsidRPr="00666BAC">
        <w:rPr>
          <w:b/>
          <w:szCs w:val="22"/>
        </w:rPr>
        <w:t xml:space="preserve">Figure 2. </w:t>
      </w:r>
      <w:r w:rsidRPr="00666BAC">
        <w:rPr>
          <w:szCs w:val="22"/>
        </w:rPr>
        <w:t>Rate of complaints received about DHBs per 100,000 discharges</w:t>
      </w:r>
    </w:p>
    <w:p w:rsidR="00B47977" w:rsidRPr="00666BAC" w:rsidRDefault="001F2AD8" w:rsidP="000C30B7">
      <w:pPr>
        <w:jc w:val="center"/>
        <w:rPr>
          <w:szCs w:val="22"/>
        </w:rPr>
      </w:pPr>
      <w:r w:rsidRPr="00666BAC">
        <w:rPr>
          <w:noProof/>
          <w:lang w:eastAsia="en-NZ" w:bidi="ar-SA"/>
        </w:rPr>
        <w:drawing>
          <wp:inline distT="0" distB="0" distL="0" distR="0" wp14:anchorId="087764BA" wp14:editId="675FE5C5">
            <wp:extent cx="5386647" cy="2992582"/>
            <wp:effectExtent l="0" t="0" r="2413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47977" w:rsidRPr="00666BAC" w:rsidRDefault="00B47977" w:rsidP="00B47977"/>
    <w:p w:rsidR="00B47977" w:rsidRPr="00666BAC" w:rsidRDefault="00B47977" w:rsidP="00B47977">
      <w:r w:rsidRPr="00666BAC">
        <w:t>For individual DHBs, the rate of co</w:t>
      </w:r>
      <w:r w:rsidR="004E43C1" w:rsidRPr="00666BAC">
        <w:t>mplaints received ranged from 28</w:t>
      </w:r>
      <w:r w:rsidRPr="00666BAC">
        <w:t xml:space="preserve"> complain</w:t>
      </w:r>
      <w:r w:rsidR="004E43C1" w:rsidRPr="00666BAC">
        <w:t>ts per 100,000 discharges to 165</w:t>
      </w:r>
      <w:r w:rsidRPr="00666BAC">
        <w:t xml:space="preserve"> complaints per 100,000 discharges.  </w:t>
      </w:r>
    </w:p>
    <w:p w:rsidR="00B47977" w:rsidRPr="00666BAC" w:rsidRDefault="00B47977" w:rsidP="00B47977"/>
    <w:p w:rsidR="00B47977" w:rsidRPr="00666BAC" w:rsidRDefault="00B47977" w:rsidP="00B47977">
      <w:r w:rsidRPr="00666BAC">
        <w:t>However, while discharge data is useful for standardising DHB activity over time, it is less accurate when compa</w:t>
      </w:r>
      <w:r w:rsidR="0078386C">
        <w:t xml:space="preserve">ring DHBs against one another. </w:t>
      </w:r>
      <w:r w:rsidRPr="00666BAC">
        <w:t>This is because some services are excluded from the discharge data collected</w:t>
      </w:r>
      <w:r w:rsidR="00742C09" w:rsidRPr="00666BAC">
        <w:t>,</w:t>
      </w:r>
      <w:r w:rsidRPr="00666BAC">
        <w:rPr>
          <w:rStyle w:val="FootnoteReference"/>
        </w:rPr>
        <w:footnoteReference w:id="5"/>
      </w:r>
      <w:r w:rsidRPr="00666BAC">
        <w:rPr>
          <w:rStyle w:val="FootnoteReference"/>
        </w:rPr>
        <w:t xml:space="preserve"> </w:t>
      </w:r>
      <w:r w:rsidRPr="00666BAC">
        <w:t>disproportionately affect</w:t>
      </w:r>
      <w:r w:rsidR="0078386C">
        <w:t>ing some DHBs more than others.</w:t>
      </w:r>
      <w:r w:rsidRPr="00666BAC">
        <w:t xml:space="preserve"> In addition, discharge data does not take into account the particular services provided by a DHB or the nature of the population and geographical area served. </w:t>
      </w:r>
      <w:r w:rsidRPr="00666BAC">
        <w:rPr>
          <w:rStyle w:val="FootnoteReference"/>
        </w:rPr>
        <w:t xml:space="preserve"> </w:t>
      </w:r>
    </w:p>
    <w:p w:rsidR="00BC1F5B" w:rsidRPr="00666BAC" w:rsidRDefault="00BC1F5B" w:rsidP="00BC1F5B">
      <w:pPr>
        <w:widowControl w:val="0"/>
        <w:rPr>
          <w:b/>
          <w:szCs w:val="22"/>
        </w:rPr>
      </w:pPr>
    </w:p>
    <w:p w:rsidR="00A4450C" w:rsidRPr="00666BAC" w:rsidRDefault="00A4450C" w:rsidP="00BC1F5B">
      <w:pPr>
        <w:widowControl w:val="0"/>
        <w:rPr>
          <w:b/>
          <w:szCs w:val="22"/>
        </w:rPr>
      </w:pPr>
    </w:p>
    <w:p w:rsidR="00484708" w:rsidRPr="00666BAC" w:rsidRDefault="00484708" w:rsidP="00BC1F5B">
      <w:pPr>
        <w:widowControl w:val="0"/>
        <w:rPr>
          <w:b/>
          <w:szCs w:val="22"/>
        </w:rPr>
      </w:pPr>
    </w:p>
    <w:p w:rsidR="00484708" w:rsidRPr="00666BAC" w:rsidRDefault="00484708" w:rsidP="00BC1F5B">
      <w:pPr>
        <w:widowControl w:val="0"/>
        <w:rPr>
          <w:b/>
          <w:szCs w:val="22"/>
        </w:rPr>
      </w:pPr>
    </w:p>
    <w:p w:rsidR="00484708" w:rsidRPr="00666BAC" w:rsidRDefault="00484708" w:rsidP="00BC1F5B">
      <w:pPr>
        <w:widowControl w:val="0"/>
        <w:rPr>
          <w:b/>
          <w:szCs w:val="22"/>
        </w:rPr>
      </w:pPr>
    </w:p>
    <w:p w:rsidR="00484708" w:rsidRPr="00666BAC" w:rsidRDefault="00484708" w:rsidP="00BC1F5B">
      <w:pPr>
        <w:widowControl w:val="0"/>
        <w:rPr>
          <w:b/>
          <w:szCs w:val="22"/>
        </w:rPr>
      </w:pPr>
    </w:p>
    <w:p w:rsidR="00E157FD" w:rsidRPr="00666BAC" w:rsidRDefault="00E157FD" w:rsidP="00E157FD"/>
    <w:p w:rsidR="00E157FD" w:rsidRPr="00666BAC" w:rsidRDefault="00E157FD" w:rsidP="00E157FD"/>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E157FD" w:rsidRPr="00666BAC" w:rsidTr="00E157FD">
        <w:tc>
          <w:tcPr>
            <w:tcW w:w="9298" w:type="dxa"/>
          </w:tcPr>
          <w:p w:rsidR="00E157FD" w:rsidRPr="00666BAC" w:rsidRDefault="00E157FD" w:rsidP="00BA11E1">
            <w:pPr>
              <w:tabs>
                <w:tab w:val="left" w:pos="1440"/>
                <w:tab w:val="left" w:pos="2610"/>
              </w:tabs>
              <w:spacing w:before="120" w:after="120"/>
              <w:jc w:val="center"/>
              <w:outlineLvl w:val="0"/>
              <w:rPr>
                <w:b/>
                <w:sz w:val="28"/>
                <w:szCs w:val="28"/>
              </w:rPr>
            </w:pPr>
            <w:r w:rsidRPr="00666BAC">
              <w:rPr>
                <w:b/>
                <w:sz w:val="28"/>
                <w:szCs w:val="28"/>
              </w:rPr>
              <w:t>Why are complaint numbers increasing?</w:t>
            </w:r>
          </w:p>
          <w:p w:rsidR="00E157FD" w:rsidRPr="00666BAC" w:rsidRDefault="00E157FD" w:rsidP="00E157FD">
            <w:pPr>
              <w:tabs>
                <w:tab w:val="left" w:pos="1440"/>
                <w:tab w:val="left" w:pos="2610"/>
              </w:tabs>
              <w:spacing w:after="240"/>
              <w:outlineLvl w:val="0"/>
              <w:rPr>
                <w:lang w:val="en-US"/>
              </w:rPr>
            </w:pPr>
            <w:r w:rsidRPr="00666BAC">
              <w:rPr>
                <w:lang w:val="en-US"/>
              </w:rPr>
              <w:t>The increasing number of complaints being received by HDC about DHBs is reflective of an overall trend of sustained growt</w:t>
            </w:r>
            <w:r w:rsidR="0078386C">
              <w:rPr>
                <w:lang w:val="en-US"/>
              </w:rPr>
              <w:t xml:space="preserve">h in complaint numbers to HDC. </w:t>
            </w:r>
            <w:r w:rsidRPr="00666BAC">
              <w:rPr>
                <w:lang w:val="en-US"/>
              </w:rPr>
              <w:t>Over the last four years, the number of compl</w:t>
            </w:r>
            <w:r w:rsidR="004E43C1" w:rsidRPr="00666BAC">
              <w:rPr>
                <w:lang w:val="en-US"/>
              </w:rPr>
              <w:t>aints to HDC has increased by 25</w:t>
            </w:r>
            <w:r w:rsidRPr="00666BAC">
              <w:rPr>
                <w:lang w:val="en-US"/>
              </w:rPr>
              <w:t xml:space="preserve">%.  </w:t>
            </w:r>
          </w:p>
          <w:p w:rsidR="00E157FD" w:rsidRPr="00666BAC" w:rsidRDefault="00E157FD" w:rsidP="00E157FD">
            <w:pPr>
              <w:tabs>
                <w:tab w:val="left" w:pos="1440"/>
                <w:tab w:val="left" w:pos="2610"/>
              </w:tabs>
              <w:spacing w:after="240"/>
              <w:outlineLvl w:val="0"/>
              <w:rPr>
                <w:lang w:val="en-US"/>
              </w:rPr>
            </w:pPr>
            <w:r w:rsidRPr="00666BAC">
              <w:rPr>
                <w:lang w:val="en-US"/>
              </w:rPr>
              <w:t xml:space="preserve">This increase must be interpreted with caution. HDC has no evidence to suggest that the increase in complaints relates to a decrease in the quality of services, by providers generally, or by DHBs in particular.  </w:t>
            </w:r>
          </w:p>
          <w:p w:rsidR="00E157FD" w:rsidRPr="00666BAC" w:rsidRDefault="00E157FD" w:rsidP="00E157FD">
            <w:pPr>
              <w:tabs>
                <w:tab w:val="left" w:pos="1440"/>
                <w:tab w:val="left" w:pos="2610"/>
              </w:tabs>
              <w:spacing w:after="240"/>
              <w:outlineLvl w:val="0"/>
              <w:rPr>
                <w:lang w:val="en-US"/>
              </w:rPr>
            </w:pPr>
            <w:r w:rsidRPr="00666BAC">
              <w:rPr>
                <w:lang w:val="en-US"/>
              </w:rPr>
              <w:t xml:space="preserve">The growth in complaint numbers is more likely to be due to the increasing profile of HDC, the improved accessibility of complaints processes due to advancing technology, and an increasing </w:t>
            </w:r>
            <w:r w:rsidR="00102BDE" w:rsidRPr="00666BAC">
              <w:rPr>
                <w:lang w:val="en-US"/>
              </w:rPr>
              <w:t xml:space="preserve">public </w:t>
            </w:r>
            <w:r w:rsidR="0078386C">
              <w:rPr>
                <w:lang w:val="en-US"/>
              </w:rPr>
              <w:t>knowledge of consumer rights.</w:t>
            </w:r>
            <w:r w:rsidRPr="00666BAC">
              <w:rPr>
                <w:lang w:val="en-US"/>
              </w:rPr>
              <w:t xml:space="preserve"> It may also reflect an increased willingness among consumers to complain about services received.  </w:t>
            </w:r>
          </w:p>
          <w:p w:rsidR="00E157FD" w:rsidRPr="00666BAC" w:rsidRDefault="00E157FD" w:rsidP="005972DC">
            <w:pPr>
              <w:tabs>
                <w:tab w:val="left" w:pos="1440"/>
                <w:tab w:val="left" w:pos="2610"/>
              </w:tabs>
              <w:spacing w:after="240"/>
              <w:outlineLvl w:val="0"/>
              <w:rPr>
                <w:lang w:val="en-US"/>
              </w:rPr>
            </w:pPr>
            <w:r w:rsidRPr="00666BAC">
              <w:rPr>
                <w:lang w:val="en-US"/>
              </w:rPr>
              <w:t>HDC’s increasing complaint load is not unique, but is consistent with a trend being observed in complaints agencies both around New Zealand and internationally.</w:t>
            </w:r>
            <w:r w:rsidR="00742C09" w:rsidRPr="00666BAC">
              <w:rPr>
                <w:lang w:val="en-US"/>
              </w:rPr>
              <w:t xml:space="preserve"> For exampl</w:t>
            </w:r>
            <w:r w:rsidR="005972DC" w:rsidRPr="00666BAC">
              <w:rPr>
                <w:lang w:val="en-US"/>
              </w:rPr>
              <w:t>e, in 201</w:t>
            </w:r>
            <w:r w:rsidR="001625C4" w:rsidRPr="00666BAC">
              <w:rPr>
                <w:lang w:val="en-US"/>
              </w:rPr>
              <w:t>5/16</w:t>
            </w:r>
            <w:r w:rsidR="005972DC" w:rsidRPr="00666BAC">
              <w:rPr>
                <w:lang w:val="en-US"/>
              </w:rPr>
              <w:t xml:space="preserve"> complaints to</w:t>
            </w:r>
            <w:r w:rsidR="00742C09" w:rsidRPr="00666BAC">
              <w:rPr>
                <w:lang w:val="en-US"/>
              </w:rPr>
              <w:t xml:space="preserve"> the New South Wales Health Care Complaint Commission and the Office of the Health </w:t>
            </w:r>
            <w:r w:rsidR="00F629B3" w:rsidRPr="00666BAC">
              <w:rPr>
                <w:lang w:val="en-US"/>
              </w:rPr>
              <w:t xml:space="preserve">Services </w:t>
            </w:r>
            <w:r w:rsidR="00742C09" w:rsidRPr="00666BAC">
              <w:rPr>
                <w:lang w:val="en-US"/>
              </w:rPr>
              <w:t xml:space="preserve">Commissioner in Victoria rose by </w:t>
            </w:r>
            <w:r w:rsidR="005972DC" w:rsidRPr="00666BAC">
              <w:rPr>
                <w:lang w:val="en-US"/>
              </w:rPr>
              <w:t>15% and 28%</w:t>
            </w:r>
            <w:r w:rsidR="007E31DC" w:rsidRPr="00666BAC">
              <w:rPr>
                <w:lang w:val="en-US"/>
              </w:rPr>
              <w:t xml:space="preserve"> respectively.</w:t>
            </w:r>
            <w:r w:rsidR="00742C09" w:rsidRPr="00666BAC">
              <w:rPr>
                <w:lang w:val="en-US"/>
              </w:rPr>
              <w:t xml:space="preserve"> </w:t>
            </w:r>
          </w:p>
        </w:tc>
      </w:tr>
    </w:tbl>
    <w:p w:rsidR="00484708" w:rsidRPr="00666BAC" w:rsidRDefault="00484708"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b/>
          <w:szCs w:val="22"/>
        </w:rPr>
      </w:pPr>
    </w:p>
    <w:p w:rsidR="00484708" w:rsidRPr="00666BAC" w:rsidRDefault="00484708" w:rsidP="00BC1F5B">
      <w:pPr>
        <w:widowControl w:val="0"/>
        <w:rPr>
          <w:b/>
          <w:szCs w:val="22"/>
        </w:rPr>
      </w:pPr>
    </w:p>
    <w:p w:rsidR="00BA11E1" w:rsidRPr="00666BAC" w:rsidRDefault="00BA11E1" w:rsidP="00BC1F5B">
      <w:pPr>
        <w:widowControl w:val="0"/>
        <w:rPr>
          <w:b/>
          <w:szCs w:val="22"/>
        </w:rPr>
      </w:pPr>
    </w:p>
    <w:p w:rsidR="00E157FD" w:rsidRPr="00666BAC" w:rsidRDefault="00E157FD" w:rsidP="00E157FD">
      <w:pPr>
        <w:pStyle w:val="Heading2"/>
        <w:spacing w:before="360" w:after="240"/>
        <w:rPr>
          <w:sz w:val="36"/>
          <w:szCs w:val="36"/>
        </w:rPr>
      </w:pPr>
      <w:bookmarkStart w:id="18" w:name="_Toc404344428"/>
      <w:bookmarkStart w:id="19" w:name="_Toc438024727"/>
      <w:r w:rsidRPr="00666BAC">
        <w:rPr>
          <w:sz w:val="36"/>
          <w:szCs w:val="36"/>
        </w:rPr>
        <w:t>2.</w:t>
      </w:r>
      <w:r w:rsidRPr="00666BAC">
        <w:rPr>
          <w:sz w:val="36"/>
          <w:szCs w:val="36"/>
        </w:rPr>
        <w:tab/>
        <w:t>Which DHB services were complained about?</w:t>
      </w:r>
      <w:bookmarkEnd w:id="18"/>
      <w:bookmarkEnd w:id="19"/>
      <w:r w:rsidRPr="00666BAC">
        <w:rPr>
          <w:sz w:val="36"/>
          <w:szCs w:val="36"/>
        </w:rPr>
        <w:t xml:space="preserve"> </w:t>
      </w:r>
    </w:p>
    <w:p w:rsidR="00E157FD" w:rsidRPr="00666BAC" w:rsidRDefault="00E157FD" w:rsidP="00E157FD">
      <w:pPr>
        <w:pStyle w:val="Heading3"/>
        <w:spacing w:after="120"/>
        <w:rPr>
          <w:b/>
          <w:i w:val="0"/>
          <w:sz w:val="28"/>
          <w:szCs w:val="28"/>
        </w:rPr>
      </w:pPr>
      <w:bookmarkStart w:id="20" w:name="_Toc398125958"/>
      <w:bookmarkStart w:id="21" w:name="_Toc404344429"/>
      <w:bookmarkStart w:id="22" w:name="_Toc438024728"/>
      <w:r w:rsidRPr="00666BAC">
        <w:rPr>
          <w:b/>
          <w:i w:val="0"/>
          <w:sz w:val="28"/>
          <w:szCs w:val="28"/>
        </w:rPr>
        <w:t>2.1</w:t>
      </w:r>
      <w:r w:rsidRPr="00666BAC">
        <w:rPr>
          <w:b/>
          <w:i w:val="0"/>
          <w:sz w:val="28"/>
          <w:szCs w:val="28"/>
        </w:rPr>
        <w:tab/>
      </w:r>
      <w:r w:rsidRPr="00666BAC">
        <w:rPr>
          <w:b/>
          <w:i w:val="0"/>
          <w:sz w:val="28"/>
          <w:szCs w:val="28"/>
        </w:rPr>
        <w:tab/>
        <w:t>DHB service types complained about</w:t>
      </w:r>
      <w:bookmarkEnd w:id="20"/>
      <w:bookmarkEnd w:id="21"/>
      <w:bookmarkEnd w:id="22"/>
    </w:p>
    <w:p w:rsidR="00E157FD" w:rsidRPr="00666BAC" w:rsidRDefault="00E157FD" w:rsidP="00E157FD"/>
    <w:p w:rsidR="00E157FD" w:rsidRPr="00666BAC" w:rsidRDefault="00E157FD" w:rsidP="00E157FD">
      <w:r w:rsidRPr="00666BAC">
        <w:t>DHBs operate a number of different services, both within hospitals and outside of hospitals</w:t>
      </w:r>
      <w:r w:rsidR="00BA11E1" w:rsidRPr="00666BAC">
        <w:t>,</w:t>
      </w:r>
      <w:r w:rsidRPr="00666BAC">
        <w:t xml:space="preserve"> in clinics and in the community. </w:t>
      </w:r>
      <w:r w:rsidR="00ED5373" w:rsidRPr="00666BAC">
        <w:t>It should be noted that some complaints involve more than one DHB and/or more than one hospital, therefore, although there were 805 complaints about DHBs, 844 services have been complained about.</w:t>
      </w:r>
      <w:r w:rsidRPr="00666BAC">
        <w:t xml:space="preserve"> </w:t>
      </w:r>
    </w:p>
    <w:p w:rsidR="00E157FD" w:rsidRPr="00666BAC" w:rsidRDefault="00E157FD" w:rsidP="00E157FD"/>
    <w:p w:rsidR="00E157FD" w:rsidRPr="00666BAC" w:rsidRDefault="00E157FD" w:rsidP="00E157FD">
      <w:r w:rsidRPr="00666BAC">
        <w:t>Compla</w:t>
      </w:r>
      <w:r w:rsidR="005F2FC7" w:rsidRPr="00666BAC">
        <w:t>ints received by HDC in the 201</w:t>
      </w:r>
      <w:r w:rsidR="00436A62" w:rsidRPr="00666BAC">
        <w:t>5/16</w:t>
      </w:r>
      <w:r w:rsidRPr="00666BAC">
        <w:t xml:space="preserve"> year were spread across many of those service types, as shown in Figure 3 below, with the greatest proportion of co</w:t>
      </w:r>
      <w:r w:rsidR="00C5788A" w:rsidRPr="00666BAC">
        <w:t xml:space="preserve">mplaints being </w:t>
      </w:r>
      <w:r w:rsidR="00BA11E1" w:rsidRPr="00666BAC">
        <w:t>about surgical services</w:t>
      </w:r>
      <w:r w:rsidR="00C5788A" w:rsidRPr="00666BAC">
        <w:t xml:space="preserve"> (</w:t>
      </w:r>
      <w:r w:rsidR="00436A62" w:rsidRPr="00666BAC">
        <w:t>31</w:t>
      </w:r>
      <w:r w:rsidRPr="00666BAC">
        <w:t>%), followed by mental he</w:t>
      </w:r>
      <w:r w:rsidR="00C5788A" w:rsidRPr="00666BAC">
        <w:t>alth (</w:t>
      </w:r>
      <w:r w:rsidR="00436A62" w:rsidRPr="00666BAC">
        <w:t>21%), general medicine (16</w:t>
      </w:r>
      <w:r w:rsidRPr="00666BAC">
        <w:t xml:space="preserve">%), </w:t>
      </w:r>
      <w:r w:rsidR="00BA11E1" w:rsidRPr="00666BAC">
        <w:t>emergency departments</w:t>
      </w:r>
      <w:r w:rsidR="00436A62" w:rsidRPr="00666BAC">
        <w:t xml:space="preserve"> (12</w:t>
      </w:r>
      <w:r w:rsidR="00C5788A" w:rsidRPr="00666BAC">
        <w:t>%) and maternity services (</w:t>
      </w:r>
      <w:r w:rsidR="00436A62" w:rsidRPr="00666BAC">
        <w:t>6</w:t>
      </w:r>
      <w:r w:rsidRPr="00666BAC">
        <w:t>%).</w:t>
      </w:r>
    </w:p>
    <w:p w:rsidR="00E157FD" w:rsidRPr="00666BAC" w:rsidRDefault="00E157FD" w:rsidP="00E157FD"/>
    <w:p w:rsidR="00E157FD" w:rsidRPr="00666BAC" w:rsidRDefault="00E157FD" w:rsidP="00E157FD">
      <w:pPr>
        <w:spacing w:after="120"/>
      </w:pPr>
      <w:r w:rsidRPr="00666BAC">
        <w:rPr>
          <w:b/>
        </w:rPr>
        <w:t xml:space="preserve">Figure 3. </w:t>
      </w:r>
      <w:r w:rsidRPr="00666BAC">
        <w:t>DHB service types complained about</w:t>
      </w:r>
    </w:p>
    <w:p w:rsidR="00E157FD" w:rsidRPr="00666BAC" w:rsidRDefault="00ED5373" w:rsidP="00D47568">
      <w:pPr>
        <w:jc w:val="center"/>
        <w:rPr>
          <w:szCs w:val="22"/>
        </w:rPr>
      </w:pPr>
      <w:r w:rsidRPr="00666BAC">
        <w:rPr>
          <w:noProof/>
          <w:lang w:eastAsia="en-NZ" w:bidi="ar-SA"/>
        </w:rPr>
        <w:drawing>
          <wp:inline distT="0" distB="0" distL="0" distR="0" wp14:anchorId="64FEAB3A" wp14:editId="18FBC928">
            <wp:extent cx="5378335" cy="4239491"/>
            <wp:effectExtent l="0" t="0" r="13335" b="279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D5373" w:rsidRPr="00666BAC" w:rsidRDefault="00E157FD" w:rsidP="00191F8C">
      <w:pPr>
        <w:spacing w:before="120"/>
      </w:pPr>
      <w:r w:rsidRPr="00666BAC">
        <w:t>A more nuanced picture of service types complained about, including individual surgical and general medicine service categ</w:t>
      </w:r>
      <w:r w:rsidR="00ED5373" w:rsidRPr="00666BAC">
        <w:t xml:space="preserve">ories, is provided in Table 1. </w:t>
      </w:r>
    </w:p>
    <w:p w:rsidR="00E157FD" w:rsidRPr="00666BAC" w:rsidRDefault="00ED5373" w:rsidP="00ED5373">
      <w:pPr>
        <w:spacing w:before="120"/>
      </w:pPr>
      <w:r w:rsidRPr="00666BAC">
        <w:t>The most common surgical specialties complained about in 2015/16 were orthopaedics (8%), general surgery (7%) and gynaecology (5%). This is consistent with the surgical specialties complained about in 2014/15.</w:t>
      </w:r>
    </w:p>
    <w:p w:rsidR="00E157FD" w:rsidRPr="00666BAC" w:rsidRDefault="00E157FD" w:rsidP="00E157FD"/>
    <w:p w:rsidR="00E157FD" w:rsidRPr="00666BAC" w:rsidRDefault="00E157FD" w:rsidP="00E157FD"/>
    <w:p w:rsidR="00E157FD" w:rsidRPr="00666BAC" w:rsidRDefault="00E157FD" w:rsidP="00E157FD"/>
    <w:p w:rsidR="000B1842" w:rsidRPr="00666BAC" w:rsidRDefault="000B1842" w:rsidP="00E157FD"/>
    <w:p w:rsidR="000B1842" w:rsidRPr="00666BAC" w:rsidRDefault="000B1842" w:rsidP="00E157FD"/>
    <w:p w:rsidR="000A0BCE" w:rsidRPr="00666BAC" w:rsidRDefault="000A0BCE" w:rsidP="00E157FD"/>
    <w:p w:rsidR="00D47568" w:rsidRPr="00666BAC" w:rsidRDefault="00D47568" w:rsidP="00E157FD"/>
    <w:p w:rsidR="00E157FD" w:rsidRPr="00666BAC" w:rsidRDefault="00E157FD" w:rsidP="00E157FD">
      <w:pPr>
        <w:spacing w:after="120"/>
        <w:rPr>
          <w:szCs w:val="22"/>
        </w:rPr>
      </w:pPr>
      <w:r w:rsidRPr="00666BAC">
        <w:rPr>
          <w:b/>
          <w:szCs w:val="22"/>
        </w:rPr>
        <w:t xml:space="preserve">Table 1. </w:t>
      </w:r>
      <w:r w:rsidRPr="00666BAC">
        <w:rPr>
          <w:szCs w:val="22"/>
        </w:rPr>
        <w:t>DHB 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tblGrid>
      <w:tr w:rsidR="00E157FD" w:rsidRPr="00666BAC" w:rsidTr="00E157FD">
        <w:trPr>
          <w:trHeight w:val="624"/>
          <w:tblHeader/>
        </w:trPr>
        <w:tc>
          <w:tcPr>
            <w:tcW w:w="4678" w:type="dxa"/>
            <w:shd w:val="clear" w:color="auto" w:fill="C00000"/>
          </w:tcPr>
          <w:p w:rsidR="00E157FD" w:rsidRPr="00666BAC" w:rsidRDefault="00E157FD" w:rsidP="00E157FD">
            <w:pPr>
              <w:tabs>
                <w:tab w:val="left" w:pos="1440"/>
                <w:tab w:val="decimal" w:pos="4320"/>
              </w:tabs>
              <w:spacing w:before="120" w:after="120"/>
              <w:jc w:val="center"/>
              <w:outlineLvl w:val="0"/>
              <w:rPr>
                <w:b/>
                <w:szCs w:val="22"/>
                <w:vertAlign w:val="superscript"/>
              </w:rPr>
            </w:pPr>
            <w:r w:rsidRPr="00666BAC">
              <w:rPr>
                <w:b/>
                <w:szCs w:val="22"/>
              </w:rPr>
              <w:t>Service type</w:t>
            </w:r>
          </w:p>
        </w:tc>
        <w:tc>
          <w:tcPr>
            <w:tcW w:w="2268" w:type="dxa"/>
            <w:shd w:val="clear" w:color="auto" w:fill="C00000"/>
          </w:tcPr>
          <w:p w:rsidR="00E157FD" w:rsidRPr="00666BAC" w:rsidRDefault="00E157FD" w:rsidP="00E157FD">
            <w:pPr>
              <w:tabs>
                <w:tab w:val="left" w:pos="1440"/>
                <w:tab w:val="decimal" w:pos="4320"/>
              </w:tabs>
              <w:spacing w:before="120" w:after="120"/>
              <w:jc w:val="center"/>
              <w:outlineLvl w:val="0"/>
              <w:rPr>
                <w:b/>
                <w:szCs w:val="22"/>
              </w:rPr>
            </w:pPr>
            <w:r w:rsidRPr="00666BAC">
              <w:rPr>
                <w:b/>
                <w:szCs w:val="22"/>
              </w:rPr>
              <w:t>Number of services (%)</w:t>
            </w:r>
          </w:p>
        </w:tc>
      </w:tr>
      <w:tr w:rsidR="00A14E4F" w:rsidRPr="00666BAC" w:rsidTr="00E157FD">
        <w:trPr>
          <w:trHeight w:val="278"/>
        </w:trPr>
        <w:tc>
          <w:tcPr>
            <w:tcW w:w="4678" w:type="dxa"/>
            <w:vAlign w:val="bottom"/>
          </w:tcPr>
          <w:p w:rsidR="00A14E4F" w:rsidRPr="00666BAC" w:rsidRDefault="00A14E4F" w:rsidP="00E157FD">
            <w:pPr>
              <w:rPr>
                <w:rFonts w:cs="Calibri"/>
                <w:color w:val="000000"/>
                <w:szCs w:val="22"/>
              </w:rPr>
            </w:pPr>
            <w:r w:rsidRPr="00666BAC">
              <w:rPr>
                <w:rFonts w:cs="Calibri"/>
                <w:b/>
                <w:color w:val="000000"/>
                <w:szCs w:val="22"/>
              </w:rPr>
              <w:t xml:space="preserve">Aged care </w:t>
            </w:r>
            <w:r w:rsidRPr="00666BAC">
              <w:rPr>
                <w:rFonts w:cs="Calibri"/>
                <w:color w:val="000000"/>
                <w:szCs w:val="22"/>
              </w:rPr>
              <w:t>(long-term care)</w:t>
            </w:r>
          </w:p>
        </w:tc>
        <w:tc>
          <w:tcPr>
            <w:tcW w:w="2268" w:type="dxa"/>
            <w:vAlign w:val="center"/>
          </w:tcPr>
          <w:p w:rsidR="00A14E4F" w:rsidRPr="00666BAC" w:rsidRDefault="00A14E4F" w:rsidP="00E157FD">
            <w:pPr>
              <w:jc w:val="center"/>
              <w:rPr>
                <w:b/>
                <w:color w:val="000000"/>
                <w:szCs w:val="22"/>
              </w:rPr>
            </w:pPr>
            <w:r w:rsidRPr="00666BAC">
              <w:rPr>
                <w:b/>
                <w:color w:val="000000"/>
                <w:szCs w:val="22"/>
              </w:rPr>
              <w:t>2</w:t>
            </w:r>
            <w:r w:rsidR="00B15C2B" w:rsidRPr="00666BAC">
              <w:rPr>
                <w:b/>
                <w:color w:val="000000"/>
                <w:szCs w:val="22"/>
              </w:rPr>
              <w:t xml:space="preserve"> (0.2)</w:t>
            </w:r>
          </w:p>
        </w:tc>
      </w:tr>
      <w:tr w:rsidR="00E157FD" w:rsidRPr="00666BAC" w:rsidTr="00E157FD">
        <w:trPr>
          <w:trHeight w:val="278"/>
        </w:trPr>
        <w:tc>
          <w:tcPr>
            <w:tcW w:w="4678" w:type="dxa"/>
            <w:vAlign w:val="bottom"/>
          </w:tcPr>
          <w:p w:rsidR="00E157FD" w:rsidRPr="00666BAC" w:rsidRDefault="00E157FD" w:rsidP="00E157FD">
            <w:pPr>
              <w:rPr>
                <w:rFonts w:cs="Calibri"/>
                <w:b/>
                <w:color w:val="000000"/>
                <w:szCs w:val="22"/>
              </w:rPr>
            </w:pPr>
            <w:r w:rsidRPr="00666BAC">
              <w:rPr>
                <w:rFonts w:cs="Calibri"/>
                <w:b/>
                <w:color w:val="000000"/>
                <w:szCs w:val="22"/>
              </w:rPr>
              <w:t>Alcohol and drug</w:t>
            </w:r>
          </w:p>
        </w:tc>
        <w:tc>
          <w:tcPr>
            <w:tcW w:w="2268" w:type="dxa"/>
            <w:vAlign w:val="center"/>
          </w:tcPr>
          <w:p w:rsidR="00E157FD" w:rsidRPr="00666BAC" w:rsidRDefault="005F2FC7" w:rsidP="00E157FD">
            <w:pPr>
              <w:jc w:val="center"/>
              <w:rPr>
                <w:b/>
                <w:color w:val="000000"/>
                <w:szCs w:val="22"/>
              </w:rPr>
            </w:pPr>
            <w:r w:rsidRPr="00666BAC">
              <w:rPr>
                <w:b/>
                <w:color w:val="000000"/>
                <w:szCs w:val="22"/>
              </w:rPr>
              <w:t>13</w:t>
            </w:r>
            <w:r w:rsidR="00A14E4F" w:rsidRPr="00666BAC">
              <w:rPr>
                <w:b/>
                <w:color w:val="000000"/>
                <w:szCs w:val="22"/>
              </w:rPr>
              <w:t xml:space="preserve"> (2)</w:t>
            </w:r>
          </w:p>
        </w:tc>
      </w:tr>
      <w:tr w:rsidR="00ED0DB0" w:rsidRPr="00666BAC" w:rsidTr="00E157FD">
        <w:trPr>
          <w:trHeight w:val="267"/>
        </w:trPr>
        <w:tc>
          <w:tcPr>
            <w:tcW w:w="4678" w:type="dxa"/>
            <w:vAlign w:val="bottom"/>
          </w:tcPr>
          <w:p w:rsidR="00ED0DB0" w:rsidRPr="00666BAC" w:rsidRDefault="00ED0DB0" w:rsidP="00E157FD">
            <w:pPr>
              <w:rPr>
                <w:rFonts w:cs="Calibri"/>
                <w:b/>
                <w:color w:val="000000"/>
                <w:szCs w:val="22"/>
              </w:rPr>
            </w:pPr>
            <w:r w:rsidRPr="00666BAC">
              <w:rPr>
                <w:rFonts w:cs="Calibri"/>
                <w:b/>
                <w:color w:val="000000"/>
                <w:szCs w:val="22"/>
              </w:rPr>
              <w:t>Anaesthetics/pain medicine</w:t>
            </w:r>
          </w:p>
        </w:tc>
        <w:tc>
          <w:tcPr>
            <w:tcW w:w="2268" w:type="dxa"/>
            <w:vAlign w:val="center"/>
          </w:tcPr>
          <w:p w:rsidR="00ED0DB0" w:rsidRPr="00666BAC" w:rsidRDefault="00E4571A" w:rsidP="00E157FD">
            <w:pPr>
              <w:jc w:val="center"/>
              <w:rPr>
                <w:b/>
                <w:color w:val="000000"/>
                <w:szCs w:val="22"/>
              </w:rPr>
            </w:pPr>
            <w:r w:rsidRPr="00666BAC">
              <w:rPr>
                <w:b/>
                <w:color w:val="000000"/>
                <w:szCs w:val="22"/>
              </w:rPr>
              <w:t>9</w:t>
            </w:r>
            <w:r w:rsidR="00A14E4F" w:rsidRPr="00666BAC">
              <w:rPr>
                <w:b/>
                <w:color w:val="000000"/>
                <w:szCs w:val="22"/>
              </w:rPr>
              <w:t xml:space="preserve"> (1)</w:t>
            </w:r>
          </w:p>
        </w:tc>
      </w:tr>
      <w:tr w:rsidR="00E157FD" w:rsidRPr="00666BAC" w:rsidTr="00E157FD">
        <w:trPr>
          <w:trHeight w:val="267"/>
        </w:trPr>
        <w:tc>
          <w:tcPr>
            <w:tcW w:w="4678" w:type="dxa"/>
            <w:vAlign w:val="bottom"/>
          </w:tcPr>
          <w:p w:rsidR="00E157FD" w:rsidRPr="00666BAC" w:rsidRDefault="00E157FD" w:rsidP="00E157FD">
            <w:pPr>
              <w:rPr>
                <w:rFonts w:cs="Calibri"/>
                <w:b/>
                <w:color w:val="000000"/>
                <w:szCs w:val="22"/>
              </w:rPr>
            </w:pPr>
            <w:r w:rsidRPr="00666BAC">
              <w:rPr>
                <w:rFonts w:cs="Calibri"/>
                <w:b/>
                <w:color w:val="000000"/>
                <w:szCs w:val="22"/>
              </w:rPr>
              <w:t xml:space="preserve">Dental </w:t>
            </w:r>
          </w:p>
        </w:tc>
        <w:tc>
          <w:tcPr>
            <w:tcW w:w="2268" w:type="dxa"/>
            <w:vAlign w:val="center"/>
          </w:tcPr>
          <w:p w:rsidR="00E157FD" w:rsidRPr="00666BAC" w:rsidRDefault="005F2FC7" w:rsidP="00E157FD">
            <w:pPr>
              <w:jc w:val="center"/>
              <w:rPr>
                <w:b/>
                <w:color w:val="000000"/>
                <w:szCs w:val="22"/>
              </w:rPr>
            </w:pPr>
            <w:r w:rsidRPr="00666BAC">
              <w:rPr>
                <w:b/>
                <w:color w:val="000000"/>
                <w:szCs w:val="22"/>
              </w:rPr>
              <w:t>6</w:t>
            </w:r>
            <w:r w:rsidR="00B15C2B" w:rsidRPr="00666BAC">
              <w:rPr>
                <w:b/>
                <w:color w:val="000000"/>
                <w:szCs w:val="22"/>
              </w:rPr>
              <w:t xml:space="preserve"> (0.7)</w:t>
            </w:r>
          </w:p>
        </w:tc>
      </w:tr>
      <w:tr w:rsidR="00E157FD" w:rsidRPr="00666BAC" w:rsidTr="00E157FD">
        <w:trPr>
          <w:trHeight w:val="286"/>
        </w:trPr>
        <w:tc>
          <w:tcPr>
            <w:tcW w:w="4678" w:type="dxa"/>
            <w:vAlign w:val="bottom"/>
          </w:tcPr>
          <w:p w:rsidR="00E157FD" w:rsidRPr="00666BAC" w:rsidRDefault="00E157FD" w:rsidP="00E157FD">
            <w:pPr>
              <w:rPr>
                <w:rFonts w:cs="Arial"/>
                <w:b/>
                <w:szCs w:val="22"/>
              </w:rPr>
            </w:pPr>
            <w:r w:rsidRPr="00666BAC">
              <w:rPr>
                <w:rFonts w:cs="Arial"/>
                <w:b/>
                <w:szCs w:val="22"/>
              </w:rPr>
              <w:t>Diagnostics</w:t>
            </w:r>
          </w:p>
        </w:tc>
        <w:tc>
          <w:tcPr>
            <w:tcW w:w="2268" w:type="dxa"/>
            <w:vAlign w:val="center"/>
          </w:tcPr>
          <w:p w:rsidR="00E157FD" w:rsidRPr="00666BAC" w:rsidRDefault="005F2FC7" w:rsidP="00E157FD">
            <w:pPr>
              <w:jc w:val="center"/>
              <w:rPr>
                <w:b/>
                <w:color w:val="000000"/>
                <w:szCs w:val="22"/>
              </w:rPr>
            </w:pPr>
            <w:r w:rsidRPr="00666BAC">
              <w:rPr>
                <w:b/>
                <w:color w:val="000000"/>
                <w:szCs w:val="22"/>
              </w:rPr>
              <w:t>21</w:t>
            </w:r>
            <w:r w:rsidR="00B15C2B" w:rsidRPr="00666BAC">
              <w:rPr>
                <w:b/>
                <w:color w:val="000000"/>
                <w:szCs w:val="22"/>
              </w:rPr>
              <w:t xml:space="preserve"> (2)</w:t>
            </w:r>
          </w:p>
        </w:tc>
      </w:tr>
      <w:tr w:rsidR="00B15C2B" w:rsidRPr="00666BAC" w:rsidTr="00B15C2B">
        <w:trPr>
          <w:trHeight w:val="286"/>
        </w:trPr>
        <w:tc>
          <w:tcPr>
            <w:tcW w:w="4678" w:type="dxa"/>
            <w:vAlign w:val="bottom"/>
          </w:tcPr>
          <w:p w:rsidR="00B15C2B" w:rsidRPr="00666BAC" w:rsidRDefault="00B15C2B" w:rsidP="00E157FD">
            <w:pPr>
              <w:rPr>
                <w:rFonts w:cs="Arial"/>
                <w:b/>
                <w:szCs w:val="22"/>
              </w:rPr>
            </w:pPr>
            <w:r w:rsidRPr="00666BAC">
              <w:rPr>
                <w:rFonts w:cs="Arial"/>
                <w:b/>
                <w:szCs w:val="22"/>
              </w:rPr>
              <w:t>Disability services</w:t>
            </w:r>
          </w:p>
        </w:tc>
        <w:tc>
          <w:tcPr>
            <w:tcW w:w="2268" w:type="dxa"/>
          </w:tcPr>
          <w:p w:rsidR="00B15C2B" w:rsidRPr="00666BAC" w:rsidRDefault="00B15C2B" w:rsidP="00B15C2B">
            <w:pPr>
              <w:jc w:val="center"/>
            </w:pPr>
            <w:r w:rsidRPr="00666BAC">
              <w:rPr>
                <w:b/>
                <w:color w:val="000000"/>
                <w:szCs w:val="22"/>
              </w:rPr>
              <w:t>6 (0.7)</w:t>
            </w:r>
          </w:p>
        </w:tc>
      </w:tr>
      <w:tr w:rsidR="00B15C2B" w:rsidRPr="00666BAC" w:rsidTr="00B15C2B">
        <w:trPr>
          <w:trHeight w:val="286"/>
        </w:trPr>
        <w:tc>
          <w:tcPr>
            <w:tcW w:w="4678" w:type="dxa"/>
            <w:vAlign w:val="bottom"/>
          </w:tcPr>
          <w:p w:rsidR="00B15C2B" w:rsidRPr="00666BAC" w:rsidRDefault="00B15C2B" w:rsidP="00E157FD">
            <w:pPr>
              <w:rPr>
                <w:rFonts w:cs="Arial"/>
                <w:b/>
                <w:szCs w:val="22"/>
              </w:rPr>
            </w:pPr>
            <w:r w:rsidRPr="00666BAC">
              <w:rPr>
                <w:rFonts w:cs="Arial"/>
                <w:b/>
                <w:szCs w:val="22"/>
              </w:rPr>
              <w:t>District nursing</w:t>
            </w:r>
          </w:p>
        </w:tc>
        <w:tc>
          <w:tcPr>
            <w:tcW w:w="2268" w:type="dxa"/>
          </w:tcPr>
          <w:p w:rsidR="00B15C2B" w:rsidRPr="00666BAC" w:rsidRDefault="00B15C2B" w:rsidP="00B15C2B">
            <w:pPr>
              <w:jc w:val="center"/>
            </w:pPr>
            <w:r w:rsidRPr="00666BAC">
              <w:rPr>
                <w:b/>
                <w:color w:val="000000"/>
                <w:szCs w:val="22"/>
              </w:rPr>
              <w:t>6 (0.7)</w:t>
            </w:r>
          </w:p>
        </w:tc>
      </w:tr>
      <w:tr w:rsidR="00D47568" w:rsidRPr="00666BAC" w:rsidTr="00E157FD">
        <w:trPr>
          <w:trHeight w:val="286"/>
        </w:trPr>
        <w:tc>
          <w:tcPr>
            <w:tcW w:w="4678" w:type="dxa"/>
            <w:vAlign w:val="bottom"/>
          </w:tcPr>
          <w:p w:rsidR="00D47568" w:rsidRPr="00666BAC" w:rsidRDefault="00D47568" w:rsidP="00D47568">
            <w:pPr>
              <w:jc w:val="left"/>
              <w:rPr>
                <w:rFonts w:cs="Calibri"/>
                <w:b/>
                <w:color w:val="000000"/>
                <w:szCs w:val="22"/>
              </w:rPr>
            </w:pPr>
            <w:r w:rsidRPr="00666BAC">
              <w:rPr>
                <w:rFonts w:cs="Calibri"/>
                <w:b/>
                <w:color w:val="000000"/>
                <w:szCs w:val="22"/>
              </w:rPr>
              <w:t xml:space="preserve">Emergency department </w:t>
            </w:r>
            <w:r w:rsidRPr="00666BAC">
              <w:rPr>
                <w:rFonts w:cs="Calibri"/>
                <w:color w:val="000000"/>
                <w:szCs w:val="22"/>
              </w:rPr>
              <w:t>(including paramedics)</w:t>
            </w:r>
          </w:p>
        </w:tc>
        <w:tc>
          <w:tcPr>
            <w:tcW w:w="2268" w:type="dxa"/>
            <w:vAlign w:val="center"/>
          </w:tcPr>
          <w:p w:rsidR="00D47568" w:rsidRPr="00666BAC" w:rsidRDefault="005F2FC7" w:rsidP="00D47568">
            <w:pPr>
              <w:jc w:val="center"/>
              <w:rPr>
                <w:b/>
                <w:color w:val="000000"/>
                <w:szCs w:val="22"/>
              </w:rPr>
            </w:pPr>
            <w:r w:rsidRPr="00666BAC">
              <w:rPr>
                <w:b/>
                <w:color w:val="000000"/>
                <w:szCs w:val="22"/>
              </w:rPr>
              <w:t>103</w:t>
            </w:r>
            <w:r w:rsidR="00B15C2B" w:rsidRPr="00666BAC">
              <w:rPr>
                <w:b/>
                <w:color w:val="000000"/>
                <w:szCs w:val="22"/>
              </w:rPr>
              <w:t xml:space="preserve"> (12)</w:t>
            </w:r>
          </w:p>
        </w:tc>
      </w:tr>
      <w:tr w:rsidR="00D47568" w:rsidRPr="00666BAC" w:rsidTr="00E157FD">
        <w:trPr>
          <w:trHeight w:val="337"/>
        </w:trPr>
        <w:tc>
          <w:tcPr>
            <w:tcW w:w="4678" w:type="dxa"/>
          </w:tcPr>
          <w:p w:rsidR="00D47568" w:rsidRPr="00666BAC" w:rsidRDefault="00D47568" w:rsidP="00E157FD">
            <w:pPr>
              <w:jc w:val="left"/>
              <w:rPr>
                <w:rFonts w:cs="Calibri"/>
                <w:b/>
                <w:color w:val="000000"/>
                <w:szCs w:val="22"/>
              </w:rPr>
            </w:pPr>
            <w:r w:rsidRPr="00666BAC">
              <w:rPr>
                <w:rFonts w:cs="Calibri"/>
                <w:b/>
                <w:color w:val="000000"/>
                <w:szCs w:val="22"/>
              </w:rPr>
              <w:t>General medicine</w:t>
            </w:r>
          </w:p>
          <w:p w:rsidR="00D47568" w:rsidRPr="00666BAC" w:rsidRDefault="00D47568" w:rsidP="00E157FD">
            <w:pPr>
              <w:jc w:val="left"/>
              <w:rPr>
                <w:rFonts w:cs="Calibri"/>
                <w:color w:val="000000"/>
                <w:szCs w:val="22"/>
              </w:rPr>
            </w:pPr>
            <w:r w:rsidRPr="00666BAC">
              <w:rPr>
                <w:rFonts w:cs="Calibri"/>
                <w:color w:val="000000"/>
                <w:szCs w:val="22"/>
              </w:rPr>
              <w:t xml:space="preserve">  Cardiology</w:t>
            </w:r>
          </w:p>
          <w:p w:rsidR="005F2FC7" w:rsidRPr="00666BAC" w:rsidRDefault="005F2FC7" w:rsidP="00E157FD">
            <w:pPr>
              <w:jc w:val="left"/>
              <w:rPr>
                <w:rFonts w:cs="Calibri"/>
                <w:color w:val="000000"/>
                <w:szCs w:val="22"/>
              </w:rPr>
            </w:pPr>
            <w:r w:rsidRPr="00666BAC">
              <w:rPr>
                <w:rFonts w:cs="Calibri"/>
                <w:color w:val="000000"/>
                <w:szCs w:val="22"/>
              </w:rPr>
              <w:t xml:space="preserve">  Dermatology</w:t>
            </w:r>
          </w:p>
          <w:p w:rsidR="005F2FC7" w:rsidRPr="00666BAC" w:rsidRDefault="005F2FC7" w:rsidP="00E157FD">
            <w:pPr>
              <w:jc w:val="left"/>
              <w:rPr>
                <w:rFonts w:cs="Calibri"/>
                <w:color w:val="000000"/>
                <w:szCs w:val="22"/>
              </w:rPr>
            </w:pPr>
            <w:r w:rsidRPr="00666BAC">
              <w:rPr>
                <w:rFonts w:cs="Calibri"/>
                <w:color w:val="000000"/>
                <w:szCs w:val="22"/>
              </w:rPr>
              <w:t xml:space="preserve">  Endocrinology</w:t>
            </w:r>
          </w:p>
          <w:p w:rsidR="00D47568" w:rsidRPr="00666BAC" w:rsidRDefault="00D47568" w:rsidP="00E157FD">
            <w:pPr>
              <w:jc w:val="left"/>
              <w:rPr>
                <w:rFonts w:cs="Calibri"/>
                <w:color w:val="000000"/>
                <w:szCs w:val="22"/>
              </w:rPr>
            </w:pPr>
            <w:r w:rsidRPr="00666BAC">
              <w:rPr>
                <w:rFonts w:cs="Calibri"/>
                <w:color w:val="000000"/>
                <w:szCs w:val="22"/>
              </w:rPr>
              <w:t xml:space="preserve">  Gastroenterology</w:t>
            </w:r>
          </w:p>
          <w:p w:rsidR="00D47568" w:rsidRPr="00666BAC" w:rsidRDefault="00D47568" w:rsidP="00E157FD">
            <w:pPr>
              <w:jc w:val="left"/>
              <w:rPr>
                <w:rFonts w:cs="Calibri"/>
                <w:color w:val="000000"/>
                <w:szCs w:val="22"/>
              </w:rPr>
            </w:pPr>
            <w:r w:rsidRPr="00666BAC">
              <w:rPr>
                <w:rFonts w:cs="Calibri"/>
                <w:color w:val="000000"/>
                <w:szCs w:val="22"/>
              </w:rPr>
              <w:t xml:space="preserve">  Geriatric medicine</w:t>
            </w:r>
          </w:p>
          <w:p w:rsidR="00D47568" w:rsidRPr="00666BAC" w:rsidRDefault="00D47568" w:rsidP="00E157FD">
            <w:pPr>
              <w:jc w:val="left"/>
              <w:rPr>
                <w:rFonts w:cs="Calibri"/>
                <w:color w:val="000000"/>
                <w:szCs w:val="22"/>
              </w:rPr>
            </w:pPr>
            <w:r w:rsidRPr="00666BAC">
              <w:rPr>
                <w:rFonts w:cs="Calibri"/>
                <w:color w:val="000000"/>
                <w:szCs w:val="22"/>
              </w:rPr>
              <w:t xml:space="preserve">  Infectious diseases</w:t>
            </w:r>
          </w:p>
          <w:p w:rsidR="00D47568" w:rsidRPr="00666BAC" w:rsidRDefault="00D47568" w:rsidP="00E157FD">
            <w:pPr>
              <w:jc w:val="left"/>
              <w:rPr>
                <w:rFonts w:cs="Calibri"/>
                <w:color w:val="000000"/>
                <w:szCs w:val="22"/>
              </w:rPr>
            </w:pPr>
            <w:r w:rsidRPr="00666BAC">
              <w:rPr>
                <w:rFonts w:cs="Calibri"/>
                <w:color w:val="000000"/>
                <w:szCs w:val="22"/>
              </w:rPr>
              <w:t xml:space="preserve">  Neurology</w:t>
            </w:r>
          </w:p>
          <w:p w:rsidR="00D47568" w:rsidRPr="00666BAC" w:rsidRDefault="00D47568" w:rsidP="00E157FD">
            <w:pPr>
              <w:jc w:val="left"/>
              <w:rPr>
                <w:rFonts w:cs="Calibri"/>
                <w:color w:val="000000"/>
                <w:szCs w:val="22"/>
              </w:rPr>
            </w:pPr>
            <w:r w:rsidRPr="00666BAC">
              <w:rPr>
                <w:rFonts w:cs="Calibri"/>
                <w:color w:val="000000"/>
                <w:szCs w:val="22"/>
              </w:rPr>
              <w:t xml:space="preserve">  Oncology</w:t>
            </w:r>
          </w:p>
          <w:p w:rsidR="00D47568" w:rsidRPr="00666BAC" w:rsidRDefault="00D47568" w:rsidP="00E157FD">
            <w:pPr>
              <w:jc w:val="left"/>
              <w:rPr>
                <w:rFonts w:cs="Calibri"/>
                <w:color w:val="000000"/>
                <w:szCs w:val="22"/>
              </w:rPr>
            </w:pPr>
            <w:r w:rsidRPr="00666BAC">
              <w:rPr>
                <w:rFonts w:cs="Calibri"/>
                <w:color w:val="000000"/>
                <w:szCs w:val="22"/>
              </w:rPr>
              <w:t xml:space="preserve">  Palliative care</w:t>
            </w:r>
          </w:p>
          <w:p w:rsidR="00D47568" w:rsidRPr="00666BAC" w:rsidRDefault="00D47568" w:rsidP="00E157FD">
            <w:pPr>
              <w:jc w:val="left"/>
              <w:rPr>
                <w:rFonts w:cs="Calibri"/>
                <w:color w:val="000000"/>
                <w:szCs w:val="22"/>
              </w:rPr>
            </w:pPr>
            <w:r w:rsidRPr="00666BAC">
              <w:rPr>
                <w:rFonts w:cs="Calibri"/>
                <w:color w:val="000000"/>
                <w:szCs w:val="22"/>
              </w:rPr>
              <w:t xml:space="preserve">  Renal/nephrology</w:t>
            </w:r>
          </w:p>
          <w:p w:rsidR="00D47568" w:rsidRPr="00666BAC" w:rsidRDefault="00D47568" w:rsidP="00E157FD">
            <w:pPr>
              <w:jc w:val="left"/>
              <w:rPr>
                <w:rFonts w:cs="Calibri"/>
                <w:color w:val="000000"/>
                <w:szCs w:val="22"/>
              </w:rPr>
            </w:pPr>
            <w:r w:rsidRPr="00666BAC">
              <w:rPr>
                <w:rFonts w:cs="Calibri"/>
                <w:color w:val="000000"/>
                <w:szCs w:val="22"/>
              </w:rPr>
              <w:t xml:space="preserve">  Respiratory</w:t>
            </w:r>
          </w:p>
          <w:p w:rsidR="00D47568" w:rsidRPr="00666BAC" w:rsidRDefault="00D47568" w:rsidP="00E157FD">
            <w:pPr>
              <w:jc w:val="left"/>
              <w:rPr>
                <w:rFonts w:cs="Calibri"/>
                <w:color w:val="000000"/>
                <w:szCs w:val="22"/>
              </w:rPr>
            </w:pPr>
            <w:r w:rsidRPr="00666BAC">
              <w:rPr>
                <w:rFonts w:cs="Calibri"/>
                <w:color w:val="000000"/>
                <w:szCs w:val="22"/>
              </w:rPr>
              <w:t xml:space="preserve">  Rheumatology</w:t>
            </w:r>
          </w:p>
          <w:p w:rsidR="00D47568" w:rsidRPr="00666BAC" w:rsidRDefault="00D47568" w:rsidP="00E157FD">
            <w:pPr>
              <w:jc w:val="left"/>
              <w:rPr>
                <w:rFonts w:cs="Calibri"/>
                <w:color w:val="000000"/>
                <w:szCs w:val="22"/>
              </w:rPr>
            </w:pPr>
            <w:r w:rsidRPr="00666BAC">
              <w:rPr>
                <w:rFonts w:cs="Calibri"/>
                <w:color w:val="000000"/>
                <w:szCs w:val="22"/>
              </w:rPr>
              <w:t xml:space="preserve">  Other/unspecified</w:t>
            </w:r>
          </w:p>
        </w:tc>
        <w:tc>
          <w:tcPr>
            <w:tcW w:w="2268" w:type="dxa"/>
          </w:tcPr>
          <w:p w:rsidR="00D47568" w:rsidRPr="00666BAC" w:rsidRDefault="009B1788" w:rsidP="00E157FD">
            <w:pPr>
              <w:jc w:val="center"/>
              <w:rPr>
                <w:b/>
                <w:color w:val="000000"/>
                <w:szCs w:val="22"/>
              </w:rPr>
            </w:pPr>
            <w:r w:rsidRPr="00666BAC">
              <w:rPr>
                <w:b/>
                <w:color w:val="000000"/>
                <w:szCs w:val="22"/>
              </w:rPr>
              <w:t>138</w:t>
            </w:r>
            <w:r w:rsidR="00B15C2B" w:rsidRPr="00666BAC">
              <w:rPr>
                <w:b/>
                <w:color w:val="000000"/>
                <w:szCs w:val="22"/>
              </w:rPr>
              <w:t xml:space="preserve"> (16)</w:t>
            </w:r>
          </w:p>
          <w:p w:rsidR="009B1788" w:rsidRPr="00666BAC" w:rsidRDefault="009B1788" w:rsidP="00E157FD">
            <w:pPr>
              <w:jc w:val="center"/>
              <w:rPr>
                <w:color w:val="000000"/>
                <w:szCs w:val="22"/>
              </w:rPr>
            </w:pPr>
            <w:r w:rsidRPr="00666BAC">
              <w:rPr>
                <w:color w:val="000000"/>
                <w:szCs w:val="22"/>
              </w:rPr>
              <w:t>23</w:t>
            </w:r>
            <w:r w:rsidR="00B15C2B" w:rsidRPr="00666BAC">
              <w:rPr>
                <w:color w:val="000000"/>
                <w:szCs w:val="22"/>
              </w:rPr>
              <w:t xml:space="preserve"> (3)</w:t>
            </w:r>
          </w:p>
          <w:p w:rsidR="009B1788" w:rsidRPr="00666BAC" w:rsidRDefault="009B1788" w:rsidP="00E157FD">
            <w:pPr>
              <w:jc w:val="center"/>
              <w:rPr>
                <w:color w:val="000000"/>
                <w:szCs w:val="22"/>
              </w:rPr>
            </w:pPr>
            <w:r w:rsidRPr="00666BAC">
              <w:rPr>
                <w:color w:val="000000"/>
                <w:szCs w:val="22"/>
              </w:rPr>
              <w:t>5</w:t>
            </w:r>
            <w:r w:rsidR="00B15C2B" w:rsidRPr="00666BAC">
              <w:rPr>
                <w:color w:val="000000"/>
                <w:szCs w:val="22"/>
              </w:rPr>
              <w:t xml:space="preserve"> (0.6)</w:t>
            </w:r>
          </w:p>
          <w:p w:rsidR="009B1788" w:rsidRPr="00666BAC" w:rsidRDefault="009B1788" w:rsidP="00E157FD">
            <w:pPr>
              <w:jc w:val="center"/>
              <w:rPr>
                <w:color w:val="000000"/>
                <w:szCs w:val="22"/>
              </w:rPr>
            </w:pPr>
            <w:r w:rsidRPr="00666BAC">
              <w:rPr>
                <w:color w:val="000000"/>
                <w:szCs w:val="22"/>
              </w:rPr>
              <w:t>6</w:t>
            </w:r>
            <w:r w:rsidR="00B15C2B" w:rsidRPr="00666BAC">
              <w:rPr>
                <w:color w:val="000000"/>
                <w:szCs w:val="22"/>
              </w:rPr>
              <w:t xml:space="preserve"> (0.7)</w:t>
            </w:r>
          </w:p>
          <w:p w:rsidR="009B1788" w:rsidRPr="00666BAC" w:rsidRDefault="009B1788" w:rsidP="00E157FD">
            <w:pPr>
              <w:jc w:val="center"/>
              <w:rPr>
                <w:color w:val="000000"/>
                <w:szCs w:val="22"/>
              </w:rPr>
            </w:pPr>
            <w:r w:rsidRPr="00666BAC">
              <w:rPr>
                <w:color w:val="000000"/>
                <w:szCs w:val="22"/>
              </w:rPr>
              <w:t>11</w:t>
            </w:r>
            <w:r w:rsidR="00B15C2B" w:rsidRPr="00666BAC">
              <w:rPr>
                <w:color w:val="000000"/>
                <w:szCs w:val="22"/>
              </w:rPr>
              <w:t xml:space="preserve"> (1)</w:t>
            </w:r>
          </w:p>
          <w:p w:rsidR="009B1788" w:rsidRPr="00666BAC" w:rsidRDefault="009B1788" w:rsidP="00E157FD">
            <w:pPr>
              <w:jc w:val="center"/>
              <w:rPr>
                <w:color w:val="000000"/>
                <w:szCs w:val="22"/>
              </w:rPr>
            </w:pPr>
            <w:r w:rsidRPr="00666BAC">
              <w:rPr>
                <w:color w:val="000000"/>
                <w:szCs w:val="22"/>
              </w:rPr>
              <w:t>13</w:t>
            </w:r>
            <w:r w:rsidR="00B15C2B" w:rsidRPr="00666BAC">
              <w:rPr>
                <w:color w:val="000000"/>
                <w:szCs w:val="22"/>
              </w:rPr>
              <w:t xml:space="preserve"> (2)</w:t>
            </w:r>
          </w:p>
          <w:p w:rsidR="009B1788" w:rsidRPr="00666BAC" w:rsidRDefault="009B1788" w:rsidP="00E157FD">
            <w:pPr>
              <w:jc w:val="center"/>
              <w:rPr>
                <w:color w:val="000000"/>
                <w:szCs w:val="22"/>
              </w:rPr>
            </w:pPr>
            <w:r w:rsidRPr="00666BAC">
              <w:rPr>
                <w:color w:val="000000"/>
                <w:szCs w:val="22"/>
              </w:rPr>
              <w:t>3</w:t>
            </w:r>
            <w:r w:rsidR="00B15C2B" w:rsidRPr="00666BAC">
              <w:rPr>
                <w:color w:val="000000"/>
                <w:szCs w:val="22"/>
              </w:rPr>
              <w:t xml:space="preserve"> (0.4)</w:t>
            </w:r>
          </w:p>
          <w:p w:rsidR="009B1788" w:rsidRPr="00666BAC" w:rsidRDefault="009B1788" w:rsidP="00E157FD">
            <w:pPr>
              <w:jc w:val="center"/>
              <w:rPr>
                <w:color w:val="000000"/>
                <w:szCs w:val="22"/>
              </w:rPr>
            </w:pPr>
            <w:r w:rsidRPr="00666BAC">
              <w:rPr>
                <w:color w:val="000000"/>
                <w:szCs w:val="22"/>
              </w:rPr>
              <w:t>15</w:t>
            </w:r>
            <w:r w:rsidR="00B15C2B" w:rsidRPr="00666BAC">
              <w:rPr>
                <w:color w:val="000000"/>
                <w:szCs w:val="22"/>
              </w:rPr>
              <w:t xml:space="preserve"> (2)</w:t>
            </w:r>
          </w:p>
          <w:p w:rsidR="009B1788" w:rsidRPr="00666BAC" w:rsidRDefault="009B1788" w:rsidP="00E157FD">
            <w:pPr>
              <w:jc w:val="center"/>
              <w:rPr>
                <w:color w:val="000000"/>
                <w:szCs w:val="22"/>
              </w:rPr>
            </w:pPr>
            <w:r w:rsidRPr="00666BAC">
              <w:rPr>
                <w:color w:val="000000"/>
                <w:szCs w:val="22"/>
              </w:rPr>
              <w:t>19</w:t>
            </w:r>
            <w:r w:rsidR="00B15C2B" w:rsidRPr="00666BAC">
              <w:rPr>
                <w:color w:val="000000"/>
                <w:szCs w:val="22"/>
              </w:rPr>
              <w:t xml:space="preserve"> (2)</w:t>
            </w:r>
          </w:p>
          <w:p w:rsidR="009B1788" w:rsidRPr="00666BAC" w:rsidRDefault="009B1788" w:rsidP="00E157FD">
            <w:pPr>
              <w:jc w:val="center"/>
              <w:rPr>
                <w:color w:val="000000"/>
                <w:szCs w:val="22"/>
              </w:rPr>
            </w:pPr>
            <w:r w:rsidRPr="00666BAC">
              <w:rPr>
                <w:color w:val="000000"/>
                <w:szCs w:val="22"/>
              </w:rPr>
              <w:t>6</w:t>
            </w:r>
            <w:r w:rsidR="00B15C2B" w:rsidRPr="00666BAC">
              <w:rPr>
                <w:color w:val="000000"/>
                <w:szCs w:val="22"/>
              </w:rPr>
              <w:t xml:space="preserve"> (0.7)</w:t>
            </w:r>
          </w:p>
          <w:p w:rsidR="009B1788" w:rsidRPr="00666BAC" w:rsidRDefault="009B1788" w:rsidP="00E157FD">
            <w:pPr>
              <w:jc w:val="center"/>
              <w:rPr>
                <w:color w:val="000000"/>
                <w:szCs w:val="22"/>
              </w:rPr>
            </w:pPr>
            <w:r w:rsidRPr="00666BAC">
              <w:rPr>
                <w:color w:val="000000"/>
                <w:szCs w:val="22"/>
              </w:rPr>
              <w:t>2</w:t>
            </w:r>
            <w:r w:rsidR="00B15C2B" w:rsidRPr="00666BAC">
              <w:rPr>
                <w:color w:val="000000"/>
                <w:szCs w:val="22"/>
              </w:rPr>
              <w:t xml:space="preserve"> (0.2)</w:t>
            </w:r>
          </w:p>
          <w:p w:rsidR="009B1788" w:rsidRPr="00666BAC" w:rsidRDefault="009B1788" w:rsidP="00E157FD">
            <w:pPr>
              <w:jc w:val="center"/>
              <w:rPr>
                <w:color w:val="000000"/>
                <w:szCs w:val="22"/>
              </w:rPr>
            </w:pPr>
            <w:r w:rsidRPr="00666BAC">
              <w:rPr>
                <w:color w:val="000000"/>
                <w:szCs w:val="22"/>
              </w:rPr>
              <w:t>14</w:t>
            </w:r>
            <w:r w:rsidR="00B15C2B" w:rsidRPr="00666BAC">
              <w:rPr>
                <w:color w:val="000000"/>
                <w:szCs w:val="22"/>
              </w:rPr>
              <w:t xml:space="preserve"> (2)</w:t>
            </w:r>
          </w:p>
          <w:p w:rsidR="009B1788" w:rsidRPr="00666BAC" w:rsidRDefault="009B1788" w:rsidP="00E157FD">
            <w:pPr>
              <w:jc w:val="center"/>
              <w:rPr>
                <w:color w:val="000000"/>
                <w:szCs w:val="22"/>
              </w:rPr>
            </w:pPr>
            <w:r w:rsidRPr="00666BAC">
              <w:rPr>
                <w:color w:val="000000"/>
                <w:szCs w:val="22"/>
              </w:rPr>
              <w:t>3</w:t>
            </w:r>
            <w:r w:rsidR="00B15C2B" w:rsidRPr="00666BAC">
              <w:rPr>
                <w:color w:val="000000"/>
                <w:szCs w:val="22"/>
              </w:rPr>
              <w:t xml:space="preserve"> (0.4)</w:t>
            </w:r>
          </w:p>
          <w:p w:rsidR="009B1788" w:rsidRPr="00666BAC" w:rsidRDefault="009B1788" w:rsidP="00E157FD">
            <w:pPr>
              <w:jc w:val="center"/>
              <w:rPr>
                <w:color w:val="000000"/>
                <w:szCs w:val="22"/>
              </w:rPr>
            </w:pPr>
            <w:r w:rsidRPr="00666BAC">
              <w:rPr>
                <w:color w:val="000000"/>
                <w:szCs w:val="22"/>
              </w:rPr>
              <w:t>18</w:t>
            </w:r>
            <w:r w:rsidR="00B15C2B" w:rsidRPr="00666BAC">
              <w:rPr>
                <w:color w:val="000000"/>
                <w:szCs w:val="22"/>
              </w:rPr>
              <w:t xml:space="preserve"> (2)</w:t>
            </w:r>
          </w:p>
        </w:tc>
      </w:tr>
      <w:tr w:rsidR="009B1788" w:rsidRPr="00666BAC" w:rsidTr="00E157FD">
        <w:tc>
          <w:tcPr>
            <w:tcW w:w="4678" w:type="dxa"/>
            <w:vAlign w:val="bottom"/>
          </w:tcPr>
          <w:p w:rsidR="009B1788" w:rsidRPr="00666BAC" w:rsidRDefault="009B1788" w:rsidP="00E157FD">
            <w:pPr>
              <w:rPr>
                <w:rFonts w:cs="Calibri"/>
                <w:b/>
                <w:color w:val="000000"/>
                <w:szCs w:val="22"/>
              </w:rPr>
            </w:pPr>
            <w:r w:rsidRPr="00666BAC">
              <w:rPr>
                <w:rFonts w:cs="Calibri"/>
                <w:b/>
                <w:color w:val="000000"/>
                <w:szCs w:val="22"/>
              </w:rPr>
              <w:t>Hearing services</w:t>
            </w:r>
          </w:p>
        </w:tc>
        <w:tc>
          <w:tcPr>
            <w:tcW w:w="2268" w:type="dxa"/>
            <w:vAlign w:val="center"/>
          </w:tcPr>
          <w:p w:rsidR="009B1788" w:rsidRPr="00666BAC" w:rsidRDefault="009B1788" w:rsidP="00E157FD">
            <w:pPr>
              <w:jc w:val="center"/>
              <w:rPr>
                <w:b/>
                <w:color w:val="000000"/>
                <w:szCs w:val="22"/>
              </w:rPr>
            </w:pPr>
            <w:r w:rsidRPr="00666BAC">
              <w:rPr>
                <w:b/>
                <w:color w:val="000000"/>
                <w:szCs w:val="22"/>
              </w:rPr>
              <w:t>4</w:t>
            </w:r>
            <w:r w:rsidR="00B15C2B" w:rsidRPr="00666BAC">
              <w:rPr>
                <w:b/>
                <w:color w:val="000000"/>
                <w:szCs w:val="22"/>
              </w:rPr>
              <w:t xml:space="preserve"> (0.5)</w:t>
            </w:r>
          </w:p>
        </w:tc>
      </w:tr>
      <w:tr w:rsidR="00D47568" w:rsidRPr="00666BAC" w:rsidTr="00E157FD">
        <w:tc>
          <w:tcPr>
            <w:tcW w:w="4678" w:type="dxa"/>
            <w:vAlign w:val="bottom"/>
          </w:tcPr>
          <w:p w:rsidR="00D47568" w:rsidRPr="00666BAC" w:rsidRDefault="00D47568" w:rsidP="00E157FD">
            <w:pPr>
              <w:rPr>
                <w:rFonts w:cs="Calibri"/>
                <w:b/>
                <w:color w:val="000000"/>
                <w:szCs w:val="22"/>
              </w:rPr>
            </w:pPr>
            <w:r w:rsidRPr="00666BAC">
              <w:rPr>
                <w:rFonts w:cs="Calibri"/>
                <w:b/>
                <w:color w:val="000000"/>
                <w:szCs w:val="22"/>
              </w:rPr>
              <w:t>Intensive care/critical care</w:t>
            </w:r>
          </w:p>
        </w:tc>
        <w:tc>
          <w:tcPr>
            <w:tcW w:w="2268" w:type="dxa"/>
            <w:vAlign w:val="center"/>
          </w:tcPr>
          <w:p w:rsidR="00D47568" w:rsidRPr="00666BAC" w:rsidRDefault="009B1788" w:rsidP="00E157FD">
            <w:pPr>
              <w:jc w:val="center"/>
              <w:rPr>
                <w:b/>
                <w:color w:val="000000"/>
                <w:szCs w:val="22"/>
              </w:rPr>
            </w:pPr>
            <w:r w:rsidRPr="00666BAC">
              <w:rPr>
                <w:b/>
                <w:color w:val="000000"/>
                <w:szCs w:val="22"/>
              </w:rPr>
              <w:t>5</w:t>
            </w:r>
            <w:r w:rsidR="00B15C2B" w:rsidRPr="00666BAC">
              <w:rPr>
                <w:b/>
                <w:color w:val="000000"/>
                <w:szCs w:val="22"/>
              </w:rPr>
              <w:t xml:space="preserve"> (0.6)</w:t>
            </w:r>
          </w:p>
        </w:tc>
      </w:tr>
      <w:tr w:rsidR="00D47568" w:rsidRPr="00666BAC" w:rsidTr="00E157FD">
        <w:tc>
          <w:tcPr>
            <w:tcW w:w="4678" w:type="dxa"/>
            <w:vAlign w:val="bottom"/>
          </w:tcPr>
          <w:p w:rsidR="00D47568" w:rsidRPr="00666BAC" w:rsidRDefault="00D47568" w:rsidP="00E157FD">
            <w:pPr>
              <w:rPr>
                <w:rFonts w:cs="Calibri"/>
                <w:b/>
                <w:color w:val="000000"/>
                <w:szCs w:val="22"/>
              </w:rPr>
            </w:pPr>
            <w:r w:rsidRPr="00666BAC">
              <w:rPr>
                <w:rFonts w:cs="Calibri"/>
                <w:b/>
                <w:color w:val="000000"/>
                <w:szCs w:val="22"/>
              </w:rPr>
              <w:t>Maternity</w:t>
            </w:r>
          </w:p>
        </w:tc>
        <w:tc>
          <w:tcPr>
            <w:tcW w:w="2268" w:type="dxa"/>
            <w:vAlign w:val="center"/>
          </w:tcPr>
          <w:p w:rsidR="00D47568" w:rsidRPr="00666BAC" w:rsidRDefault="009B1788" w:rsidP="00E157FD">
            <w:pPr>
              <w:jc w:val="center"/>
              <w:rPr>
                <w:b/>
                <w:color w:val="000000"/>
                <w:szCs w:val="22"/>
              </w:rPr>
            </w:pPr>
            <w:r w:rsidRPr="00666BAC">
              <w:rPr>
                <w:b/>
                <w:color w:val="000000"/>
                <w:szCs w:val="22"/>
              </w:rPr>
              <w:t>53</w:t>
            </w:r>
            <w:r w:rsidR="00B15C2B" w:rsidRPr="00666BAC">
              <w:rPr>
                <w:b/>
                <w:color w:val="000000"/>
                <w:szCs w:val="22"/>
              </w:rPr>
              <w:t xml:space="preserve"> (6)</w:t>
            </w:r>
          </w:p>
        </w:tc>
      </w:tr>
      <w:tr w:rsidR="00D47568" w:rsidRPr="00666BAC" w:rsidTr="00E157FD">
        <w:tc>
          <w:tcPr>
            <w:tcW w:w="4678" w:type="dxa"/>
            <w:vAlign w:val="bottom"/>
          </w:tcPr>
          <w:p w:rsidR="00D47568" w:rsidRPr="00666BAC" w:rsidRDefault="00D47568" w:rsidP="00E157FD">
            <w:pPr>
              <w:rPr>
                <w:rFonts w:cs="Calibri"/>
                <w:b/>
                <w:color w:val="000000"/>
                <w:szCs w:val="22"/>
              </w:rPr>
            </w:pPr>
            <w:r w:rsidRPr="00666BAC">
              <w:rPr>
                <w:rFonts w:cs="Calibri"/>
                <w:b/>
                <w:color w:val="000000"/>
                <w:szCs w:val="22"/>
              </w:rPr>
              <w:t xml:space="preserve">Mental health </w:t>
            </w:r>
          </w:p>
        </w:tc>
        <w:tc>
          <w:tcPr>
            <w:tcW w:w="2268" w:type="dxa"/>
            <w:vAlign w:val="center"/>
          </w:tcPr>
          <w:p w:rsidR="00D47568" w:rsidRPr="00666BAC" w:rsidRDefault="009B1788" w:rsidP="00E157FD">
            <w:pPr>
              <w:jc w:val="center"/>
              <w:rPr>
                <w:b/>
                <w:color w:val="000000"/>
                <w:szCs w:val="22"/>
              </w:rPr>
            </w:pPr>
            <w:r w:rsidRPr="00666BAC">
              <w:rPr>
                <w:b/>
                <w:color w:val="000000"/>
                <w:szCs w:val="22"/>
              </w:rPr>
              <w:t>180</w:t>
            </w:r>
            <w:r w:rsidR="00B15C2B" w:rsidRPr="00666BAC">
              <w:rPr>
                <w:b/>
                <w:color w:val="000000"/>
                <w:szCs w:val="22"/>
              </w:rPr>
              <w:t xml:space="preserve"> (21)</w:t>
            </w:r>
          </w:p>
        </w:tc>
      </w:tr>
      <w:tr w:rsidR="00A14E4F" w:rsidRPr="00666BAC" w:rsidTr="00E157FD">
        <w:tc>
          <w:tcPr>
            <w:tcW w:w="4678" w:type="dxa"/>
            <w:vAlign w:val="bottom"/>
          </w:tcPr>
          <w:p w:rsidR="00A14E4F" w:rsidRPr="00666BAC" w:rsidRDefault="00A14E4F" w:rsidP="00E157FD">
            <w:pPr>
              <w:rPr>
                <w:rFonts w:cs="Arial"/>
                <w:b/>
                <w:szCs w:val="22"/>
              </w:rPr>
            </w:pPr>
            <w:r w:rsidRPr="00666BAC">
              <w:rPr>
                <w:rFonts w:cs="Arial"/>
                <w:b/>
                <w:szCs w:val="22"/>
              </w:rPr>
              <w:t>Occupational therapy</w:t>
            </w:r>
          </w:p>
        </w:tc>
        <w:tc>
          <w:tcPr>
            <w:tcW w:w="2268" w:type="dxa"/>
            <w:vAlign w:val="center"/>
          </w:tcPr>
          <w:p w:rsidR="00A14E4F" w:rsidRPr="00666BAC" w:rsidRDefault="00A14E4F" w:rsidP="00E157FD">
            <w:pPr>
              <w:jc w:val="center"/>
              <w:rPr>
                <w:b/>
                <w:color w:val="000000"/>
                <w:szCs w:val="22"/>
              </w:rPr>
            </w:pPr>
            <w:r w:rsidRPr="00666BAC">
              <w:rPr>
                <w:b/>
                <w:color w:val="000000"/>
                <w:szCs w:val="22"/>
              </w:rPr>
              <w:t>2</w:t>
            </w:r>
            <w:r w:rsidR="00B15C2B" w:rsidRPr="00666BAC">
              <w:rPr>
                <w:b/>
                <w:color w:val="000000"/>
                <w:szCs w:val="22"/>
              </w:rPr>
              <w:t xml:space="preserve"> (0.2)</w:t>
            </w:r>
          </w:p>
        </w:tc>
      </w:tr>
      <w:tr w:rsidR="00D47568" w:rsidRPr="00666BAC" w:rsidTr="00E157FD">
        <w:tc>
          <w:tcPr>
            <w:tcW w:w="4678" w:type="dxa"/>
            <w:vAlign w:val="bottom"/>
          </w:tcPr>
          <w:p w:rsidR="00D47568" w:rsidRPr="00666BAC" w:rsidRDefault="00D47568" w:rsidP="00E157FD">
            <w:pPr>
              <w:rPr>
                <w:rFonts w:cs="Arial"/>
                <w:b/>
                <w:szCs w:val="22"/>
              </w:rPr>
            </w:pPr>
            <w:r w:rsidRPr="00666BAC">
              <w:rPr>
                <w:rFonts w:cs="Arial"/>
                <w:b/>
                <w:szCs w:val="22"/>
              </w:rPr>
              <w:t xml:space="preserve">Paediatrics </w:t>
            </w:r>
            <w:r w:rsidRPr="00666BAC">
              <w:rPr>
                <w:rFonts w:cs="Arial"/>
                <w:szCs w:val="22"/>
              </w:rPr>
              <w:t>(not surgical)</w:t>
            </w:r>
          </w:p>
        </w:tc>
        <w:tc>
          <w:tcPr>
            <w:tcW w:w="2268" w:type="dxa"/>
            <w:vAlign w:val="center"/>
          </w:tcPr>
          <w:p w:rsidR="00D47568" w:rsidRPr="00666BAC" w:rsidRDefault="009B1788" w:rsidP="00E157FD">
            <w:pPr>
              <w:jc w:val="center"/>
              <w:rPr>
                <w:b/>
                <w:color w:val="000000"/>
                <w:szCs w:val="22"/>
              </w:rPr>
            </w:pPr>
            <w:r w:rsidRPr="00666BAC">
              <w:rPr>
                <w:b/>
                <w:color w:val="000000"/>
                <w:szCs w:val="22"/>
              </w:rPr>
              <w:t>16</w:t>
            </w:r>
            <w:r w:rsidR="00B15C2B" w:rsidRPr="00666BAC">
              <w:rPr>
                <w:b/>
                <w:color w:val="000000"/>
                <w:szCs w:val="22"/>
              </w:rPr>
              <w:t xml:space="preserve"> (2)</w:t>
            </w:r>
          </w:p>
        </w:tc>
      </w:tr>
      <w:tr w:rsidR="00D47568" w:rsidRPr="00666BAC" w:rsidTr="00E157FD">
        <w:tc>
          <w:tcPr>
            <w:tcW w:w="4678" w:type="dxa"/>
            <w:vAlign w:val="bottom"/>
          </w:tcPr>
          <w:p w:rsidR="00D47568" w:rsidRPr="00666BAC" w:rsidRDefault="00D47568" w:rsidP="00E157FD">
            <w:pPr>
              <w:rPr>
                <w:rFonts w:cs="Calibri"/>
                <w:b/>
                <w:color w:val="000000"/>
                <w:szCs w:val="22"/>
              </w:rPr>
            </w:pPr>
            <w:r w:rsidRPr="00666BAC">
              <w:rPr>
                <w:rFonts w:cs="Calibri"/>
                <w:b/>
                <w:color w:val="000000"/>
                <w:szCs w:val="22"/>
              </w:rPr>
              <w:t xml:space="preserve">Rehabilitation services </w:t>
            </w:r>
          </w:p>
        </w:tc>
        <w:tc>
          <w:tcPr>
            <w:tcW w:w="2268" w:type="dxa"/>
            <w:vAlign w:val="center"/>
          </w:tcPr>
          <w:p w:rsidR="00D47568" w:rsidRPr="00666BAC" w:rsidRDefault="009B1788" w:rsidP="00E157FD">
            <w:pPr>
              <w:jc w:val="center"/>
              <w:rPr>
                <w:b/>
                <w:color w:val="000000"/>
                <w:szCs w:val="22"/>
              </w:rPr>
            </w:pPr>
            <w:r w:rsidRPr="00666BAC">
              <w:rPr>
                <w:b/>
                <w:color w:val="000000"/>
                <w:szCs w:val="22"/>
              </w:rPr>
              <w:t>6</w:t>
            </w:r>
            <w:r w:rsidR="00B15C2B" w:rsidRPr="00666BAC">
              <w:rPr>
                <w:b/>
                <w:color w:val="000000"/>
                <w:szCs w:val="22"/>
              </w:rPr>
              <w:t xml:space="preserve"> (0.7)</w:t>
            </w:r>
          </w:p>
        </w:tc>
      </w:tr>
      <w:tr w:rsidR="009B1788" w:rsidRPr="00666BAC" w:rsidTr="00E157FD">
        <w:tc>
          <w:tcPr>
            <w:tcW w:w="4678" w:type="dxa"/>
            <w:vAlign w:val="bottom"/>
          </w:tcPr>
          <w:p w:rsidR="009B1788" w:rsidRPr="00666BAC" w:rsidRDefault="009B1788" w:rsidP="00E157FD">
            <w:pPr>
              <w:rPr>
                <w:rFonts w:cs="Calibri"/>
                <w:b/>
                <w:color w:val="000000"/>
                <w:szCs w:val="22"/>
              </w:rPr>
            </w:pPr>
            <w:r w:rsidRPr="00666BAC">
              <w:rPr>
                <w:rFonts w:cs="Calibri"/>
                <w:b/>
                <w:color w:val="000000"/>
                <w:szCs w:val="22"/>
              </w:rPr>
              <w:t>Sexual health</w:t>
            </w:r>
          </w:p>
        </w:tc>
        <w:tc>
          <w:tcPr>
            <w:tcW w:w="2268" w:type="dxa"/>
            <w:vAlign w:val="center"/>
          </w:tcPr>
          <w:p w:rsidR="009B1788" w:rsidRPr="00666BAC" w:rsidRDefault="009B1788" w:rsidP="00E157FD">
            <w:pPr>
              <w:jc w:val="center"/>
              <w:rPr>
                <w:b/>
                <w:color w:val="000000"/>
                <w:szCs w:val="22"/>
              </w:rPr>
            </w:pPr>
            <w:r w:rsidRPr="00666BAC">
              <w:rPr>
                <w:b/>
                <w:color w:val="000000"/>
                <w:szCs w:val="22"/>
              </w:rPr>
              <w:t>5</w:t>
            </w:r>
            <w:r w:rsidR="00B15C2B" w:rsidRPr="00666BAC">
              <w:rPr>
                <w:b/>
                <w:color w:val="000000"/>
                <w:szCs w:val="22"/>
              </w:rPr>
              <w:t xml:space="preserve"> (0.6)</w:t>
            </w:r>
          </w:p>
        </w:tc>
      </w:tr>
      <w:tr w:rsidR="00D47568" w:rsidRPr="00666BAC" w:rsidTr="00E157FD">
        <w:tc>
          <w:tcPr>
            <w:tcW w:w="4678" w:type="dxa"/>
            <w:vAlign w:val="bottom"/>
          </w:tcPr>
          <w:p w:rsidR="00D47568" w:rsidRPr="00666BAC" w:rsidRDefault="00D47568" w:rsidP="00E157FD">
            <w:pPr>
              <w:rPr>
                <w:rFonts w:cs="Calibri"/>
                <w:b/>
                <w:color w:val="000000"/>
                <w:szCs w:val="22"/>
              </w:rPr>
            </w:pPr>
            <w:r w:rsidRPr="00666BAC">
              <w:rPr>
                <w:rFonts w:cs="Calibri"/>
                <w:b/>
                <w:color w:val="000000"/>
                <w:szCs w:val="22"/>
              </w:rPr>
              <w:t>Surgery</w:t>
            </w:r>
          </w:p>
          <w:p w:rsidR="00D47568" w:rsidRPr="00666BAC" w:rsidRDefault="00D47568" w:rsidP="00E157FD">
            <w:pPr>
              <w:rPr>
                <w:rFonts w:cs="Calibri"/>
                <w:color w:val="000000"/>
                <w:szCs w:val="22"/>
              </w:rPr>
            </w:pPr>
            <w:r w:rsidRPr="00666BAC">
              <w:rPr>
                <w:rFonts w:cs="Calibri"/>
                <w:b/>
                <w:color w:val="000000"/>
                <w:szCs w:val="22"/>
              </w:rPr>
              <w:t xml:space="preserve">  </w:t>
            </w:r>
            <w:r w:rsidRPr="00666BAC">
              <w:rPr>
                <w:rFonts w:cs="Calibri"/>
                <w:color w:val="000000"/>
                <w:szCs w:val="22"/>
              </w:rPr>
              <w:t>Cardiothoracic</w:t>
            </w:r>
          </w:p>
          <w:p w:rsidR="00D47568" w:rsidRPr="00666BAC" w:rsidRDefault="00D47568" w:rsidP="00E157FD">
            <w:pPr>
              <w:rPr>
                <w:rFonts w:cs="Calibri"/>
                <w:color w:val="000000"/>
                <w:szCs w:val="22"/>
              </w:rPr>
            </w:pPr>
            <w:r w:rsidRPr="00666BAC">
              <w:rPr>
                <w:rFonts w:cs="Calibri"/>
                <w:color w:val="000000"/>
                <w:szCs w:val="22"/>
              </w:rPr>
              <w:t xml:space="preserve">  General</w:t>
            </w:r>
          </w:p>
          <w:p w:rsidR="00D47568" w:rsidRPr="00666BAC" w:rsidRDefault="00D47568" w:rsidP="00E157FD">
            <w:pPr>
              <w:rPr>
                <w:rFonts w:cs="Calibri"/>
                <w:color w:val="000000"/>
                <w:szCs w:val="22"/>
              </w:rPr>
            </w:pPr>
            <w:r w:rsidRPr="00666BAC">
              <w:rPr>
                <w:rFonts w:cs="Calibri"/>
                <w:color w:val="000000"/>
                <w:szCs w:val="22"/>
              </w:rPr>
              <w:t xml:space="preserve">  Gynaecology</w:t>
            </w:r>
          </w:p>
          <w:p w:rsidR="00D47568" w:rsidRPr="00666BAC" w:rsidRDefault="00D47568" w:rsidP="00E157FD">
            <w:pPr>
              <w:rPr>
                <w:rFonts w:cs="Calibri"/>
                <w:color w:val="000000"/>
                <w:szCs w:val="22"/>
              </w:rPr>
            </w:pPr>
            <w:r w:rsidRPr="00666BAC">
              <w:rPr>
                <w:rFonts w:cs="Calibri"/>
                <w:color w:val="000000"/>
                <w:szCs w:val="22"/>
              </w:rPr>
              <w:t xml:space="preserve">  Neurosurgery</w:t>
            </w:r>
          </w:p>
          <w:p w:rsidR="00D47568" w:rsidRPr="00666BAC" w:rsidRDefault="00D47568" w:rsidP="00E157FD">
            <w:pPr>
              <w:rPr>
                <w:rFonts w:cs="Calibri"/>
                <w:color w:val="000000"/>
                <w:szCs w:val="22"/>
              </w:rPr>
            </w:pPr>
            <w:r w:rsidRPr="00666BAC">
              <w:rPr>
                <w:rFonts w:cs="Calibri"/>
                <w:color w:val="000000"/>
                <w:szCs w:val="22"/>
              </w:rPr>
              <w:t xml:space="preserve">  Ophthalmology</w:t>
            </w:r>
          </w:p>
          <w:p w:rsidR="009B1788" w:rsidRPr="00666BAC" w:rsidRDefault="009B1788" w:rsidP="00E157FD">
            <w:pPr>
              <w:rPr>
                <w:rFonts w:cs="Calibri"/>
                <w:color w:val="000000"/>
                <w:szCs w:val="22"/>
              </w:rPr>
            </w:pPr>
            <w:r w:rsidRPr="00666BAC">
              <w:rPr>
                <w:rFonts w:cs="Calibri"/>
                <w:color w:val="000000"/>
                <w:szCs w:val="22"/>
              </w:rPr>
              <w:t xml:space="preserve">  Oral/Maxillofacial</w:t>
            </w:r>
          </w:p>
          <w:p w:rsidR="00D47568" w:rsidRPr="00666BAC" w:rsidRDefault="00D47568" w:rsidP="00E157FD">
            <w:pPr>
              <w:rPr>
                <w:rFonts w:cs="Calibri"/>
                <w:color w:val="000000"/>
                <w:szCs w:val="22"/>
              </w:rPr>
            </w:pPr>
            <w:r w:rsidRPr="00666BAC">
              <w:rPr>
                <w:rFonts w:cs="Calibri"/>
                <w:color w:val="000000"/>
                <w:szCs w:val="22"/>
              </w:rPr>
              <w:t xml:space="preserve">  Orthopaedics</w:t>
            </w:r>
          </w:p>
          <w:p w:rsidR="00D47568" w:rsidRPr="00666BAC" w:rsidRDefault="00D47568" w:rsidP="00E157FD">
            <w:pPr>
              <w:rPr>
                <w:rFonts w:cs="Calibri"/>
                <w:color w:val="000000"/>
                <w:szCs w:val="22"/>
              </w:rPr>
            </w:pPr>
            <w:r w:rsidRPr="00666BAC">
              <w:rPr>
                <w:rFonts w:cs="Calibri"/>
                <w:color w:val="000000"/>
                <w:szCs w:val="22"/>
              </w:rPr>
              <w:t xml:space="preserve">  Otolaryngology</w:t>
            </w:r>
          </w:p>
          <w:p w:rsidR="00D47568" w:rsidRPr="00666BAC" w:rsidRDefault="00D47568" w:rsidP="00E157FD">
            <w:pPr>
              <w:rPr>
                <w:rFonts w:cs="Calibri"/>
                <w:color w:val="000000"/>
                <w:szCs w:val="22"/>
              </w:rPr>
            </w:pPr>
            <w:r w:rsidRPr="00666BAC">
              <w:rPr>
                <w:rFonts w:cs="Calibri"/>
                <w:color w:val="000000"/>
                <w:szCs w:val="22"/>
              </w:rPr>
              <w:t xml:space="preserve">  Paediatric</w:t>
            </w:r>
          </w:p>
          <w:p w:rsidR="00D47568" w:rsidRPr="00666BAC" w:rsidRDefault="00D47568" w:rsidP="00E157FD">
            <w:pPr>
              <w:rPr>
                <w:rFonts w:cs="Calibri"/>
                <w:color w:val="000000"/>
                <w:szCs w:val="22"/>
              </w:rPr>
            </w:pPr>
            <w:r w:rsidRPr="00666BAC">
              <w:rPr>
                <w:rFonts w:cs="Calibri"/>
                <w:color w:val="000000"/>
                <w:szCs w:val="22"/>
              </w:rPr>
              <w:t xml:space="preserve">  Plastic and reconstructive</w:t>
            </w:r>
          </w:p>
          <w:p w:rsidR="00D47568" w:rsidRPr="00666BAC" w:rsidRDefault="00D47568" w:rsidP="00E157FD">
            <w:pPr>
              <w:rPr>
                <w:rFonts w:cs="Calibri"/>
                <w:color w:val="000000"/>
                <w:szCs w:val="22"/>
              </w:rPr>
            </w:pPr>
            <w:r w:rsidRPr="00666BAC">
              <w:rPr>
                <w:rFonts w:cs="Calibri"/>
                <w:color w:val="000000"/>
                <w:szCs w:val="22"/>
              </w:rPr>
              <w:t xml:space="preserve">  Urology</w:t>
            </w:r>
          </w:p>
          <w:p w:rsidR="009B1788" w:rsidRPr="00666BAC" w:rsidRDefault="009B1788" w:rsidP="00E157FD">
            <w:pPr>
              <w:rPr>
                <w:rFonts w:cs="Calibri"/>
                <w:color w:val="000000"/>
                <w:szCs w:val="22"/>
              </w:rPr>
            </w:pPr>
            <w:r w:rsidRPr="00666BAC">
              <w:rPr>
                <w:rFonts w:cs="Calibri"/>
                <w:color w:val="000000"/>
                <w:szCs w:val="22"/>
              </w:rPr>
              <w:t xml:space="preserve">  Vascular</w:t>
            </w:r>
          </w:p>
          <w:p w:rsidR="00D47568" w:rsidRPr="00666BAC" w:rsidRDefault="00D47568" w:rsidP="00E157FD">
            <w:pPr>
              <w:rPr>
                <w:rFonts w:cs="Calibri"/>
                <w:color w:val="000000"/>
                <w:szCs w:val="22"/>
              </w:rPr>
            </w:pPr>
            <w:r w:rsidRPr="00666BAC">
              <w:rPr>
                <w:rFonts w:cs="Calibri"/>
                <w:color w:val="000000"/>
                <w:szCs w:val="22"/>
              </w:rPr>
              <w:t xml:space="preserve">  Unknown/other</w:t>
            </w:r>
          </w:p>
        </w:tc>
        <w:tc>
          <w:tcPr>
            <w:tcW w:w="2268" w:type="dxa"/>
          </w:tcPr>
          <w:p w:rsidR="00D47568" w:rsidRPr="00666BAC" w:rsidRDefault="00E4571A" w:rsidP="00E157FD">
            <w:pPr>
              <w:jc w:val="center"/>
              <w:rPr>
                <w:b/>
                <w:color w:val="000000"/>
                <w:szCs w:val="22"/>
              </w:rPr>
            </w:pPr>
            <w:r w:rsidRPr="00666BAC">
              <w:rPr>
                <w:b/>
                <w:color w:val="000000"/>
                <w:szCs w:val="22"/>
              </w:rPr>
              <w:t>262</w:t>
            </w:r>
            <w:r w:rsidR="00B15C2B" w:rsidRPr="00666BAC">
              <w:rPr>
                <w:b/>
                <w:color w:val="000000"/>
                <w:szCs w:val="22"/>
              </w:rPr>
              <w:t xml:space="preserve"> (31)</w:t>
            </w:r>
          </w:p>
          <w:p w:rsidR="009B1788" w:rsidRPr="00666BAC" w:rsidRDefault="009B1788" w:rsidP="00E157FD">
            <w:pPr>
              <w:jc w:val="center"/>
              <w:rPr>
                <w:color w:val="000000"/>
                <w:szCs w:val="22"/>
              </w:rPr>
            </w:pPr>
            <w:r w:rsidRPr="00666BAC">
              <w:rPr>
                <w:color w:val="000000"/>
                <w:szCs w:val="22"/>
              </w:rPr>
              <w:t>11</w:t>
            </w:r>
            <w:r w:rsidR="00B15C2B" w:rsidRPr="00666BAC">
              <w:rPr>
                <w:color w:val="000000"/>
                <w:szCs w:val="22"/>
              </w:rPr>
              <w:t xml:space="preserve"> (1)</w:t>
            </w:r>
          </w:p>
          <w:p w:rsidR="009B1788" w:rsidRPr="00666BAC" w:rsidRDefault="009B1788" w:rsidP="00E157FD">
            <w:pPr>
              <w:jc w:val="center"/>
              <w:rPr>
                <w:color w:val="000000"/>
                <w:szCs w:val="22"/>
              </w:rPr>
            </w:pPr>
            <w:r w:rsidRPr="00666BAC">
              <w:rPr>
                <w:color w:val="000000"/>
                <w:szCs w:val="22"/>
              </w:rPr>
              <w:t>60</w:t>
            </w:r>
            <w:r w:rsidR="00B15C2B" w:rsidRPr="00666BAC">
              <w:rPr>
                <w:color w:val="000000"/>
                <w:szCs w:val="22"/>
              </w:rPr>
              <w:t xml:space="preserve"> (7)</w:t>
            </w:r>
          </w:p>
          <w:p w:rsidR="009B1788" w:rsidRPr="00666BAC" w:rsidRDefault="009B1788" w:rsidP="00E157FD">
            <w:pPr>
              <w:jc w:val="center"/>
              <w:rPr>
                <w:color w:val="000000"/>
                <w:szCs w:val="22"/>
              </w:rPr>
            </w:pPr>
            <w:r w:rsidRPr="00666BAC">
              <w:rPr>
                <w:color w:val="000000"/>
                <w:szCs w:val="22"/>
              </w:rPr>
              <w:t>38</w:t>
            </w:r>
            <w:r w:rsidR="00B15C2B" w:rsidRPr="00666BAC">
              <w:rPr>
                <w:color w:val="000000"/>
                <w:szCs w:val="22"/>
              </w:rPr>
              <w:t xml:space="preserve"> (5)</w:t>
            </w:r>
          </w:p>
          <w:p w:rsidR="009B1788" w:rsidRPr="00666BAC" w:rsidRDefault="009B1788" w:rsidP="00E157FD">
            <w:pPr>
              <w:jc w:val="center"/>
              <w:rPr>
                <w:color w:val="000000"/>
                <w:szCs w:val="22"/>
              </w:rPr>
            </w:pPr>
            <w:r w:rsidRPr="00666BAC">
              <w:rPr>
                <w:color w:val="000000"/>
                <w:szCs w:val="22"/>
              </w:rPr>
              <w:t>5</w:t>
            </w:r>
            <w:r w:rsidR="00B15C2B" w:rsidRPr="00666BAC">
              <w:rPr>
                <w:color w:val="000000"/>
                <w:szCs w:val="22"/>
              </w:rPr>
              <w:t xml:space="preserve"> (0.6)</w:t>
            </w:r>
          </w:p>
          <w:p w:rsidR="009B1788" w:rsidRPr="00666BAC" w:rsidRDefault="009B1788" w:rsidP="00E157FD">
            <w:pPr>
              <w:jc w:val="center"/>
              <w:rPr>
                <w:color w:val="000000"/>
                <w:szCs w:val="22"/>
              </w:rPr>
            </w:pPr>
            <w:r w:rsidRPr="00666BAC">
              <w:rPr>
                <w:color w:val="000000"/>
                <w:szCs w:val="22"/>
              </w:rPr>
              <w:t>14</w:t>
            </w:r>
            <w:r w:rsidR="00B15C2B" w:rsidRPr="00666BAC">
              <w:rPr>
                <w:color w:val="000000"/>
                <w:szCs w:val="22"/>
              </w:rPr>
              <w:t xml:space="preserve"> (2)</w:t>
            </w:r>
          </w:p>
          <w:p w:rsidR="009B1788" w:rsidRPr="00666BAC" w:rsidRDefault="009B1788" w:rsidP="00E157FD">
            <w:pPr>
              <w:jc w:val="center"/>
              <w:rPr>
                <w:color w:val="000000"/>
                <w:szCs w:val="22"/>
              </w:rPr>
            </w:pPr>
            <w:r w:rsidRPr="00666BAC">
              <w:rPr>
                <w:color w:val="000000"/>
                <w:szCs w:val="22"/>
              </w:rPr>
              <w:t>2</w:t>
            </w:r>
            <w:r w:rsidR="00B15C2B" w:rsidRPr="00666BAC">
              <w:rPr>
                <w:color w:val="000000"/>
                <w:szCs w:val="22"/>
              </w:rPr>
              <w:t xml:space="preserve"> (0.2)</w:t>
            </w:r>
          </w:p>
          <w:p w:rsidR="009B1788" w:rsidRPr="00666BAC" w:rsidRDefault="009B1788" w:rsidP="00E157FD">
            <w:pPr>
              <w:jc w:val="center"/>
              <w:rPr>
                <w:color w:val="000000"/>
                <w:szCs w:val="22"/>
              </w:rPr>
            </w:pPr>
            <w:r w:rsidRPr="00666BAC">
              <w:rPr>
                <w:color w:val="000000"/>
                <w:szCs w:val="22"/>
              </w:rPr>
              <w:t>65</w:t>
            </w:r>
            <w:r w:rsidR="00B15C2B" w:rsidRPr="00666BAC">
              <w:rPr>
                <w:color w:val="000000"/>
                <w:szCs w:val="22"/>
              </w:rPr>
              <w:t xml:space="preserve"> (8)</w:t>
            </w:r>
          </w:p>
          <w:p w:rsidR="009B1788" w:rsidRPr="00666BAC" w:rsidRDefault="009B1788" w:rsidP="00E157FD">
            <w:pPr>
              <w:jc w:val="center"/>
              <w:rPr>
                <w:color w:val="000000"/>
                <w:szCs w:val="22"/>
              </w:rPr>
            </w:pPr>
            <w:r w:rsidRPr="00666BAC">
              <w:rPr>
                <w:color w:val="000000"/>
                <w:szCs w:val="22"/>
              </w:rPr>
              <w:t>11</w:t>
            </w:r>
            <w:r w:rsidR="00B15C2B" w:rsidRPr="00666BAC">
              <w:rPr>
                <w:color w:val="000000"/>
                <w:szCs w:val="22"/>
              </w:rPr>
              <w:t xml:space="preserve"> (1)</w:t>
            </w:r>
          </w:p>
          <w:p w:rsidR="009B1788" w:rsidRPr="00666BAC" w:rsidRDefault="009B1788" w:rsidP="00E157FD">
            <w:pPr>
              <w:jc w:val="center"/>
              <w:rPr>
                <w:color w:val="000000"/>
                <w:szCs w:val="22"/>
              </w:rPr>
            </w:pPr>
            <w:r w:rsidRPr="00666BAC">
              <w:rPr>
                <w:color w:val="000000"/>
                <w:szCs w:val="22"/>
              </w:rPr>
              <w:t>8</w:t>
            </w:r>
            <w:r w:rsidR="00B15C2B" w:rsidRPr="00666BAC">
              <w:rPr>
                <w:color w:val="000000"/>
                <w:szCs w:val="22"/>
              </w:rPr>
              <w:t xml:space="preserve"> (0.9)</w:t>
            </w:r>
          </w:p>
          <w:p w:rsidR="009B1788" w:rsidRPr="00666BAC" w:rsidRDefault="00E4571A" w:rsidP="00E157FD">
            <w:pPr>
              <w:jc w:val="center"/>
              <w:rPr>
                <w:color w:val="000000"/>
                <w:szCs w:val="22"/>
              </w:rPr>
            </w:pPr>
            <w:r w:rsidRPr="00666BAC">
              <w:rPr>
                <w:color w:val="000000"/>
                <w:szCs w:val="22"/>
              </w:rPr>
              <w:t>1</w:t>
            </w:r>
            <w:r w:rsidR="009B1788" w:rsidRPr="00666BAC">
              <w:rPr>
                <w:color w:val="000000"/>
                <w:szCs w:val="22"/>
              </w:rPr>
              <w:t>9</w:t>
            </w:r>
            <w:r w:rsidR="00B15C2B" w:rsidRPr="00666BAC">
              <w:rPr>
                <w:color w:val="000000"/>
                <w:szCs w:val="22"/>
              </w:rPr>
              <w:t xml:space="preserve"> (2)</w:t>
            </w:r>
          </w:p>
          <w:p w:rsidR="009B1788" w:rsidRPr="00666BAC" w:rsidRDefault="009B1788" w:rsidP="00E157FD">
            <w:pPr>
              <w:jc w:val="center"/>
              <w:rPr>
                <w:color w:val="000000"/>
                <w:szCs w:val="22"/>
              </w:rPr>
            </w:pPr>
            <w:r w:rsidRPr="00666BAC">
              <w:rPr>
                <w:color w:val="000000"/>
                <w:szCs w:val="22"/>
              </w:rPr>
              <w:t>24</w:t>
            </w:r>
            <w:r w:rsidR="00B15C2B" w:rsidRPr="00666BAC">
              <w:rPr>
                <w:color w:val="000000"/>
                <w:szCs w:val="22"/>
              </w:rPr>
              <w:t xml:space="preserve"> (3)</w:t>
            </w:r>
          </w:p>
          <w:p w:rsidR="009B1788" w:rsidRPr="00666BAC" w:rsidRDefault="009B1788" w:rsidP="00E157FD">
            <w:pPr>
              <w:jc w:val="center"/>
              <w:rPr>
                <w:color w:val="000000"/>
                <w:szCs w:val="22"/>
              </w:rPr>
            </w:pPr>
            <w:r w:rsidRPr="00666BAC">
              <w:rPr>
                <w:color w:val="000000"/>
                <w:szCs w:val="22"/>
              </w:rPr>
              <w:t>3</w:t>
            </w:r>
            <w:r w:rsidR="00B15C2B" w:rsidRPr="00666BAC">
              <w:rPr>
                <w:color w:val="000000"/>
                <w:szCs w:val="22"/>
              </w:rPr>
              <w:t xml:space="preserve"> (0.4)</w:t>
            </w:r>
          </w:p>
          <w:p w:rsidR="009B1788" w:rsidRPr="00666BAC" w:rsidRDefault="009B1788" w:rsidP="00E157FD">
            <w:pPr>
              <w:jc w:val="center"/>
              <w:rPr>
                <w:color w:val="000000"/>
                <w:szCs w:val="22"/>
              </w:rPr>
            </w:pPr>
            <w:r w:rsidRPr="00666BAC">
              <w:rPr>
                <w:color w:val="000000"/>
                <w:szCs w:val="22"/>
              </w:rPr>
              <w:t>2</w:t>
            </w:r>
            <w:r w:rsidR="00B15C2B" w:rsidRPr="00666BAC">
              <w:rPr>
                <w:color w:val="000000"/>
                <w:szCs w:val="22"/>
              </w:rPr>
              <w:t xml:space="preserve"> (0.2)</w:t>
            </w:r>
          </w:p>
        </w:tc>
      </w:tr>
      <w:tr w:rsidR="00D47568" w:rsidRPr="00666BAC" w:rsidTr="00E157FD">
        <w:tc>
          <w:tcPr>
            <w:tcW w:w="4678" w:type="dxa"/>
            <w:vAlign w:val="bottom"/>
          </w:tcPr>
          <w:p w:rsidR="00D47568" w:rsidRPr="00666BAC" w:rsidRDefault="00D47568" w:rsidP="00E157FD">
            <w:pPr>
              <w:rPr>
                <w:rFonts w:cs="Arial"/>
                <w:b/>
                <w:szCs w:val="22"/>
              </w:rPr>
            </w:pPr>
            <w:r w:rsidRPr="00666BAC">
              <w:rPr>
                <w:rFonts w:cs="Arial"/>
                <w:b/>
                <w:szCs w:val="22"/>
              </w:rPr>
              <w:t>Other health service</w:t>
            </w:r>
          </w:p>
        </w:tc>
        <w:tc>
          <w:tcPr>
            <w:tcW w:w="2268" w:type="dxa"/>
            <w:vAlign w:val="center"/>
          </w:tcPr>
          <w:p w:rsidR="00D47568" w:rsidRPr="00666BAC" w:rsidRDefault="00A14E4F" w:rsidP="00E157FD">
            <w:pPr>
              <w:jc w:val="center"/>
              <w:rPr>
                <w:b/>
                <w:color w:val="000000"/>
                <w:szCs w:val="22"/>
              </w:rPr>
            </w:pPr>
            <w:r w:rsidRPr="00666BAC">
              <w:rPr>
                <w:b/>
                <w:color w:val="000000"/>
                <w:szCs w:val="22"/>
              </w:rPr>
              <w:t>7</w:t>
            </w:r>
            <w:r w:rsidR="00B15C2B" w:rsidRPr="00666BAC">
              <w:rPr>
                <w:b/>
                <w:color w:val="000000"/>
                <w:szCs w:val="22"/>
              </w:rPr>
              <w:t xml:space="preserve"> (0.8)</w:t>
            </w:r>
          </w:p>
        </w:tc>
      </w:tr>
      <w:tr w:rsidR="00D47568" w:rsidRPr="00666BAC" w:rsidTr="00E157FD">
        <w:tc>
          <w:tcPr>
            <w:tcW w:w="4678" w:type="dxa"/>
            <w:shd w:val="clear" w:color="auto" w:fill="C00000"/>
          </w:tcPr>
          <w:p w:rsidR="00D47568" w:rsidRPr="00666BAC" w:rsidRDefault="00D47568" w:rsidP="00E157FD">
            <w:pPr>
              <w:tabs>
                <w:tab w:val="left" w:pos="1440"/>
                <w:tab w:val="decimal" w:pos="4320"/>
              </w:tabs>
              <w:spacing w:before="100" w:beforeAutospacing="1" w:after="100" w:afterAutospacing="1"/>
              <w:jc w:val="left"/>
              <w:outlineLvl w:val="0"/>
              <w:rPr>
                <w:b/>
                <w:szCs w:val="22"/>
              </w:rPr>
            </w:pPr>
            <w:r w:rsidRPr="00666BAC">
              <w:rPr>
                <w:b/>
                <w:szCs w:val="22"/>
              </w:rPr>
              <w:t>TOTAL</w:t>
            </w:r>
          </w:p>
        </w:tc>
        <w:tc>
          <w:tcPr>
            <w:tcW w:w="2268" w:type="dxa"/>
            <w:shd w:val="clear" w:color="auto" w:fill="C00000"/>
            <w:vAlign w:val="center"/>
          </w:tcPr>
          <w:p w:rsidR="00D47568" w:rsidRPr="00666BAC" w:rsidRDefault="005F2FC7" w:rsidP="00E157FD">
            <w:pPr>
              <w:jc w:val="center"/>
              <w:rPr>
                <w:rFonts w:cs="Calibri"/>
                <w:b/>
                <w:color w:val="000000"/>
                <w:szCs w:val="22"/>
              </w:rPr>
            </w:pPr>
            <w:r w:rsidRPr="00666BAC">
              <w:rPr>
                <w:rFonts w:cs="Calibri"/>
                <w:b/>
                <w:color w:val="FFFFFF" w:themeColor="background1"/>
                <w:szCs w:val="22"/>
              </w:rPr>
              <w:t>84</w:t>
            </w:r>
            <w:r w:rsidR="00A14E4F" w:rsidRPr="00666BAC">
              <w:rPr>
                <w:rFonts w:cs="Calibri"/>
                <w:b/>
                <w:color w:val="FFFFFF" w:themeColor="background1"/>
                <w:szCs w:val="22"/>
              </w:rPr>
              <w:t>4</w:t>
            </w:r>
          </w:p>
        </w:tc>
      </w:tr>
    </w:tbl>
    <w:p w:rsidR="00484708" w:rsidRPr="00666BAC" w:rsidRDefault="00484708" w:rsidP="00BC1F5B">
      <w:pPr>
        <w:widowControl w:val="0"/>
        <w:rPr>
          <w:b/>
          <w:szCs w:val="22"/>
        </w:rPr>
      </w:pPr>
    </w:p>
    <w:p w:rsidR="00ED5373" w:rsidRPr="00666BAC" w:rsidRDefault="00ED5373" w:rsidP="000F3FC7">
      <w:pPr>
        <w:widowControl w:val="0"/>
        <w:rPr>
          <w:szCs w:val="22"/>
        </w:rPr>
      </w:pPr>
    </w:p>
    <w:p w:rsidR="000F3FC7" w:rsidRPr="00666BAC" w:rsidRDefault="000F3FC7" w:rsidP="000F3FC7">
      <w:pPr>
        <w:widowControl w:val="0"/>
        <w:rPr>
          <w:szCs w:val="22"/>
        </w:rPr>
      </w:pPr>
      <w:r w:rsidRPr="00666BAC">
        <w:rPr>
          <w:szCs w:val="22"/>
        </w:rPr>
        <w:t>Table 2 below, shows a yearly comparison of the proportion of complaints received for the most commonly complained</w:t>
      </w:r>
      <w:r w:rsidR="00ED5373" w:rsidRPr="00666BAC">
        <w:rPr>
          <w:szCs w:val="22"/>
        </w:rPr>
        <w:t xml:space="preserve"> about service types</w:t>
      </w:r>
      <w:r w:rsidRPr="00666BAC">
        <w:rPr>
          <w:szCs w:val="22"/>
        </w:rPr>
        <w:t>. As can be seen from this table, the most common service types co</w:t>
      </w:r>
      <w:r w:rsidR="00ED5373" w:rsidRPr="00666BAC">
        <w:rPr>
          <w:szCs w:val="22"/>
        </w:rPr>
        <w:t>mplained about over the last three</w:t>
      </w:r>
      <w:r w:rsidRPr="00666BAC">
        <w:rPr>
          <w:szCs w:val="22"/>
        </w:rPr>
        <w:t xml:space="preserve"> years have remained</w:t>
      </w:r>
      <w:r w:rsidR="00ED5373" w:rsidRPr="00666BAC">
        <w:rPr>
          <w:szCs w:val="22"/>
        </w:rPr>
        <w:t xml:space="preserve"> broadly consistent, with surgery showing a small increase and general medicine a small decrease.</w:t>
      </w:r>
      <w:r w:rsidRPr="00666BAC">
        <w:rPr>
          <w:szCs w:val="22"/>
        </w:rPr>
        <w:t xml:space="preserve"> Therefore, although complaints about DHB service</w:t>
      </w:r>
      <w:r w:rsidR="00A219F1">
        <w:rPr>
          <w:szCs w:val="22"/>
        </w:rPr>
        <w:t>s have increased overall in 2015/16</w:t>
      </w:r>
      <w:r w:rsidRPr="00666BAC">
        <w:rPr>
          <w:szCs w:val="22"/>
        </w:rPr>
        <w:t>, no one service</w:t>
      </w:r>
      <w:r w:rsidR="000128B9">
        <w:rPr>
          <w:szCs w:val="22"/>
        </w:rPr>
        <w:t xml:space="preserve"> type</w:t>
      </w:r>
      <w:r w:rsidRPr="00666BAC">
        <w:rPr>
          <w:szCs w:val="22"/>
        </w:rPr>
        <w:t xml:space="preserve"> seems to be responsible for this increase.</w:t>
      </w:r>
    </w:p>
    <w:p w:rsidR="000F3FC7" w:rsidRPr="00666BAC" w:rsidRDefault="000F3FC7" w:rsidP="00BC1F5B">
      <w:pPr>
        <w:widowControl w:val="0"/>
        <w:rPr>
          <w:b/>
          <w:szCs w:val="22"/>
        </w:rPr>
      </w:pPr>
    </w:p>
    <w:p w:rsidR="00C5788A" w:rsidRPr="00666BAC" w:rsidRDefault="00C5788A" w:rsidP="0080638F">
      <w:pPr>
        <w:widowControl w:val="0"/>
        <w:spacing w:after="120"/>
        <w:rPr>
          <w:szCs w:val="22"/>
        </w:rPr>
      </w:pPr>
      <w:r w:rsidRPr="00666BAC">
        <w:rPr>
          <w:b/>
          <w:szCs w:val="22"/>
        </w:rPr>
        <w:t>Table 2.</w:t>
      </w:r>
      <w:r w:rsidR="0080638F" w:rsidRPr="00666BAC">
        <w:rPr>
          <w:b/>
          <w:szCs w:val="22"/>
        </w:rPr>
        <w:t xml:space="preserve"> </w:t>
      </w:r>
      <w:r w:rsidR="000F3FC7" w:rsidRPr="00666BAC">
        <w:rPr>
          <w:szCs w:val="22"/>
        </w:rPr>
        <w:t>Yearly comparison of the p</w:t>
      </w:r>
      <w:r w:rsidR="0080638F" w:rsidRPr="00666BAC">
        <w:rPr>
          <w:szCs w:val="22"/>
        </w:rPr>
        <w:t xml:space="preserve">roportion of complaints received about the most commonly complained about service types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1911"/>
        <w:gridCol w:w="1642"/>
        <w:gridCol w:w="1642"/>
      </w:tblGrid>
      <w:tr w:rsidR="00ED5373" w:rsidRPr="00666BAC" w:rsidTr="00ED5373">
        <w:trPr>
          <w:trHeight w:val="624"/>
          <w:tblHeader/>
        </w:trPr>
        <w:tc>
          <w:tcPr>
            <w:tcW w:w="3725" w:type="dxa"/>
            <w:shd w:val="clear" w:color="auto" w:fill="C00000"/>
          </w:tcPr>
          <w:p w:rsidR="00ED5373" w:rsidRPr="00666BAC" w:rsidRDefault="00ED5373" w:rsidP="0080638F">
            <w:pPr>
              <w:tabs>
                <w:tab w:val="left" w:pos="1440"/>
                <w:tab w:val="decimal" w:pos="4320"/>
              </w:tabs>
              <w:spacing w:before="120" w:after="120"/>
              <w:jc w:val="center"/>
              <w:outlineLvl w:val="0"/>
              <w:rPr>
                <w:b/>
                <w:szCs w:val="22"/>
                <w:vertAlign w:val="superscript"/>
              </w:rPr>
            </w:pPr>
            <w:r w:rsidRPr="00666BAC">
              <w:rPr>
                <w:b/>
                <w:szCs w:val="22"/>
              </w:rPr>
              <w:t>Service type</w:t>
            </w:r>
          </w:p>
        </w:tc>
        <w:tc>
          <w:tcPr>
            <w:tcW w:w="1911" w:type="dxa"/>
            <w:shd w:val="clear" w:color="auto" w:fill="C00000"/>
          </w:tcPr>
          <w:p w:rsidR="00ED5373" w:rsidRPr="00666BAC" w:rsidRDefault="00ED5373" w:rsidP="0080638F">
            <w:pPr>
              <w:tabs>
                <w:tab w:val="left" w:pos="1440"/>
                <w:tab w:val="decimal" w:pos="4320"/>
              </w:tabs>
              <w:spacing w:before="120" w:after="120"/>
              <w:jc w:val="center"/>
              <w:outlineLvl w:val="0"/>
              <w:rPr>
                <w:b/>
                <w:szCs w:val="22"/>
              </w:rPr>
            </w:pPr>
            <w:r w:rsidRPr="00666BAC">
              <w:rPr>
                <w:b/>
                <w:szCs w:val="22"/>
              </w:rPr>
              <w:t>2013/14</w:t>
            </w:r>
          </w:p>
        </w:tc>
        <w:tc>
          <w:tcPr>
            <w:tcW w:w="1642" w:type="dxa"/>
            <w:shd w:val="clear" w:color="auto" w:fill="C00000"/>
          </w:tcPr>
          <w:p w:rsidR="00ED5373" w:rsidRPr="00666BAC" w:rsidRDefault="00ED5373" w:rsidP="00ED5373">
            <w:pPr>
              <w:tabs>
                <w:tab w:val="left" w:pos="1440"/>
                <w:tab w:val="decimal" w:pos="4320"/>
              </w:tabs>
              <w:spacing w:before="120" w:after="120"/>
              <w:jc w:val="center"/>
              <w:outlineLvl w:val="0"/>
              <w:rPr>
                <w:b/>
                <w:szCs w:val="22"/>
              </w:rPr>
            </w:pPr>
            <w:r w:rsidRPr="00666BAC">
              <w:rPr>
                <w:b/>
                <w:szCs w:val="22"/>
              </w:rPr>
              <w:t>2014/15</w:t>
            </w:r>
          </w:p>
        </w:tc>
        <w:tc>
          <w:tcPr>
            <w:tcW w:w="1642" w:type="dxa"/>
            <w:shd w:val="clear" w:color="auto" w:fill="C00000"/>
          </w:tcPr>
          <w:p w:rsidR="00ED5373" w:rsidRPr="00666BAC" w:rsidRDefault="00ED5373" w:rsidP="0080638F">
            <w:pPr>
              <w:tabs>
                <w:tab w:val="left" w:pos="1440"/>
                <w:tab w:val="decimal" w:pos="4320"/>
              </w:tabs>
              <w:spacing w:before="120" w:after="120"/>
              <w:jc w:val="center"/>
              <w:outlineLvl w:val="0"/>
              <w:rPr>
                <w:b/>
                <w:szCs w:val="22"/>
              </w:rPr>
            </w:pPr>
            <w:r w:rsidRPr="00666BAC">
              <w:rPr>
                <w:b/>
                <w:szCs w:val="22"/>
              </w:rPr>
              <w:t>2015/16</w:t>
            </w:r>
          </w:p>
        </w:tc>
      </w:tr>
      <w:tr w:rsidR="00ED5373" w:rsidRPr="00666BAC" w:rsidTr="00ED5373">
        <w:trPr>
          <w:trHeight w:val="278"/>
        </w:trPr>
        <w:tc>
          <w:tcPr>
            <w:tcW w:w="3725" w:type="dxa"/>
            <w:vAlign w:val="bottom"/>
          </w:tcPr>
          <w:p w:rsidR="00ED5373" w:rsidRPr="00666BAC" w:rsidRDefault="00ED5373" w:rsidP="0080638F">
            <w:pPr>
              <w:jc w:val="left"/>
              <w:rPr>
                <w:rFonts w:cs="Calibri"/>
                <w:b/>
                <w:color w:val="000000"/>
                <w:szCs w:val="22"/>
              </w:rPr>
            </w:pPr>
            <w:r w:rsidRPr="00666BAC">
              <w:rPr>
                <w:rFonts w:cs="Calibri"/>
                <w:b/>
                <w:color w:val="000000"/>
                <w:szCs w:val="22"/>
              </w:rPr>
              <w:t>Surgery</w:t>
            </w:r>
          </w:p>
        </w:tc>
        <w:tc>
          <w:tcPr>
            <w:tcW w:w="1911" w:type="dxa"/>
            <w:vAlign w:val="bottom"/>
          </w:tcPr>
          <w:p w:rsidR="00ED5373" w:rsidRPr="00666BAC" w:rsidRDefault="00ED5373" w:rsidP="0080638F">
            <w:pPr>
              <w:jc w:val="center"/>
              <w:rPr>
                <w:rFonts w:cs="Calibri"/>
                <w:b/>
                <w:color w:val="000000"/>
                <w:szCs w:val="22"/>
              </w:rPr>
            </w:pPr>
            <w:r w:rsidRPr="00666BAC">
              <w:rPr>
                <w:rFonts w:cs="Calibri"/>
                <w:b/>
                <w:color w:val="000000"/>
                <w:szCs w:val="22"/>
              </w:rPr>
              <w:t>26%</w:t>
            </w:r>
          </w:p>
        </w:tc>
        <w:tc>
          <w:tcPr>
            <w:tcW w:w="1642" w:type="dxa"/>
            <w:vAlign w:val="bottom"/>
          </w:tcPr>
          <w:p w:rsidR="00ED5373" w:rsidRPr="00666BAC" w:rsidRDefault="00ED5373" w:rsidP="00ED5373">
            <w:pPr>
              <w:jc w:val="center"/>
              <w:rPr>
                <w:rFonts w:cs="Calibri"/>
                <w:b/>
                <w:color w:val="000000"/>
                <w:szCs w:val="22"/>
              </w:rPr>
            </w:pPr>
            <w:r w:rsidRPr="00666BAC">
              <w:rPr>
                <w:rFonts w:cs="Calibri"/>
                <w:b/>
                <w:color w:val="000000"/>
                <w:szCs w:val="22"/>
              </w:rPr>
              <w:t>27%</w:t>
            </w:r>
          </w:p>
        </w:tc>
        <w:tc>
          <w:tcPr>
            <w:tcW w:w="1642" w:type="dxa"/>
          </w:tcPr>
          <w:p w:rsidR="00ED5373" w:rsidRPr="00666BAC" w:rsidRDefault="00ED5373" w:rsidP="0080638F">
            <w:pPr>
              <w:jc w:val="center"/>
              <w:rPr>
                <w:rFonts w:cs="Calibri"/>
                <w:b/>
                <w:color w:val="000000"/>
                <w:szCs w:val="22"/>
              </w:rPr>
            </w:pPr>
            <w:r w:rsidRPr="00666BAC">
              <w:rPr>
                <w:rFonts w:cs="Calibri"/>
                <w:b/>
                <w:color w:val="000000"/>
                <w:szCs w:val="22"/>
              </w:rPr>
              <w:t>31%</w:t>
            </w:r>
          </w:p>
        </w:tc>
      </w:tr>
      <w:tr w:rsidR="00ED5373" w:rsidRPr="00666BAC" w:rsidTr="00ED5373">
        <w:trPr>
          <w:trHeight w:val="267"/>
        </w:trPr>
        <w:tc>
          <w:tcPr>
            <w:tcW w:w="3725" w:type="dxa"/>
            <w:vAlign w:val="bottom"/>
          </w:tcPr>
          <w:p w:rsidR="00ED5373" w:rsidRPr="00666BAC" w:rsidRDefault="00ED5373" w:rsidP="0080638F">
            <w:pPr>
              <w:rPr>
                <w:rFonts w:cs="Calibri"/>
                <w:b/>
                <w:color w:val="000000"/>
                <w:szCs w:val="22"/>
              </w:rPr>
            </w:pPr>
            <w:r w:rsidRPr="00666BAC">
              <w:rPr>
                <w:rFonts w:cs="Calibri"/>
                <w:b/>
                <w:color w:val="000000"/>
                <w:szCs w:val="22"/>
              </w:rPr>
              <w:t>Mental health</w:t>
            </w:r>
          </w:p>
        </w:tc>
        <w:tc>
          <w:tcPr>
            <w:tcW w:w="1911" w:type="dxa"/>
            <w:vAlign w:val="bottom"/>
          </w:tcPr>
          <w:p w:rsidR="00ED5373" w:rsidRPr="00666BAC" w:rsidRDefault="00ED5373" w:rsidP="0080638F">
            <w:pPr>
              <w:jc w:val="center"/>
              <w:rPr>
                <w:rFonts w:cs="Calibri"/>
                <w:b/>
                <w:color w:val="000000"/>
                <w:szCs w:val="22"/>
              </w:rPr>
            </w:pPr>
            <w:r w:rsidRPr="00666BAC">
              <w:rPr>
                <w:rFonts w:cs="Calibri"/>
                <w:b/>
                <w:color w:val="000000"/>
                <w:szCs w:val="22"/>
              </w:rPr>
              <w:t>19%</w:t>
            </w:r>
          </w:p>
        </w:tc>
        <w:tc>
          <w:tcPr>
            <w:tcW w:w="1642" w:type="dxa"/>
            <w:vAlign w:val="bottom"/>
          </w:tcPr>
          <w:p w:rsidR="00ED5373" w:rsidRPr="00666BAC" w:rsidRDefault="00ED5373" w:rsidP="00ED5373">
            <w:pPr>
              <w:jc w:val="center"/>
              <w:rPr>
                <w:rFonts w:cs="Calibri"/>
                <w:b/>
                <w:color w:val="000000"/>
                <w:szCs w:val="22"/>
              </w:rPr>
            </w:pPr>
            <w:r w:rsidRPr="00666BAC">
              <w:rPr>
                <w:rFonts w:cs="Calibri"/>
                <w:b/>
                <w:color w:val="000000"/>
                <w:szCs w:val="22"/>
              </w:rPr>
              <w:t>19%</w:t>
            </w:r>
          </w:p>
        </w:tc>
        <w:tc>
          <w:tcPr>
            <w:tcW w:w="1642" w:type="dxa"/>
          </w:tcPr>
          <w:p w:rsidR="00ED5373" w:rsidRPr="00666BAC" w:rsidRDefault="00ED5373" w:rsidP="0080638F">
            <w:pPr>
              <w:jc w:val="center"/>
              <w:rPr>
                <w:rFonts w:cs="Calibri"/>
                <w:b/>
                <w:color w:val="000000"/>
                <w:szCs w:val="22"/>
              </w:rPr>
            </w:pPr>
            <w:r w:rsidRPr="00666BAC">
              <w:rPr>
                <w:rFonts w:cs="Calibri"/>
                <w:b/>
                <w:color w:val="000000"/>
                <w:szCs w:val="22"/>
              </w:rPr>
              <w:t>21%</w:t>
            </w:r>
          </w:p>
        </w:tc>
      </w:tr>
      <w:tr w:rsidR="00ED5373" w:rsidRPr="00666BAC" w:rsidTr="00ED5373">
        <w:trPr>
          <w:trHeight w:val="267"/>
        </w:trPr>
        <w:tc>
          <w:tcPr>
            <w:tcW w:w="3725" w:type="dxa"/>
            <w:vAlign w:val="bottom"/>
          </w:tcPr>
          <w:p w:rsidR="00ED5373" w:rsidRPr="00666BAC" w:rsidRDefault="00ED5373" w:rsidP="0080638F">
            <w:pPr>
              <w:rPr>
                <w:rFonts w:cs="Calibri"/>
                <w:b/>
                <w:color w:val="000000"/>
                <w:szCs w:val="22"/>
              </w:rPr>
            </w:pPr>
            <w:r w:rsidRPr="00666BAC">
              <w:rPr>
                <w:rFonts w:cs="Calibri"/>
                <w:b/>
                <w:color w:val="000000"/>
                <w:szCs w:val="22"/>
              </w:rPr>
              <w:t>General medicine</w:t>
            </w:r>
          </w:p>
        </w:tc>
        <w:tc>
          <w:tcPr>
            <w:tcW w:w="1911" w:type="dxa"/>
            <w:vAlign w:val="bottom"/>
          </w:tcPr>
          <w:p w:rsidR="00ED5373" w:rsidRPr="00666BAC" w:rsidRDefault="00ED5373" w:rsidP="0080638F">
            <w:pPr>
              <w:jc w:val="center"/>
              <w:rPr>
                <w:rFonts w:cs="Calibri"/>
                <w:b/>
                <w:color w:val="000000"/>
                <w:szCs w:val="22"/>
              </w:rPr>
            </w:pPr>
            <w:r w:rsidRPr="00666BAC">
              <w:rPr>
                <w:rFonts w:cs="Calibri"/>
                <w:b/>
                <w:color w:val="000000"/>
                <w:szCs w:val="22"/>
              </w:rPr>
              <w:t>19%</w:t>
            </w:r>
          </w:p>
        </w:tc>
        <w:tc>
          <w:tcPr>
            <w:tcW w:w="1642" w:type="dxa"/>
            <w:vAlign w:val="bottom"/>
          </w:tcPr>
          <w:p w:rsidR="00ED5373" w:rsidRPr="00666BAC" w:rsidRDefault="00ED5373" w:rsidP="00ED5373">
            <w:pPr>
              <w:jc w:val="center"/>
              <w:rPr>
                <w:rFonts w:cs="Calibri"/>
                <w:b/>
                <w:color w:val="000000"/>
                <w:szCs w:val="22"/>
              </w:rPr>
            </w:pPr>
            <w:r w:rsidRPr="00666BAC">
              <w:rPr>
                <w:rFonts w:cs="Calibri"/>
                <w:b/>
                <w:color w:val="000000"/>
                <w:szCs w:val="22"/>
              </w:rPr>
              <w:t>17%</w:t>
            </w:r>
          </w:p>
        </w:tc>
        <w:tc>
          <w:tcPr>
            <w:tcW w:w="1642" w:type="dxa"/>
          </w:tcPr>
          <w:p w:rsidR="00ED5373" w:rsidRPr="00666BAC" w:rsidRDefault="00ED5373" w:rsidP="0080638F">
            <w:pPr>
              <w:jc w:val="center"/>
              <w:rPr>
                <w:rFonts w:cs="Calibri"/>
                <w:b/>
                <w:color w:val="000000"/>
                <w:szCs w:val="22"/>
              </w:rPr>
            </w:pPr>
            <w:r w:rsidRPr="00666BAC">
              <w:rPr>
                <w:rFonts w:cs="Calibri"/>
                <w:b/>
                <w:color w:val="000000"/>
                <w:szCs w:val="22"/>
              </w:rPr>
              <w:t>16%</w:t>
            </w:r>
          </w:p>
        </w:tc>
      </w:tr>
      <w:tr w:rsidR="00ED5373" w:rsidRPr="00666BAC" w:rsidTr="00ED5373">
        <w:trPr>
          <w:trHeight w:val="286"/>
        </w:trPr>
        <w:tc>
          <w:tcPr>
            <w:tcW w:w="3725" w:type="dxa"/>
            <w:vAlign w:val="bottom"/>
          </w:tcPr>
          <w:p w:rsidR="00ED5373" w:rsidRPr="00666BAC" w:rsidRDefault="00ED5373" w:rsidP="0080638F">
            <w:pPr>
              <w:rPr>
                <w:rFonts w:cs="Calibri"/>
                <w:b/>
                <w:color w:val="000000"/>
                <w:szCs w:val="22"/>
              </w:rPr>
            </w:pPr>
            <w:r w:rsidRPr="00666BAC">
              <w:rPr>
                <w:rFonts w:cs="Calibri"/>
                <w:b/>
                <w:color w:val="000000"/>
                <w:szCs w:val="22"/>
              </w:rPr>
              <w:t>Emergency department</w:t>
            </w:r>
          </w:p>
        </w:tc>
        <w:tc>
          <w:tcPr>
            <w:tcW w:w="1911" w:type="dxa"/>
            <w:vAlign w:val="bottom"/>
          </w:tcPr>
          <w:p w:rsidR="00ED5373" w:rsidRPr="00666BAC" w:rsidRDefault="00ED5373" w:rsidP="0080638F">
            <w:pPr>
              <w:jc w:val="center"/>
              <w:rPr>
                <w:rFonts w:cs="Calibri"/>
                <w:b/>
                <w:color w:val="000000"/>
                <w:szCs w:val="22"/>
              </w:rPr>
            </w:pPr>
            <w:r w:rsidRPr="00666BAC">
              <w:rPr>
                <w:rFonts w:cs="Calibri"/>
                <w:b/>
                <w:color w:val="000000"/>
                <w:szCs w:val="22"/>
              </w:rPr>
              <w:t>13%</w:t>
            </w:r>
          </w:p>
        </w:tc>
        <w:tc>
          <w:tcPr>
            <w:tcW w:w="1642" w:type="dxa"/>
            <w:vAlign w:val="bottom"/>
          </w:tcPr>
          <w:p w:rsidR="00ED5373" w:rsidRPr="00666BAC" w:rsidRDefault="00ED5373" w:rsidP="00ED5373">
            <w:pPr>
              <w:jc w:val="center"/>
              <w:rPr>
                <w:rFonts w:cs="Calibri"/>
                <w:b/>
                <w:color w:val="000000"/>
                <w:szCs w:val="22"/>
              </w:rPr>
            </w:pPr>
            <w:r w:rsidRPr="00666BAC">
              <w:rPr>
                <w:rFonts w:cs="Calibri"/>
                <w:b/>
                <w:color w:val="000000"/>
                <w:szCs w:val="22"/>
              </w:rPr>
              <w:t>13%</w:t>
            </w:r>
          </w:p>
        </w:tc>
        <w:tc>
          <w:tcPr>
            <w:tcW w:w="1642" w:type="dxa"/>
          </w:tcPr>
          <w:p w:rsidR="00ED5373" w:rsidRPr="00666BAC" w:rsidRDefault="00ED5373" w:rsidP="0080638F">
            <w:pPr>
              <w:jc w:val="center"/>
              <w:rPr>
                <w:rFonts w:cs="Calibri"/>
                <w:b/>
                <w:color w:val="000000"/>
                <w:szCs w:val="22"/>
              </w:rPr>
            </w:pPr>
            <w:r w:rsidRPr="00666BAC">
              <w:rPr>
                <w:rFonts w:cs="Calibri"/>
                <w:b/>
                <w:color w:val="000000"/>
                <w:szCs w:val="22"/>
              </w:rPr>
              <w:t>12%</w:t>
            </w:r>
          </w:p>
        </w:tc>
      </w:tr>
      <w:tr w:rsidR="00ED5373" w:rsidRPr="00666BAC" w:rsidTr="00ED5373">
        <w:trPr>
          <w:trHeight w:val="286"/>
        </w:trPr>
        <w:tc>
          <w:tcPr>
            <w:tcW w:w="3725" w:type="dxa"/>
            <w:vAlign w:val="bottom"/>
          </w:tcPr>
          <w:p w:rsidR="00ED5373" w:rsidRPr="00666BAC" w:rsidRDefault="00ED5373" w:rsidP="0080638F">
            <w:pPr>
              <w:rPr>
                <w:rFonts w:cs="Calibri"/>
                <w:b/>
                <w:color w:val="000000"/>
                <w:szCs w:val="22"/>
              </w:rPr>
            </w:pPr>
            <w:r w:rsidRPr="00666BAC">
              <w:rPr>
                <w:rFonts w:cs="Calibri"/>
                <w:b/>
                <w:color w:val="000000"/>
                <w:szCs w:val="22"/>
              </w:rPr>
              <w:t>Maternity</w:t>
            </w:r>
          </w:p>
        </w:tc>
        <w:tc>
          <w:tcPr>
            <w:tcW w:w="1911" w:type="dxa"/>
            <w:vAlign w:val="bottom"/>
          </w:tcPr>
          <w:p w:rsidR="00ED5373" w:rsidRPr="00666BAC" w:rsidRDefault="00ED5373" w:rsidP="0080638F">
            <w:pPr>
              <w:jc w:val="center"/>
              <w:rPr>
                <w:rFonts w:cs="Calibri"/>
                <w:b/>
                <w:color w:val="000000"/>
                <w:szCs w:val="22"/>
              </w:rPr>
            </w:pPr>
            <w:r w:rsidRPr="00666BAC">
              <w:rPr>
                <w:rFonts w:cs="Calibri"/>
                <w:b/>
                <w:color w:val="000000"/>
                <w:szCs w:val="22"/>
              </w:rPr>
              <w:t>6%</w:t>
            </w:r>
          </w:p>
        </w:tc>
        <w:tc>
          <w:tcPr>
            <w:tcW w:w="1642" w:type="dxa"/>
            <w:vAlign w:val="bottom"/>
          </w:tcPr>
          <w:p w:rsidR="00ED5373" w:rsidRPr="00666BAC" w:rsidRDefault="00ED5373" w:rsidP="00ED5373">
            <w:pPr>
              <w:jc w:val="center"/>
              <w:rPr>
                <w:rFonts w:cs="Calibri"/>
                <w:b/>
                <w:color w:val="000000"/>
                <w:szCs w:val="22"/>
              </w:rPr>
            </w:pPr>
            <w:r w:rsidRPr="00666BAC">
              <w:rPr>
                <w:rFonts w:cs="Calibri"/>
                <w:b/>
                <w:color w:val="000000"/>
                <w:szCs w:val="22"/>
              </w:rPr>
              <w:t>7%</w:t>
            </w:r>
          </w:p>
        </w:tc>
        <w:tc>
          <w:tcPr>
            <w:tcW w:w="1642" w:type="dxa"/>
          </w:tcPr>
          <w:p w:rsidR="00ED5373" w:rsidRPr="00666BAC" w:rsidRDefault="006C1D65" w:rsidP="0080638F">
            <w:pPr>
              <w:jc w:val="center"/>
              <w:rPr>
                <w:rFonts w:cs="Calibri"/>
                <w:b/>
                <w:color w:val="000000"/>
                <w:szCs w:val="22"/>
              </w:rPr>
            </w:pPr>
            <w:r>
              <w:rPr>
                <w:rFonts w:cs="Calibri"/>
                <w:b/>
                <w:color w:val="000000"/>
                <w:szCs w:val="22"/>
              </w:rPr>
              <w:t>6</w:t>
            </w:r>
            <w:bookmarkStart w:id="23" w:name="_GoBack"/>
            <w:bookmarkEnd w:id="23"/>
            <w:r w:rsidR="00ED5373" w:rsidRPr="00666BAC">
              <w:rPr>
                <w:rFonts w:cs="Calibri"/>
                <w:b/>
                <w:color w:val="000000"/>
                <w:szCs w:val="22"/>
              </w:rPr>
              <w:t>%</w:t>
            </w:r>
          </w:p>
        </w:tc>
      </w:tr>
    </w:tbl>
    <w:p w:rsidR="0080638F" w:rsidRPr="00666BAC" w:rsidRDefault="0080638F" w:rsidP="00BC1F5B">
      <w:pPr>
        <w:widowControl w:val="0"/>
        <w:rPr>
          <w:szCs w:val="22"/>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0B7CAA" w:rsidRPr="00666BAC" w:rsidTr="000B7CAA">
        <w:tc>
          <w:tcPr>
            <w:tcW w:w="9298" w:type="dxa"/>
          </w:tcPr>
          <w:p w:rsidR="000B7CAA" w:rsidRDefault="000B7CAA" w:rsidP="006372F3">
            <w:pPr>
              <w:tabs>
                <w:tab w:val="left" w:pos="1440"/>
                <w:tab w:val="left" w:pos="2610"/>
              </w:tabs>
              <w:spacing w:before="120"/>
              <w:jc w:val="center"/>
              <w:outlineLvl w:val="0"/>
              <w:rPr>
                <w:b/>
                <w:szCs w:val="22"/>
              </w:rPr>
            </w:pPr>
            <w:r w:rsidRPr="00666BAC">
              <w:rPr>
                <w:b/>
                <w:sz w:val="28"/>
                <w:szCs w:val="28"/>
              </w:rPr>
              <w:t>Case study</w:t>
            </w:r>
            <w:r w:rsidR="00A86124" w:rsidRPr="00666BAC">
              <w:rPr>
                <w:b/>
                <w:sz w:val="28"/>
                <w:szCs w:val="28"/>
              </w:rPr>
              <w:t xml:space="preserve">: General medicine </w:t>
            </w:r>
            <w:r w:rsidR="00615975" w:rsidRPr="00666BAC">
              <w:rPr>
                <w:b/>
                <w:szCs w:val="22"/>
              </w:rPr>
              <w:t>(14</w:t>
            </w:r>
            <w:r w:rsidR="00A86124" w:rsidRPr="00666BAC">
              <w:rPr>
                <w:b/>
                <w:szCs w:val="22"/>
              </w:rPr>
              <w:t>HDC0</w:t>
            </w:r>
            <w:r w:rsidR="00615975" w:rsidRPr="00666BAC">
              <w:rPr>
                <w:b/>
                <w:szCs w:val="22"/>
              </w:rPr>
              <w:t>1771</w:t>
            </w:r>
            <w:r w:rsidR="00A86124" w:rsidRPr="00666BAC">
              <w:rPr>
                <w:b/>
                <w:szCs w:val="22"/>
              </w:rPr>
              <w:t>)</w:t>
            </w:r>
          </w:p>
          <w:p w:rsidR="004F4A2F" w:rsidRPr="00666BAC" w:rsidRDefault="004F4A2F" w:rsidP="006372F3">
            <w:pPr>
              <w:tabs>
                <w:tab w:val="left" w:pos="1440"/>
                <w:tab w:val="left" w:pos="2610"/>
              </w:tabs>
              <w:spacing w:before="120"/>
              <w:jc w:val="center"/>
              <w:outlineLvl w:val="0"/>
              <w:rPr>
                <w:b/>
                <w:sz w:val="28"/>
                <w:szCs w:val="28"/>
              </w:rPr>
            </w:pPr>
          </w:p>
          <w:p w:rsidR="004F4A2F" w:rsidRDefault="004F4A2F" w:rsidP="004F4A2F">
            <w:r w:rsidRPr="00666BAC">
              <w:t>Mrs A, a 51-year-old woman, was diagnosed with ovarian cancer. At that time she weighed 84kg. She was seen by an oncologist, Dr B, at a public hospital (DHB1), and agreed to receive chemotherapy, including carboplatin (a drug used to treat ovarian cancer).</w:t>
            </w:r>
          </w:p>
          <w:p w:rsidR="004F4A2F" w:rsidRPr="00666BAC" w:rsidRDefault="004F4A2F" w:rsidP="004F4A2F"/>
          <w:p w:rsidR="004F4A2F" w:rsidRDefault="004F4A2F" w:rsidP="004F4A2F">
            <w:r w:rsidRPr="00666BAC">
              <w:t>As Mrs A did not live in DHB1’s region, she travelled to her nearest public hospital’s (DHB2) oncology clinic chemotherapy unit for her treatment. An oncologist from DHB1 attended this clinic twice a month.</w:t>
            </w:r>
          </w:p>
          <w:p w:rsidR="004F4A2F" w:rsidRPr="00666BAC" w:rsidRDefault="004F4A2F" w:rsidP="004F4A2F"/>
          <w:p w:rsidR="004F4A2F" w:rsidRDefault="004F4A2F" w:rsidP="004F4A2F">
            <w:r w:rsidRPr="005335AA">
              <w:t>The dose of carboplatin is based on an assessment of the level of the patient’s kidney function. DHB1</w:t>
            </w:r>
            <w:r w:rsidRPr="00666BAC">
              <w:t xml:space="preserve"> uses a computer based calculator, the Aesculapius programme, which calculates the carboplatin dose based on the patient’s weight and serum creatinine level.</w:t>
            </w:r>
            <w:r>
              <w:t xml:space="preserve"> Mrs A’s initial weight was 84kg and blood tests showed a </w:t>
            </w:r>
            <w:r w:rsidRPr="00666BAC">
              <w:rPr>
                <w:szCs w:val="22"/>
              </w:rPr>
              <w:t>creatinine</w:t>
            </w:r>
            <w:r>
              <w:t xml:space="preserve"> level of 90mmol/L.</w:t>
            </w:r>
            <w:r w:rsidRPr="00666BAC">
              <w:t xml:space="preserve"> At the time of Mrs A’s treatment, the chemotherapy staff nurses documented a patient’s height and weight only at the initial visit, and did not note their weight again. When a patient was seen in the oncology </w:t>
            </w:r>
            <w:r>
              <w:t>clinic, the oncologist noted the current</w:t>
            </w:r>
            <w:r w:rsidRPr="00666BAC">
              <w:t xml:space="preserve"> weight in the clinical file, but as the Aesculapius programme was not readily available to the consultant while at DHB2, the input into the computer system depended on the oncologist entering the information when he or she returned to DHB1.  </w:t>
            </w:r>
          </w:p>
          <w:p w:rsidR="004F4A2F" w:rsidRPr="00666BAC" w:rsidRDefault="004F4A2F" w:rsidP="004F4A2F"/>
          <w:p w:rsidR="004F4A2F" w:rsidRDefault="004F4A2F" w:rsidP="004F4A2F">
            <w:r w:rsidRPr="00666BAC">
              <w:t>Mrs A’s weight fluctuated, and a year later, her weight was 65.6kg</w:t>
            </w:r>
            <w:r>
              <w:t xml:space="preserve"> and she had a </w:t>
            </w:r>
            <w:r w:rsidRPr="00666BAC">
              <w:rPr>
                <w:szCs w:val="22"/>
              </w:rPr>
              <w:t>creatinine</w:t>
            </w:r>
            <w:r>
              <w:rPr>
                <w:szCs w:val="22"/>
              </w:rPr>
              <w:t xml:space="preserve"> level of 64mmol/L</w:t>
            </w:r>
            <w:r>
              <w:t xml:space="preserve"> </w:t>
            </w:r>
            <w:r w:rsidRPr="00666BAC">
              <w:t>. A CT scan showed further disease progression and Dr B advised Mrs A to try single agent carboplatin treatment.</w:t>
            </w:r>
          </w:p>
          <w:p w:rsidR="004F4A2F" w:rsidRPr="00666BAC" w:rsidRDefault="004F4A2F" w:rsidP="004F4A2F"/>
          <w:p w:rsidR="004F4A2F" w:rsidRPr="00666BAC" w:rsidRDefault="004F4A2F" w:rsidP="004F4A2F">
            <w:pPr>
              <w:spacing w:after="240"/>
              <w:rPr>
                <w:szCs w:val="22"/>
              </w:rPr>
            </w:pPr>
            <w:r w:rsidRPr="00666BAC">
              <w:rPr>
                <w:szCs w:val="22"/>
              </w:rPr>
              <w:t xml:space="preserve">Dr B calculated Mrs A’s first dose of single agent carboplatin. The Aesculapius prescription form shows that the calculation of the dose of 600mg </w:t>
            </w:r>
            <w:r>
              <w:rPr>
                <w:szCs w:val="22"/>
              </w:rPr>
              <w:t>was based on her original measurements</w:t>
            </w:r>
            <w:r w:rsidRPr="00666BAC">
              <w:rPr>
                <w:szCs w:val="22"/>
              </w:rPr>
              <w:t xml:space="preserve">, which were prepopulated into the Aesculapius programme (weight of 84kg and creatinine of 90mmol/L). Mrs A received this treatment and at her next consultation, Dr B recorded that the effect of the carboplatin seemed to be favourable. </w:t>
            </w:r>
            <w:r>
              <w:rPr>
                <w:szCs w:val="22"/>
              </w:rPr>
              <w:t>Four f</w:t>
            </w:r>
            <w:r w:rsidRPr="00666BAC">
              <w:rPr>
                <w:szCs w:val="22"/>
              </w:rPr>
              <w:t>urther doses of 600mg carboplatin were administered</w:t>
            </w:r>
            <w:r>
              <w:rPr>
                <w:szCs w:val="22"/>
              </w:rPr>
              <w:t xml:space="preserve">, at which stage </w:t>
            </w:r>
            <w:r w:rsidRPr="00E35FC4">
              <w:t>carboplatin was discontinued because of myelosuppression</w:t>
            </w:r>
            <w:r>
              <w:t>.</w:t>
            </w:r>
            <w:r w:rsidRPr="00666BAC">
              <w:rPr>
                <w:szCs w:val="22"/>
              </w:rPr>
              <w:t xml:space="preserve"> </w:t>
            </w:r>
          </w:p>
          <w:p w:rsidR="004F4A2F" w:rsidRDefault="004F4A2F" w:rsidP="004F4A2F">
            <w:pPr>
              <w:spacing w:after="240"/>
              <w:rPr>
                <w:szCs w:val="22"/>
              </w:rPr>
            </w:pPr>
            <w:r w:rsidRPr="00666BAC">
              <w:rPr>
                <w:szCs w:val="22"/>
              </w:rPr>
              <w:t xml:space="preserve">A chemotherapy nurse </w:t>
            </w:r>
            <w:r>
              <w:rPr>
                <w:szCs w:val="22"/>
              </w:rPr>
              <w:t xml:space="preserve">then </w:t>
            </w:r>
            <w:r w:rsidRPr="00666BAC">
              <w:rPr>
                <w:szCs w:val="22"/>
              </w:rPr>
              <w:t xml:space="preserve">noticed that Mrs A had been receiving chemotherapy based on a weight of 84kg, some 20kg more than her actual weight of 65kg. </w:t>
            </w:r>
          </w:p>
          <w:p w:rsidR="004F4A2F" w:rsidRPr="00666BAC" w:rsidRDefault="004F4A2F" w:rsidP="004F4A2F">
            <w:pPr>
              <w:spacing w:after="120"/>
              <w:rPr>
                <w:szCs w:val="22"/>
              </w:rPr>
            </w:pPr>
            <w:r w:rsidRPr="00666BAC">
              <w:rPr>
                <w:szCs w:val="22"/>
              </w:rPr>
              <w:t xml:space="preserve">The Commissioner considered that the </w:t>
            </w:r>
            <w:r>
              <w:rPr>
                <w:szCs w:val="22"/>
              </w:rPr>
              <w:t>following systemic issues at DHB1</w:t>
            </w:r>
            <w:r w:rsidRPr="00666BAC">
              <w:rPr>
                <w:szCs w:val="22"/>
              </w:rPr>
              <w:t xml:space="preserve"> contributed to Mrs A receiving a</w:t>
            </w:r>
            <w:r>
              <w:rPr>
                <w:szCs w:val="22"/>
              </w:rPr>
              <w:t xml:space="preserve"> </w:t>
            </w:r>
            <w:r w:rsidRPr="00666BAC">
              <w:rPr>
                <w:szCs w:val="22"/>
              </w:rPr>
              <w:t xml:space="preserve">dose of carboplatin calculated on the basis </w:t>
            </w:r>
            <w:r>
              <w:rPr>
                <w:szCs w:val="22"/>
              </w:rPr>
              <w:t>of incorrect measurements:</w:t>
            </w:r>
          </w:p>
          <w:p w:rsidR="00D0364D" w:rsidRPr="00666BAC" w:rsidRDefault="00D0364D" w:rsidP="00D0364D">
            <w:pPr>
              <w:numPr>
                <w:ilvl w:val="0"/>
                <w:numId w:val="19"/>
              </w:numPr>
              <w:spacing w:after="120"/>
              <w:jc w:val="left"/>
              <w:rPr>
                <w:szCs w:val="22"/>
              </w:rPr>
            </w:pPr>
            <w:r w:rsidRPr="00666BAC">
              <w:rPr>
                <w:szCs w:val="22"/>
              </w:rPr>
              <w:t xml:space="preserve">Changes in patient information, on which prescriptions for chemotherapy treatment were based (such as weight and creatinine levels), could be recorded only in the chemotherapy treatment computer system at DHB1, where it was based, and not by oncologists working at off-site clinics. </w:t>
            </w:r>
          </w:p>
          <w:p w:rsidR="00830368" w:rsidRPr="00666BAC" w:rsidRDefault="00D0364D" w:rsidP="00830368">
            <w:pPr>
              <w:numPr>
                <w:ilvl w:val="0"/>
                <w:numId w:val="19"/>
              </w:numPr>
              <w:spacing w:after="240"/>
              <w:rPr>
                <w:szCs w:val="22"/>
              </w:rPr>
            </w:pPr>
            <w:r w:rsidRPr="00666BAC">
              <w:rPr>
                <w:szCs w:val="22"/>
              </w:rPr>
              <w:t>There were insufficient safeguards to identify the use of historic data, and whether the weight and creatinine levels on the day of delivery differed from that data. The oncologists were unable to update patient details remotely, and the patient’s weight was not displayed prominently (or consistently) in the clinical file, which meant that it was not necessarily brought to the clinician’s attention at clinic appointments.</w:t>
            </w:r>
          </w:p>
          <w:p w:rsidR="0015111A" w:rsidRPr="00666BAC" w:rsidRDefault="00830368" w:rsidP="00830368">
            <w:pPr>
              <w:spacing w:after="240"/>
              <w:rPr>
                <w:szCs w:val="22"/>
              </w:rPr>
            </w:pPr>
            <w:r w:rsidRPr="00666BAC">
              <w:rPr>
                <w:szCs w:val="22"/>
              </w:rPr>
              <w:t>Accordingly, the Commissioner found that DHB1 failed to provide services to Mrs A wi</w:t>
            </w:r>
            <w:r w:rsidR="007604F5" w:rsidRPr="00666BAC">
              <w:rPr>
                <w:szCs w:val="22"/>
              </w:rPr>
              <w:t>th reasonable care and skill, in breach of</w:t>
            </w:r>
            <w:r w:rsidRPr="00666BAC">
              <w:rPr>
                <w:szCs w:val="22"/>
              </w:rPr>
              <w:t xml:space="preserve"> Right 4(1) of the Code. </w:t>
            </w:r>
          </w:p>
          <w:p w:rsidR="00830368" w:rsidRPr="00666BAC" w:rsidRDefault="0015111A" w:rsidP="00830368">
            <w:pPr>
              <w:spacing w:after="240"/>
              <w:rPr>
                <w:szCs w:val="22"/>
              </w:rPr>
            </w:pPr>
            <w:r w:rsidRPr="00666BAC">
              <w:rPr>
                <w:szCs w:val="22"/>
              </w:rPr>
              <w:t xml:space="preserve">The Commissioner </w:t>
            </w:r>
            <w:r w:rsidR="001F701C" w:rsidRPr="00666BAC">
              <w:rPr>
                <w:szCs w:val="22"/>
              </w:rPr>
              <w:t>was critical</w:t>
            </w:r>
            <w:r w:rsidRPr="00666BAC">
              <w:rPr>
                <w:szCs w:val="22"/>
              </w:rPr>
              <w:t xml:space="preserve"> about the lack of systems in place at DHB2 to check that the data relied on was correct, prior to administering chemotherapy treatment. </w:t>
            </w:r>
            <w:r w:rsidR="001F701C" w:rsidRPr="00666BAC">
              <w:rPr>
                <w:szCs w:val="22"/>
              </w:rPr>
              <w:t>Criticism</w:t>
            </w:r>
            <w:r w:rsidR="00830368" w:rsidRPr="00666BAC">
              <w:rPr>
                <w:szCs w:val="22"/>
              </w:rPr>
              <w:t xml:space="preserve"> was</w:t>
            </w:r>
            <w:r w:rsidRPr="00666BAC">
              <w:rPr>
                <w:szCs w:val="22"/>
              </w:rPr>
              <w:t xml:space="preserve"> also</w:t>
            </w:r>
            <w:r w:rsidR="00830368" w:rsidRPr="00666BAC">
              <w:rPr>
                <w:szCs w:val="22"/>
              </w:rPr>
              <w:t xml:space="preserve"> </w:t>
            </w:r>
            <w:r w:rsidR="001F701C" w:rsidRPr="00666BAC">
              <w:rPr>
                <w:szCs w:val="22"/>
              </w:rPr>
              <w:t>made about</w:t>
            </w:r>
            <w:r w:rsidR="00830368" w:rsidRPr="00666BAC">
              <w:rPr>
                <w:szCs w:val="22"/>
              </w:rPr>
              <w:t xml:space="preserve"> Dr B</w:t>
            </w:r>
            <w:r w:rsidR="001F701C" w:rsidRPr="00666BAC">
              <w:rPr>
                <w:szCs w:val="22"/>
              </w:rPr>
              <w:t>’s</w:t>
            </w:r>
            <w:r w:rsidR="00830368" w:rsidRPr="00666BAC">
              <w:rPr>
                <w:szCs w:val="22"/>
              </w:rPr>
              <w:t xml:space="preserve"> </w:t>
            </w:r>
            <w:r w:rsidR="001F701C" w:rsidRPr="00666BAC">
              <w:rPr>
                <w:szCs w:val="22"/>
              </w:rPr>
              <w:t>failure to ensure</w:t>
            </w:r>
            <w:r w:rsidR="00830368" w:rsidRPr="00666BAC">
              <w:rPr>
                <w:szCs w:val="22"/>
              </w:rPr>
              <w:t xml:space="preserve"> that the calculations for treatment, which he signed off, were correct. </w:t>
            </w:r>
          </w:p>
          <w:p w:rsidR="001F701C" w:rsidRPr="00666BAC" w:rsidRDefault="001F701C" w:rsidP="00830368">
            <w:pPr>
              <w:numPr>
                <w:ilvl w:val="0"/>
                <w:numId w:val="6"/>
              </w:numPr>
              <w:spacing w:after="240"/>
              <w:ind w:left="0" w:hanging="426"/>
            </w:pPr>
            <w:r w:rsidRPr="00666BAC">
              <w:rPr>
                <w:szCs w:val="22"/>
              </w:rPr>
              <w:t>The Commissioner rec</w:t>
            </w:r>
            <w:r w:rsidR="009F08AD" w:rsidRPr="00666BAC">
              <w:rPr>
                <w:szCs w:val="22"/>
              </w:rPr>
              <w:t xml:space="preserve">ommended that DHB1 provide HDC with a detailed report on the effectiveness of the changes made as a result of this case, including: how clinicians ability to access the Aesculapius programme remotely is affecting their service delivery; the results of a review of DHB1 and DHB2’s models of service; and an assessment of the effectiveness of the changes made to its service delivery following the review. The Commissioner also recommended that Dr B report to HDC </w:t>
            </w:r>
            <w:r w:rsidR="009F08AD" w:rsidRPr="00666BAC">
              <w:t xml:space="preserve">on how the ability to access the prescribing software remotely has affected his practice. </w:t>
            </w:r>
          </w:p>
          <w:p w:rsidR="00951B35" w:rsidRPr="00666BAC" w:rsidRDefault="009F08AD" w:rsidP="002A08DD">
            <w:pPr>
              <w:spacing w:after="240"/>
              <w:rPr>
                <w:szCs w:val="22"/>
              </w:rPr>
            </w:pPr>
            <w:r w:rsidRPr="00666BAC">
              <w:t xml:space="preserve">The Commissioner asked DHB2 that it provide HDC with a report on the effectiveness of the changes it had made, including: its new practice of weighing patients prior to treatment, and notifying a clinician at DHB1 if a discrepancy is detected against the script; the changes it had made to </w:t>
            </w:r>
            <w:r w:rsidRPr="00666BAC">
              <w:rPr>
                <w:szCs w:val="22"/>
              </w:rPr>
              <w:t>Aesculapius; and whether clinicians at its outreach clinics had adequate access to electronic databases, including the Aesculapius programme.</w:t>
            </w:r>
          </w:p>
        </w:tc>
      </w:tr>
    </w:tbl>
    <w:p w:rsidR="00951B35" w:rsidRPr="00666BAC" w:rsidRDefault="00951B35" w:rsidP="00951B35">
      <w:bookmarkStart w:id="24" w:name="_Toc404344430"/>
    </w:p>
    <w:p w:rsidR="005B4EDE" w:rsidRPr="00666BAC" w:rsidRDefault="005B4EDE" w:rsidP="005B4EDE">
      <w:bookmarkStart w:id="25" w:name="_Toc438024729"/>
    </w:p>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0B7CAA" w:rsidRPr="00666BAC" w:rsidRDefault="000B7CAA" w:rsidP="000B7CAA">
      <w:pPr>
        <w:pStyle w:val="Heading3"/>
        <w:spacing w:before="240" w:after="120"/>
        <w:rPr>
          <w:b/>
          <w:i w:val="0"/>
          <w:sz w:val="28"/>
          <w:szCs w:val="28"/>
        </w:rPr>
      </w:pPr>
      <w:r w:rsidRPr="00666BAC">
        <w:rPr>
          <w:b/>
          <w:i w:val="0"/>
          <w:sz w:val="28"/>
          <w:szCs w:val="28"/>
        </w:rPr>
        <w:t>2.2</w:t>
      </w:r>
      <w:r w:rsidRPr="00666BAC">
        <w:rPr>
          <w:b/>
          <w:i w:val="0"/>
          <w:sz w:val="28"/>
          <w:szCs w:val="28"/>
        </w:rPr>
        <w:tab/>
      </w:r>
      <w:r w:rsidRPr="00666BAC">
        <w:rPr>
          <w:b/>
          <w:i w:val="0"/>
          <w:sz w:val="28"/>
          <w:szCs w:val="28"/>
        </w:rPr>
        <w:tab/>
        <w:t>Professions of individual providers complained about</w:t>
      </w:r>
      <w:bookmarkEnd w:id="24"/>
      <w:bookmarkEnd w:id="25"/>
    </w:p>
    <w:p w:rsidR="000B7CAA" w:rsidRPr="00666BAC" w:rsidRDefault="000B7CAA" w:rsidP="000B7CAA">
      <w:pPr>
        <w:rPr>
          <w:b/>
        </w:rPr>
      </w:pPr>
      <w:r w:rsidRPr="00666BAC">
        <w:t>When people complain about services provided to them, they often complain about particular individuals involved in t</w:t>
      </w:r>
      <w:r w:rsidR="00951B35" w:rsidRPr="00666BAC">
        <w:t>he provision of those services.</w:t>
      </w:r>
      <w:r w:rsidRPr="00666BAC">
        <w:t xml:space="preserve"> The professions of the individual providers identified in complaints about D</w:t>
      </w:r>
      <w:r w:rsidR="002D7651" w:rsidRPr="00666BAC">
        <w:t>HB services are shown in Table 3</w:t>
      </w:r>
      <w:r w:rsidRPr="00666BAC">
        <w:t xml:space="preserve"> below.  </w:t>
      </w:r>
    </w:p>
    <w:p w:rsidR="000B7CAA" w:rsidRPr="00666BAC" w:rsidRDefault="000B7CAA" w:rsidP="000B7CAA">
      <w:pPr>
        <w:rPr>
          <w:b/>
        </w:rPr>
      </w:pPr>
    </w:p>
    <w:p w:rsidR="000B7CAA" w:rsidRPr="00666BAC" w:rsidRDefault="002D7651" w:rsidP="000B7CAA">
      <w:pPr>
        <w:spacing w:after="120"/>
      </w:pPr>
      <w:r w:rsidRPr="00666BAC">
        <w:rPr>
          <w:b/>
        </w:rPr>
        <w:t>Table 3</w:t>
      </w:r>
      <w:r w:rsidR="000B7CAA" w:rsidRPr="00666BAC">
        <w:rPr>
          <w:b/>
        </w:rPr>
        <w:t xml:space="preserve">. </w:t>
      </w:r>
      <w:r w:rsidR="000B7CAA" w:rsidRPr="00666BAC">
        <w:t>Professions of individual providers complained about in DHB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693"/>
      </w:tblGrid>
      <w:tr w:rsidR="000B7CAA" w:rsidRPr="00666BAC" w:rsidTr="000B7CAA">
        <w:trPr>
          <w:trHeight w:val="624"/>
          <w:tblHeader/>
        </w:trPr>
        <w:tc>
          <w:tcPr>
            <w:tcW w:w="4253" w:type="dxa"/>
          </w:tcPr>
          <w:p w:rsidR="000B7CAA" w:rsidRPr="00666BAC" w:rsidRDefault="000B7CAA" w:rsidP="000B7CAA">
            <w:pPr>
              <w:tabs>
                <w:tab w:val="left" w:pos="1440"/>
                <w:tab w:val="decimal" w:pos="4320"/>
              </w:tabs>
              <w:spacing w:before="120" w:after="120"/>
              <w:jc w:val="center"/>
              <w:outlineLvl w:val="0"/>
              <w:rPr>
                <w:b/>
                <w:szCs w:val="22"/>
                <w:vertAlign w:val="superscript"/>
              </w:rPr>
            </w:pPr>
            <w:r w:rsidRPr="00666BAC">
              <w:rPr>
                <w:b/>
                <w:szCs w:val="22"/>
              </w:rPr>
              <w:t>Occupation</w:t>
            </w:r>
          </w:p>
        </w:tc>
        <w:tc>
          <w:tcPr>
            <w:tcW w:w="2693" w:type="dxa"/>
          </w:tcPr>
          <w:p w:rsidR="000B7CAA" w:rsidRPr="00666BAC" w:rsidRDefault="000B7CAA" w:rsidP="000B7CAA">
            <w:pPr>
              <w:tabs>
                <w:tab w:val="left" w:pos="1440"/>
                <w:tab w:val="decimal" w:pos="4320"/>
              </w:tabs>
              <w:spacing w:before="120" w:after="120"/>
              <w:jc w:val="center"/>
              <w:outlineLvl w:val="0"/>
              <w:rPr>
                <w:b/>
                <w:szCs w:val="22"/>
              </w:rPr>
            </w:pPr>
            <w:r w:rsidRPr="00666BAC">
              <w:rPr>
                <w:b/>
                <w:szCs w:val="22"/>
              </w:rPr>
              <w:t>Number of individuals (%)</w:t>
            </w:r>
          </w:p>
        </w:tc>
      </w:tr>
      <w:tr w:rsidR="000B7CAA" w:rsidRPr="00666BAC" w:rsidTr="000B7CAA">
        <w:trPr>
          <w:trHeight w:val="168"/>
        </w:trPr>
        <w:tc>
          <w:tcPr>
            <w:tcW w:w="4253" w:type="dxa"/>
            <w:shd w:val="clear" w:color="auto" w:fill="C00000"/>
            <w:vAlign w:val="bottom"/>
          </w:tcPr>
          <w:p w:rsidR="000B7CAA" w:rsidRPr="00666BAC" w:rsidRDefault="000B7CAA" w:rsidP="000B7CAA">
            <w:pPr>
              <w:jc w:val="left"/>
              <w:rPr>
                <w:rFonts w:cs="Calibri"/>
                <w:b/>
                <w:i/>
                <w:color w:val="FFFFFF" w:themeColor="background1"/>
                <w:szCs w:val="22"/>
              </w:rPr>
            </w:pPr>
            <w:r w:rsidRPr="00666BAC">
              <w:rPr>
                <w:rFonts w:cs="Calibri"/>
                <w:b/>
                <w:i/>
                <w:color w:val="FFFFFF" w:themeColor="background1"/>
                <w:szCs w:val="22"/>
              </w:rPr>
              <w:t>Doctors</w:t>
            </w:r>
          </w:p>
        </w:tc>
        <w:tc>
          <w:tcPr>
            <w:tcW w:w="2693" w:type="dxa"/>
            <w:shd w:val="clear" w:color="auto" w:fill="C00000"/>
            <w:vAlign w:val="center"/>
          </w:tcPr>
          <w:p w:rsidR="000B7CAA" w:rsidRPr="00666BAC" w:rsidRDefault="00591D15" w:rsidP="000B7CAA">
            <w:pPr>
              <w:jc w:val="center"/>
              <w:rPr>
                <w:b/>
                <w:i/>
                <w:color w:val="FFFFFF" w:themeColor="background1"/>
                <w:szCs w:val="22"/>
              </w:rPr>
            </w:pPr>
            <w:r w:rsidRPr="00666BAC">
              <w:rPr>
                <w:b/>
                <w:i/>
                <w:color w:val="FFFFFF" w:themeColor="background1"/>
                <w:szCs w:val="22"/>
              </w:rPr>
              <w:t>243 (77)</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Anaesthetist</w:t>
            </w:r>
          </w:p>
        </w:tc>
        <w:tc>
          <w:tcPr>
            <w:tcW w:w="2693" w:type="dxa"/>
            <w:shd w:val="clear" w:color="auto" w:fill="FFFFFF" w:themeFill="background1"/>
            <w:vAlign w:val="center"/>
          </w:tcPr>
          <w:p w:rsidR="000B7CAA" w:rsidRPr="00666BAC" w:rsidRDefault="00591D15" w:rsidP="000B7CAA">
            <w:pPr>
              <w:jc w:val="center"/>
              <w:rPr>
                <w:color w:val="000000"/>
                <w:szCs w:val="22"/>
              </w:rPr>
            </w:pPr>
            <w:r w:rsidRPr="00666BAC">
              <w:rPr>
                <w:color w:val="000000"/>
                <w:szCs w:val="22"/>
              </w:rPr>
              <w:t>5 (2)</w:t>
            </w:r>
          </w:p>
        </w:tc>
      </w:tr>
      <w:tr w:rsidR="00A872C1" w:rsidRPr="00666BAC" w:rsidTr="000B7CAA">
        <w:trPr>
          <w:trHeight w:val="185"/>
        </w:trPr>
        <w:tc>
          <w:tcPr>
            <w:tcW w:w="4253" w:type="dxa"/>
            <w:shd w:val="clear" w:color="auto" w:fill="FFFFFF" w:themeFill="background1"/>
            <w:vAlign w:val="bottom"/>
          </w:tcPr>
          <w:p w:rsidR="00A872C1" w:rsidRPr="00666BAC" w:rsidRDefault="00A872C1" w:rsidP="000B7CAA">
            <w:pPr>
              <w:jc w:val="left"/>
              <w:rPr>
                <w:rFonts w:cs="Calibri"/>
                <w:color w:val="000000"/>
                <w:szCs w:val="22"/>
              </w:rPr>
            </w:pPr>
            <w:r w:rsidRPr="00666BAC">
              <w:rPr>
                <w:rFonts w:cs="Calibri"/>
                <w:color w:val="000000"/>
                <w:szCs w:val="22"/>
              </w:rPr>
              <w:t>Cardiothoracic surgeon</w:t>
            </w:r>
          </w:p>
        </w:tc>
        <w:tc>
          <w:tcPr>
            <w:tcW w:w="2693" w:type="dxa"/>
            <w:shd w:val="clear" w:color="auto" w:fill="FFFFFF" w:themeFill="background1"/>
            <w:vAlign w:val="center"/>
          </w:tcPr>
          <w:p w:rsidR="00A872C1" w:rsidRPr="00666BAC" w:rsidRDefault="00A872C1" w:rsidP="000B7CAA">
            <w:pPr>
              <w:jc w:val="center"/>
              <w:rPr>
                <w:color w:val="000000"/>
                <w:szCs w:val="22"/>
              </w:rPr>
            </w:pPr>
            <w:r w:rsidRPr="00666BAC">
              <w:rPr>
                <w:color w:val="000000"/>
                <w:szCs w:val="22"/>
              </w:rPr>
              <w:t>3</w:t>
            </w:r>
            <w:r w:rsidR="00591D15" w:rsidRPr="00666BAC">
              <w:rPr>
                <w:color w:val="000000"/>
                <w:szCs w:val="22"/>
              </w:rPr>
              <w:t xml:space="preserve"> (1)</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General surgeon</w:t>
            </w:r>
          </w:p>
        </w:tc>
        <w:tc>
          <w:tcPr>
            <w:tcW w:w="2693" w:type="dxa"/>
            <w:shd w:val="clear" w:color="auto" w:fill="FFFFFF" w:themeFill="background1"/>
            <w:vAlign w:val="center"/>
          </w:tcPr>
          <w:p w:rsidR="000B7CAA" w:rsidRPr="00666BAC" w:rsidRDefault="00A872C1" w:rsidP="000B7CAA">
            <w:pPr>
              <w:jc w:val="center"/>
              <w:rPr>
                <w:color w:val="000000"/>
                <w:szCs w:val="22"/>
              </w:rPr>
            </w:pPr>
            <w:r w:rsidRPr="00666BAC">
              <w:rPr>
                <w:color w:val="000000"/>
                <w:szCs w:val="22"/>
              </w:rPr>
              <w:t>2</w:t>
            </w:r>
            <w:r w:rsidR="00591D15" w:rsidRPr="00666BAC">
              <w:rPr>
                <w:color w:val="000000"/>
                <w:szCs w:val="22"/>
              </w:rPr>
              <w:t>5 (8)</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House officer</w:t>
            </w:r>
          </w:p>
        </w:tc>
        <w:tc>
          <w:tcPr>
            <w:tcW w:w="2693" w:type="dxa"/>
            <w:shd w:val="clear" w:color="auto" w:fill="FFFFFF" w:themeFill="background1"/>
            <w:vAlign w:val="center"/>
          </w:tcPr>
          <w:p w:rsidR="000B7CAA" w:rsidRPr="00666BAC" w:rsidRDefault="00A872C1" w:rsidP="000B7CAA">
            <w:pPr>
              <w:jc w:val="center"/>
              <w:rPr>
                <w:color w:val="000000"/>
                <w:szCs w:val="22"/>
              </w:rPr>
            </w:pPr>
            <w:r w:rsidRPr="00666BAC">
              <w:rPr>
                <w:color w:val="000000"/>
                <w:szCs w:val="22"/>
              </w:rPr>
              <w:t>3</w:t>
            </w:r>
            <w:r w:rsidR="00591D15" w:rsidRPr="00666BAC">
              <w:rPr>
                <w:color w:val="000000"/>
                <w:szCs w:val="22"/>
              </w:rPr>
              <w:t xml:space="preserve"> (1)</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Internal medicine specialist</w:t>
            </w:r>
          </w:p>
        </w:tc>
        <w:tc>
          <w:tcPr>
            <w:tcW w:w="2693" w:type="dxa"/>
            <w:shd w:val="clear" w:color="auto" w:fill="FFFFFF" w:themeFill="background1"/>
            <w:vAlign w:val="center"/>
          </w:tcPr>
          <w:p w:rsidR="000B7CAA" w:rsidRPr="00666BAC" w:rsidRDefault="00591D15" w:rsidP="000B7CAA">
            <w:pPr>
              <w:jc w:val="center"/>
              <w:rPr>
                <w:color w:val="000000"/>
                <w:szCs w:val="22"/>
              </w:rPr>
            </w:pPr>
            <w:r w:rsidRPr="00666BAC">
              <w:rPr>
                <w:color w:val="000000"/>
                <w:szCs w:val="22"/>
              </w:rPr>
              <w:t>31 (10)</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Medical officer</w:t>
            </w:r>
          </w:p>
        </w:tc>
        <w:tc>
          <w:tcPr>
            <w:tcW w:w="2693" w:type="dxa"/>
            <w:shd w:val="clear" w:color="auto" w:fill="FFFFFF" w:themeFill="background1"/>
            <w:vAlign w:val="center"/>
          </w:tcPr>
          <w:p w:rsidR="000B7CAA" w:rsidRPr="00666BAC" w:rsidRDefault="00A872C1" w:rsidP="000B7CAA">
            <w:pPr>
              <w:jc w:val="center"/>
              <w:rPr>
                <w:color w:val="000000"/>
                <w:szCs w:val="22"/>
              </w:rPr>
            </w:pPr>
            <w:r w:rsidRPr="00666BAC">
              <w:rPr>
                <w:color w:val="000000"/>
                <w:szCs w:val="22"/>
              </w:rPr>
              <w:t>7</w:t>
            </w:r>
            <w:r w:rsidR="00591D15" w:rsidRPr="00666BAC">
              <w:rPr>
                <w:color w:val="000000"/>
                <w:szCs w:val="22"/>
              </w:rPr>
              <w:t xml:space="preserve"> (2)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Obstetrician/gynaecologist</w:t>
            </w:r>
          </w:p>
        </w:tc>
        <w:tc>
          <w:tcPr>
            <w:tcW w:w="2693" w:type="dxa"/>
            <w:shd w:val="clear" w:color="auto" w:fill="FFFFFF" w:themeFill="background1"/>
            <w:vAlign w:val="center"/>
          </w:tcPr>
          <w:p w:rsidR="000B7CAA" w:rsidRPr="00666BAC" w:rsidRDefault="00591D15" w:rsidP="000B7CAA">
            <w:pPr>
              <w:jc w:val="center"/>
              <w:rPr>
                <w:color w:val="000000"/>
                <w:szCs w:val="22"/>
              </w:rPr>
            </w:pPr>
            <w:r w:rsidRPr="00666BAC">
              <w:rPr>
                <w:color w:val="000000"/>
                <w:szCs w:val="22"/>
              </w:rPr>
              <w:t>30 (9)</w:t>
            </w:r>
          </w:p>
        </w:tc>
      </w:tr>
      <w:tr w:rsidR="00A872C1" w:rsidRPr="00666BAC" w:rsidTr="000B7CAA">
        <w:trPr>
          <w:trHeight w:val="185"/>
        </w:trPr>
        <w:tc>
          <w:tcPr>
            <w:tcW w:w="4253" w:type="dxa"/>
            <w:shd w:val="clear" w:color="auto" w:fill="FFFFFF" w:themeFill="background1"/>
            <w:vAlign w:val="bottom"/>
          </w:tcPr>
          <w:p w:rsidR="00A872C1" w:rsidRPr="00666BAC" w:rsidRDefault="00A872C1" w:rsidP="000B7CAA">
            <w:pPr>
              <w:jc w:val="left"/>
              <w:rPr>
                <w:rFonts w:cs="Calibri"/>
                <w:color w:val="000000"/>
                <w:szCs w:val="22"/>
              </w:rPr>
            </w:pPr>
            <w:r w:rsidRPr="00666BAC">
              <w:rPr>
                <w:rFonts w:cs="Calibri"/>
                <w:color w:val="000000"/>
                <w:szCs w:val="22"/>
              </w:rPr>
              <w:t>Ophthalmologist</w:t>
            </w:r>
          </w:p>
        </w:tc>
        <w:tc>
          <w:tcPr>
            <w:tcW w:w="2693" w:type="dxa"/>
            <w:shd w:val="clear" w:color="auto" w:fill="FFFFFF" w:themeFill="background1"/>
            <w:vAlign w:val="center"/>
          </w:tcPr>
          <w:p w:rsidR="00A872C1" w:rsidRPr="00666BAC" w:rsidRDefault="00A872C1" w:rsidP="000B7CAA">
            <w:pPr>
              <w:jc w:val="center"/>
              <w:rPr>
                <w:color w:val="000000"/>
                <w:szCs w:val="22"/>
              </w:rPr>
            </w:pPr>
            <w:r w:rsidRPr="00666BAC">
              <w:rPr>
                <w:color w:val="000000"/>
                <w:szCs w:val="22"/>
              </w:rPr>
              <w:t>5</w:t>
            </w:r>
            <w:r w:rsidR="00591D15" w:rsidRPr="00666BAC">
              <w:rPr>
                <w:color w:val="000000"/>
                <w:szCs w:val="22"/>
              </w:rPr>
              <w:t xml:space="preserve"> (2)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Orthopaedic surgeon</w:t>
            </w:r>
          </w:p>
        </w:tc>
        <w:tc>
          <w:tcPr>
            <w:tcW w:w="2693" w:type="dxa"/>
            <w:shd w:val="clear" w:color="auto" w:fill="FFFFFF" w:themeFill="background1"/>
            <w:vAlign w:val="center"/>
          </w:tcPr>
          <w:p w:rsidR="000B7CAA" w:rsidRPr="00666BAC" w:rsidRDefault="00A872C1" w:rsidP="000B7CAA">
            <w:pPr>
              <w:jc w:val="center"/>
              <w:rPr>
                <w:color w:val="000000"/>
                <w:szCs w:val="22"/>
              </w:rPr>
            </w:pPr>
            <w:r w:rsidRPr="00666BAC">
              <w:rPr>
                <w:color w:val="000000"/>
                <w:szCs w:val="22"/>
              </w:rPr>
              <w:t>2</w:t>
            </w:r>
            <w:r w:rsidR="00591D15" w:rsidRPr="00666BAC">
              <w:rPr>
                <w:color w:val="000000"/>
                <w:szCs w:val="22"/>
              </w:rPr>
              <w:t>6</w:t>
            </w:r>
            <w:r w:rsidR="00FC6AD2" w:rsidRPr="00666BAC">
              <w:rPr>
                <w:color w:val="000000"/>
                <w:szCs w:val="22"/>
              </w:rPr>
              <w:t xml:space="preserve"> (8)</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Otolaryngologist</w:t>
            </w:r>
          </w:p>
        </w:tc>
        <w:tc>
          <w:tcPr>
            <w:tcW w:w="2693" w:type="dxa"/>
            <w:shd w:val="clear" w:color="auto" w:fill="FFFFFF" w:themeFill="background1"/>
            <w:vAlign w:val="center"/>
          </w:tcPr>
          <w:p w:rsidR="000B7CAA" w:rsidRPr="00666BAC" w:rsidRDefault="00A872C1" w:rsidP="000B7CAA">
            <w:pPr>
              <w:jc w:val="center"/>
              <w:rPr>
                <w:color w:val="000000"/>
                <w:szCs w:val="22"/>
              </w:rPr>
            </w:pPr>
            <w:r w:rsidRPr="00666BAC">
              <w:rPr>
                <w:color w:val="000000"/>
                <w:szCs w:val="22"/>
              </w:rPr>
              <w:t>6</w:t>
            </w:r>
            <w:r w:rsidR="00FC6AD2" w:rsidRPr="00666BAC">
              <w:rPr>
                <w:color w:val="000000"/>
                <w:szCs w:val="22"/>
              </w:rPr>
              <w:t xml:space="preserve"> (2)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Paediatrician</w:t>
            </w:r>
          </w:p>
        </w:tc>
        <w:tc>
          <w:tcPr>
            <w:tcW w:w="2693" w:type="dxa"/>
            <w:shd w:val="clear" w:color="auto" w:fill="FFFFFF" w:themeFill="background1"/>
            <w:vAlign w:val="center"/>
          </w:tcPr>
          <w:p w:rsidR="000B7CAA" w:rsidRPr="00666BAC" w:rsidRDefault="00591D15" w:rsidP="000B7CAA">
            <w:pPr>
              <w:jc w:val="center"/>
              <w:rPr>
                <w:color w:val="000000"/>
                <w:szCs w:val="22"/>
              </w:rPr>
            </w:pPr>
            <w:r w:rsidRPr="00666BAC">
              <w:rPr>
                <w:color w:val="000000"/>
                <w:szCs w:val="22"/>
              </w:rPr>
              <w:t>7</w:t>
            </w:r>
            <w:r w:rsidR="00FC6AD2" w:rsidRPr="00666BAC">
              <w:rPr>
                <w:color w:val="000000"/>
                <w:szCs w:val="22"/>
              </w:rPr>
              <w:t xml:space="preserve"> (2)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Plastic and reconstructive surgeon</w:t>
            </w:r>
          </w:p>
        </w:tc>
        <w:tc>
          <w:tcPr>
            <w:tcW w:w="2693" w:type="dxa"/>
            <w:shd w:val="clear" w:color="auto" w:fill="FFFFFF" w:themeFill="background1"/>
            <w:vAlign w:val="center"/>
          </w:tcPr>
          <w:p w:rsidR="000B7CAA" w:rsidRPr="00666BAC" w:rsidRDefault="00591D15" w:rsidP="000B7CAA">
            <w:pPr>
              <w:jc w:val="center"/>
              <w:rPr>
                <w:color w:val="000000"/>
                <w:szCs w:val="22"/>
              </w:rPr>
            </w:pPr>
            <w:r w:rsidRPr="00666BAC">
              <w:rPr>
                <w:color w:val="000000"/>
                <w:szCs w:val="22"/>
              </w:rPr>
              <w:t>8</w:t>
            </w:r>
            <w:r w:rsidR="00FC6AD2" w:rsidRPr="00666BAC">
              <w:rPr>
                <w:color w:val="000000"/>
                <w:szCs w:val="22"/>
              </w:rPr>
              <w:t xml:space="preserve"> (3)</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Psychiatrist</w:t>
            </w:r>
          </w:p>
        </w:tc>
        <w:tc>
          <w:tcPr>
            <w:tcW w:w="2693" w:type="dxa"/>
            <w:shd w:val="clear" w:color="auto" w:fill="FFFFFF" w:themeFill="background1"/>
            <w:vAlign w:val="center"/>
          </w:tcPr>
          <w:p w:rsidR="000B7CAA" w:rsidRPr="00666BAC" w:rsidRDefault="00A872C1" w:rsidP="000B7CAA">
            <w:pPr>
              <w:jc w:val="center"/>
              <w:rPr>
                <w:color w:val="000000"/>
                <w:szCs w:val="22"/>
              </w:rPr>
            </w:pPr>
            <w:r w:rsidRPr="00666BAC">
              <w:rPr>
                <w:color w:val="000000"/>
                <w:szCs w:val="22"/>
              </w:rPr>
              <w:t>3</w:t>
            </w:r>
            <w:r w:rsidR="00591D15" w:rsidRPr="00666BAC">
              <w:rPr>
                <w:color w:val="000000"/>
                <w:szCs w:val="22"/>
              </w:rPr>
              <w:t>9</w:t>
            </w:r>
            <w:r w:rsidR="00523AD3">
              <w:rPr>
                <w:color w:val="000000"/>
                <w:szCs w:val="22"/>
              </w:rPr>
              <w:t xml:space="preserve"> (12</w:t>
            </w:r>
            <w:r w:rsidR="00FC6AD2" w:rsidRPr="00666BAC">
              <w:rPr>
                <w:color w:val="000000"/>
                <w:szCs w:val="22"/>
              </w:rPr>
              <w:t>)</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FC6AD2">
            <w:pPr>
              <w:jc w:val="left"/>
              <w:rPr>
                <w:rFonts w:cs="Calibri"/>
                <w:color w:val="000000"/>
                <w:szCs w:val="22"/>
              </w:rPr>
            </w:pPr>
            <w:r w:rsidRPr="00666BAC">
              <w:rPr>
                <w:rFonts w:cs="Calibri"/>
                <w:color w:val="000000"/>
                <w:szCs w:val="22"/>
              </w:rPr>
              <w:t>Radiation oncologist</w:t>
            </w:r>
          </w:p>
        </w:tc>
        <w:tc>
          <w:tcPr>
            <w:tcW w:w="2693" w:type="dxa"/>
            <w:shd w:val="clear" w:color="auto" w:fill="FFFFFF" w:themeFill="background1"/>
            <w:vAlign w:val="center"/>
          </w:tcPr>
          <w:p w:rsidR="00FC6AD2" w:rsidRPr="00666BAC" w:rsidRDefault="00FC6AD2" w:rsidP="00FC6AD2">
            <w:pPr>
              <w:jc w:val="center"/>
              <w:rPr>
                <w:color w:val="000000"/>
                <w:szCs w:val="22"/>
              </w:rPr>
            </w:pPr>
            <w:r w:rsidRPr="00666BAC">
              <w:rPr>
                <w:color w:val="000000"/>
                <w:szCs w:val="22"/>
              </w:rPr>
              <w:t>3 (1)</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Radiologist</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3 (1)</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Registrar</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20 (6)</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 xml:space="preserve">Urologist </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6 (2)</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Other</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16 (5)</w:t>
            </w:r>
          </w:p>
        </w:tc>
      </w:tr>
      <w:tr w:rsidR="00FC6AD2" w:rsidRPr="00666BAC" w:rsidTr="000B7CAA">
        <w:trPr>
          <w:trHeight w:val="185"/>
        </w:trPr>
        <w:tc>
          <w:tcPr>
            <w:tcW w:w="4253" w:type="dxa"/>
            <w:shd w:val="clear" w:color="auto" w:fill="C00000"/>
            <w:vAlign w:val="bottom"/>
          </w:tcPr>
          <w:p w:rsidR="00FC6AD2" w:rsidRPr="00666BAC" w:rsidRDefault="00FC6AD2" w:rsidP="000B7CAA">
            <w:pPr>
              <w:jc w:val="left"/>
              <w:rPr>
                <w:rFonts w:cs="Calibri"/>
                <w:b/>
                <w:i/>
                <w:color w:val="FFFFFF" w:themeColor="background1"/>
                <w:szCs w:val="22"/>
              </w:rPr>
            </w:pPr>
            <w:r w:rsidRPr="00666BAC">
              <w:rPr>
                <w:rFonts w:cs="Calibri"/>
                <w:b/>
                <w:i/>
                <w:color w:val="FFFFFF" w:themeColor="background1"/>
                <w:szCs w:val="22"/>
              </w:rPr>
              <w:t>Other health providers</w:t>
            </w:r>
          </w:p>
        </w:tc>
        <w:tc>
          <w:tcPr>
            <w:tcW w:w="2693" w:type="dxa"/>
            <w:shd w:val="clear" w:color="auto" w:fill="C00000"/>
            <w:vAlign w:val="center"/>
          </w:tcPr>
          <w:p w:rsidR="00FC6AD2" w:rsidRPr="00666BAC" w:rsidRDefault="00FC6AD2" w:rsidP="000B7CAA">
            <w:pPr>
              <w:jc w:val="center"/>
              <w:rPr>
                <w:b/>
                <w:i/>
                <w:color w:val="FFFFFF" w:themeColor="background1"/>
                <w:szCs w:val="22"/>
              </w:rPr>
            </w:pPr>
            <w:r w:rsidRPr="00666BAC">
              <w:rPr>
                <w:b/>
                <w:i/>
                <w:color w:val="FFFFFF" w:themeColor="background1"/>
                <w:szCs w:val="22"/>
              </w:rPr>
              <w:t>73 (23)</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Midwife</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12 (4)</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Nurse</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36 (11)</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Occupational therapist</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3 (1)</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Psychologist</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8 (3)</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Social worker</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8 (3)</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Other</w:t>
            </w:r>
          </w:p>
        </w:tc>
        <w:tc>
          <w:tcPr>
            <w:tcW w:w="2693" w:type="dxa"/>
            <w:shd w:val="clear" w:color="auto" w:fill="FFFFFF" w:themeFill="background1"/>
            <w:vAlign w:val="center"/>
          </w:tcPr>
          <w:p w:rsidR="00FC6AD2" w:rsidRPr="00666BAC" w:rsidRDefault="00FC6AD2" w:rsidP="000B7CAA">
            <w:pPr>
              <w:jc w:val="center"/>
              <w:rPr>
                <w:color w:val="000000"/>
                <w:szCs w:val="22"/>
              </w:rPr>
            </w:pPr>
            <w:r w:rsidRPr="00666BAC">
              <w:rPr>
                <w:color w:val="000000"/>
                <w:szCs w:val="22"/>
              </w:rPr>
              <w:t>6 (2)</w:t>
            </w:r>
          </w:p>
        </w:tc>
      </w:tr>
      <w:tr w:rsidR="00FC6AD2" w:rsidRPr="00666BAC" w:rsidTr="000B7CAA">
        <w:trPr>
          <w:trHeight w:val="185"/>
        </w:trPr>
        <w:tc>
          <w:tcPr>
            <w:tcW w:w="4253" w:type="dxa"/>
            <w:shd w:val="clear" w:color="auto" w:fill="C00000"/>
            <w:vAlign w:val="bottom"/>
          </w:tcPr>
          <w:p w:rsidR="00FC6AD2" w:rsidRPr="00666BAC" w:rsidRDefault="00FC6AD2" w:rsidP="000B7CAA">
            <w:pPr>
              <w:jc w:val="left"/>
              <w:rPr>
                <w:rFonts w:cs="Calibri"/>
                <w:b/>
                <w:color w:val="FFFFFF" w:themeColor="background1"/>
                <w:szCs w:val="22"/>
              </w:rPr>
            </w:pPr>
            <w:r w:rsidRPr="00666BAC">
              <w:rPr>
                <w:rFonts w:cs="Calibri"/>
                <w:b/>
                <w:color w:val="FFFFFF" w:themeColor="background1"/>
                <w:szCs w:val="22"/>
              </w:rPr>
              <w:t>TOTAL</w:t>
            </w:r>
          </w:p>
        </w:tc>
        <w:tc>
          <w:tcPr>
            <w:tcW w:w="2693" w:type="dxa"/>
            <w:shd w:val="clear" w:color="auto" w:fill="C00000"/>
            <w:vAlign w:val="center"/>
          </w:tcPr>
          <w:p w:rsidR="00FC6AD2" w:rsidRPr="00666BAC" w:rsidRDefault="00FC6AD2" w:rsidP="000B7CAA">
            <w:pPr>
              <w:jc w:val="center"/>
              <w:rPr>
                <w:b/>
                <w:color w:val="FFFFFF" w:themeColor="background1"/>
                <w:szCs w:val="22"/>
              </w:rPr>
            </w:pPr>
            <w:r w:rsidRPr="00666BAC">
              <w:rPr>
                <w:b/>
                <w:color w:val="FFFFFF" w:themeColor="background1"/>
                <w:szCs w:val="22"/>
              </w:rPr>
              <w:t>316</w:t>
            </w:r>
          </w:p>
        </w:tc>
      </w:tr>
    </w:tbl>
    <w:p w:rsidR="000B7CAA" w:rsidRPr="00666BAC" w:rsidRDefault="004E3378" w:rsidP="0028425E">
      <w:pPr>
        <w:spacing w:before="120"/>
      </w:pPr>
      <w:r w:rsidRPr="00666BAC">
        <w:t>Over t</w:t>
      </w:r>
      <w:r w:rsidR="000B7CAA" w:rsidRPr="00666BAC">
        <w:t>hree quarters of the individual providers identified in DHB</w:t>
      </w:r>
      <w:r w:rsidR="00FC6AD2" w:rsidRPr="00666BAC">
        <w:t xml:space="preserve"> complaints received in the 2015/16 year were doctors</w:t>
      </w:r>
      <w:r w:rsidR="00951B35" w:rsidRPr="00666BAC">
        <w:t xml:space="preserve">. </w:t>
      </w:r>
      <w:r w:rsidR="000B7CAA" w:rsidRPr="00666BAC">
        <w:t>It is likely that doctors are more often seen by complainants as being responsible for the services provided and the outcomes of those services and are, therefore, more frequently viewed as individually responsible for any perceived shortcomings.</w:t>
      </w:r>
    </w:p>
    <w:p w:rsidR="008F2105" w:rsidRPr="00666BAC" w:rsidRDefault="008F2105" w:rsidP="008F2105">
      <w:pPr>
        <w:rPr>
          <w:lang w:bidi="ar-SA"/>
        </w:rPr>
      </w:pPr>
    </w:p>
    <w:p w:rsidR="008F2105" w:rsidRPr="00666BAC" w:rsidRDefault="004E3378" w:rsidP="008F2105">
      <w:pPr>
        <w:rPr>
          <w:lang w:bidi="ar-SA"/>
        </w:rPr>
      </w:pPr>
      <w:r w:rsidRPr="00666BAC">
        <w:rPr>
          <w:lang w:bidi="ar-SA"/>
        </w:rPr>
        <w:t>The most commonly identified individual provider oc</w:t>
      </w:r>
      <w:r w:rsidR="00523AD3">
        <w:rPr>
          <w:lang w:bidi="ar-SA"/>
        </w:rPr>
        <w:t>cupations were psychiatrists (12</w:t>
      </w:r>
      <w:r w:rsidRPr="00666BAC">
        <w:rPr>
          <w:lang w:bidi="ar-SA"/>
        </w:rPr>
        <w:t>%)</w:t>
      </w:r>
      <w:r w:rsidR="00FC6AD2" w:rsidRPr="00666BAC">
        <w:rPr>
          <w:lang w:bidi="ar-SA"/>
        </w:rPr>
        <w:t>, nurses (11%) and</w:t>
      </w:r>
      <w:r w:rsidRPr="00666BAC">
        <w:rPr>
          <w:lang w:bidi="ar-SA"/>
        </w:rPr>
        <w:t xml:space="preserve"> i</w:t>
      </w:r>
      <w:r w:rsidR="00FC6AD2" w:rsidRPr="00666BAC">
        <w:rPr>
          <w:lang w:bidi="ar-SA"/>
        </w:rPr>
        <w:t>nternal medicine specialists (10</w:t>
      </w:r>
      <w:r w:rsidRPr="00666BAC">
        <w:rPr>
          <w:lang w:bidi="ar-SA"/>
        </w:rPr>
        <w:t>%)</w:t>
      </w:r>
      <w:r w:rsidR="000128B9">
        <w:rPr>
          <w:lang w:bidi="ar-SA"/>
        </w:rPr>
        <w:t>.</w:t>
      </w:r>
      <w:r w:rsidR="00FC6AD2" w:rsidRPr="00666BAC">
        <w:rPr>
          <w:lang w:bidi="ar-SA"/>
        </w:rPr>
        <w:t xml:space="preserve"> </w:t>
      </w:r>
      <w:r w:rsidRPr="00666BAC">
        <w:rPr>
          <w:lang w:bidi="ar-SA"/>
        </w:rPr>
        <w:t>This is reflective of</w:t>
      </w:r>
      <w:r w:rsidR="00951B35" w:rsidRPr="00666BAC">
        <w:rPr>
          <w:lang w:bidi="ar-SA"/>
        </w:rPr>
        <w:t xml:space="preserve"> the fact that</w:t>
      </w:r>
      <w:r w:rsidRPr="00666BAC">
        <w:rPr>
          <w:lang w:bidi="ar-SA"/>
        </w:rPr>
        <w:t xml:space="preserve"> mental health and general medicine </w:t>
      </w:r>
      <w:r w:rsidR="00951B35" w:rsidRPr="00666BAC">
        <w:rPr>
          <w:lang w:bidi="ar-SA"/>
        </w:rPr>
        <w:t>were</w:t>
      </w:r>
      <w:r w:rsidRPr="00666BAC">
        <w:rPr>
          <w:lang w:bidi="ar-SA"/>
        </w:rPr>
        <w:t xml:space="preserve"> two of the most </w:t>
      </w:r>
      <w:r w:rsidR="002D7651" w:rsidRPr="00666BAC">
        <w:rPr>
          <w:lang w:bidi="ar-SA"/>
        </w:rPr>
        <w:t>commonly</w:t>
      </w:r>
      <w:r w:rsidRPr="00666BAC">
        <w:rPr>
          <w:lang w:bidi="ar-SA"/>
        </w:rPr>
        <w:t xml:space="preserve"> complained about service </w:t>
      </w:r>
      <w:r w:rsidR="00951B35" w:rsidRPr="00666BAC">
        <w:rPr>
          <w:lang w:bidi="ar-SA"/>
        </w:rPr>
        <w:t>types</w:t>
      </w:r>
      <w:r w:rsidRPr="00666BAC">
        <w:rPr>
          <w:lang w:bidi="ar-SA"/>
        </w:rPr>
        <w:t xml:space="preserve">. </w:t>
      </w:r>
    </w:p>
    <w:p w:rsidR="002D7651" w:rsidRDefault="002D7651" w:rsidP="008F2105">
      <w:pPr>
        <w:rPr>
          <w:lang w:bidi="ar-SA"/>
        </w:rPr>
      </w:pPr>
    </w:p>
    <w:p w:rsidR="00746ACF" w:rsidRDefault="00746ACF" w:rsidP="008F2105">
      <w:pPr>
        <w:rPr>
          <w:lang w:bidi="ar-SA"/>
        </w:rPr>
      </w:pPr>
    </w:p>
    <w:p w:rsidR="00746ACF" w:rsidRDefault="00746ACF" w:rsidP="008F2105">
      <w:pPr>
        <w:rPr>
          <w:lang w:bidi="ar-SA"/>
        </w:rPr>
      </w:pPr>
    </w:p>
    <w:p w:rsidR="00746ACF" w:rsidRDefault="00746ACF" w:rsidP="008F2105">
      <w:pPr>
        <w:rPr>
          <w:lang w:bidi="ar-SA"/>
        </w:rPr>
      </w:pPr>
    </w:p>
    <w:p w:rsidR="00746ACF" w:rsidRDefault="00746ACF" w:rsidP="008F2105">
      <w:pPr>
        <w:rPr>
          <w:lang w:bidi="ar-SA"/>
        </w:rPr>
      </w:pPr>
    </w:p>
    <w:p w:rsidR="00746ACF" w:rsidRDefault="00746ACF" w:rsidP="008F2105">
      <w:pPr>
        <w:rPr>
          <w:lang w:bidi="ar-SA"/>
        </w:rPr>
      </w:pPr>
    </w:p>
    <w:p w:rsidR="00746ACF" w:rsidRPr="00666BAC" w:rsidRDefault="00746ACF" w:rsidP="008F2105">
      <w:pPr>
        <w:rPr>
          <w:lang w:bidi="ar-SA"/>
        </w:rPr>
      </w:pPr>
    </w:p>
    <w:p w:rsidR="00FC6AD2" w:rsidRDefault="000F3FC7" w:rsidP="008F2105">
      <w:pPr>
        <w:rPr>
          <w:lang w:bidi="ar-SA"/>
        </w:rPr>
      </w:pPr>
      <w:r w:rsidRPr="00666BAC">
        <w:rPr>
          <w:szCs w:val="22"/>
        </w:rPr>
        <w:t>A yearly comparison of the proportion of complaints received for the most commonly complained ab</w:t>
      </w:r>
      <w:r w:rsidR="00FC6AD2" w:rsidRPr="00666BAC">
        <w:rPr>
          <w:szCs w:val="22"/>
        </w:rPr>
        <w:t>out individual providers in 2015/16</w:t>
      </w:r>
      <w:r w:rsidRPr="00666BAC">
        <w:rPr>
          <w:szCs w:val="22"/>
        </w:rPr>
        <w:t xml:space="preserve"> </w:t>
      </w:r>
      <w:r w:rsidR="002D7651" w:rsidRPr="00666BAC">
        <w:rPr>
          <w:lang w:bidi="ar-SA"/>
        </w:rPr>
        <w:t>is displayed below in Table 4.</w:t>
      </w:r>
    </w:p>
    <w:p w:rsidR="00746ACF" w:rsidRPr="00666BAC" w:rsidRDefault="00746ACF" w:rsidP="008F2105">
      <w:pPr>
        <w:rPr>
          <w:lang w:bidi="ar-SA"/>
        </w:rPr>
      </w:pPr>
    </w:p>
    <w:p w:rsidR="008F2105" w:rsidRPr="00666BAC" w:rsidRDefault="002D7651" w:rsidP="00820319">
      <w:pPr>
        <w:widowControl w:val="0"/>
        <w:spacing w:after="120"/>
        <w:rPr>
          <w:szCs w:val="22"/>
        </w:rPr>
      </w:pPr>
      <w:r w:rsidRPr="00666BAC">
        <w:rPr>
          <w:b/>
          <w:szCs w:val="22"/>
        </w:rPr>
        <w:t xml:space="preserve">Table 4. </w:t>
      </w:r>
      <w:r w:rsidR="000F3FC7" w:rsidRPr="00666BAC">
        <w:rPr>
          <w:szCs w:val="22"/>
        </w:rPr>
        <w:t>Yearly comparison of the proportion of complaints received about the most commonly complained about individual providers</w:t>
      </w:r>
      <w:r w:rsidR="00FC6AD2" w:rsidRPr="00666BAC">
        <w:rPr>
          <w:szCs w:val="22"/>
        </w:rPr>
        <w:t xml:space="preserve"> in 2015/16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1806"/>
        <w:gridCol w:w="1808"/>
        <w:gridCol w:w="1460"/>
      </w:tblGrid>
      <w:tr w:rsidR="00FC6AD2" w:rsidRPr="00666BAC" w:rsidTr="00FC6AD2">
        <w:trPr>
          <w:trHeight w:val="624"/>
          <w:tblHeader/>
        </w:trPr>
        <w:tc>
          <w:tcPr>
            <w:tcW w:w="4116" w:type="dxa"/>
            <w:shd w:val="clear" w:color="auto" w:fill="C00000"/>
          </w:tcPr>
          <w:p w:rsidR="00FC6AD2" w:rsidRPr="00666BAC" w:rsidRDefault="00FC6AD2" w:rsidP="000F3FC7">
            <w:pPr>
              <w:tabs>
                <w:tab w:val="left" w:pos="1440"/>
                <w:tab w:val="decimal" w:pos="4320"/>
              </w:tabs>
              <w:spacing w:before="120" w:after="120"/>
              <w:jc w:val="center"/>
              <w:outlineLvl w:val="0"/>
              <w:rPr>
                <w:b/>
                <w:szCs w:val="22"/>
                <w:vertAlign w:val="superscript"/>
              </w:rPr>
            </w:pPr>
            <w:r w:rsidRPr="00666BAC">
              <w:rPr>
                <w:b/>
                <w:szCs w:val="22"/>
              </w:rPr>
              <w:t>Occupation</w:t>
            </w:r>
          </w:p>
        </w:tc>
        <w:tc>
          <w:tcPr>
            <w:tcW w:w="1806" w:type="dxa"/>
            <w:shd w:val="clear" w:color="auto" w:fill="C00000"/>
          </w:tcPr>
          <w:p w:rsidR="00FC6AD2" w:rsidRPr="00666BAC" w:rsidRDefault="00FC6AD2" w:rsidP="000F3FC7">
            <w:pPr>
              <w:tabs>
                <w:tab w:val="left" w:pos="1440"/>
                <w:tab w:val="decimal" w:pos="4320"/>
              </w:tabs>
              <w:spacing w:before="120" w:after="120"/>
              <w:jc w:val="center"/>
              <w:outlineLvl w:val="0"/>
              <w:rPr>
                <w:b/>
                <w:szCs w:val="22"/>
              </w:rPr>
            </w:pPr>
            <w:r w:rsidRPr="00666BAC">
              <w:rPr>
                <w:b/>
                <w:szCs w:val="22"/>
              </w:rPr>
              <w:t>2013/14</w:t>
            </w:r>
          </w:p>
        </w:tc>
        <w:tc>
          <w:tcPr>
            <w:tcW w:w="1808" w:type="dxa"/>
            <w:shd w:val="clear" w:color="auto" w:fill="C00000"/>
          </w:tcPr>
          <w:p w:rsidR="00FC6AD2" w:rsidRPr="00666BAC" w:rsidRDefault="00FC6AD2" w:rsidP="000F3FC7">
            <w:pPr>
              <w:tabs>
                <w:tab w:val="left" w:pos="1440"/>
                <w:tab w:val="decimal" w:pos="4320"/>
              </w:tabs>
              <w:spacing w:before="120" w:after="120"/>
              <w:jc w:val="center"/>
              <w:outlineLvl w:val="0"/>
              <w:rPr>
                <w:b/>
                <w:szCs w:val="22"/>
              </w:rPr>
            </w:pPr>
            <w:r w:rsidRPr="00666BAC">
              <w:rPr>
                <w:b/>
                <w:szCs w:val="22"/>
              </w:rPr>
              <w:t>2014/15</w:t>
            </w:r>
          </w:p>
        </w:tc>
        <w:tc>
          <w:tcPr>
            <w:tcW w:w="1460" w:type="dxa"/>
            <w:shd w:val="clear" w:color="auto" w:fill="C00000"/>
          </w:tcPr>
          <w:p w:rsidR="00FC6AD2" w:rsidRPr="00666BAC" w:rsidRDefault="004F4A2F" w:rsidP="000F3FC7">
            <w:pPr>
              <w:tabs>
                <w:tab w:val="left" w:pos="1440"/>
                <w:tab w:val="decimal" w:pos="4320"/>
              </w:tabs>
              <w:spacing w:before="120" w:after="120"/>
              <w:jc w:val="center"/>
              <w:outlineLvl w:val="0"/>
              <w:rPr>
                <w:b/>
                <w:szCs w:val="22"/>
              </w:rPr>
            </w:pPr>
            <w:r>
              <w:rPr>
                <w:b/>
                <w:szCs w:val="22"/>
              </w:rPr>
              <w:t>2015/</w:t>
            </w:r>
            <w:r w:rsidR="00FC6AD2" w:rsidRPr="00666BAC">
              <w:rPr>
                <w:b/>
                <w:szCs w:val="22"/>
              </w:rPr>
              <w:t>16</w:t>
            </w:r>
          </w:p>
        </w:tc>
      </w:tr>
      <w:tr w:rsidR="00FC6AD2" w:rsidRPr="00666BAC" w:rsidTr="00FC6AD2">
        <w:trPr>
          <w:trHeight w:val="278"/>
        </w:trPr>
        <w:tc>
          <w:tcPr>
            <w:tcW w:w="4116" w:type="dxa"/>
            <w:vAlign w:val="bottom"/>
          </w:tcPr>
          <w:p w:rsidR="00FC6AD2" w:rsidRPr="00666BAC" w:rsidRDefault="00FC6AD2" w:rsidP="00820319">
            <w:pPr>
              <w:jc w:val="left"/>
              <w:rPr>
                <w:rFonts w:cs="Calibri"/>
                <w:b/>
                <w:color w:val="000000"/>
                <w:szCs w:val="22"/>
              </w:rPr>
            </w:pPr>
            <w:r w:rsidRPr="00666BAC">
              <w:rPr>
                <w:rFonts w:cs="Calibri"/>
                <w:b/>
                <w:color w:val="000000"/>
                <w:szCs w:val="22"/>
              </w:rPr>
              <w:t>Psychiatrist</w:t>
            </w:r>
          </w:p>
        </w:tc>
        <w:tc>
          <w:tcPr>
            <w:tcW w:w="1806"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9%</w:t>
            </w:r>
          </w:p>
        </w:tc>
        <w:tc>
          <w:tcPr>
            <w:tcW w:w="1808"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15%</w:t>
            </w:r>
          </w:p>
        </w:tc>
        <w:tc>
          <w:tcPr>
            <w:tcW w:w="1460" w:type="dxa"/>
            <w:vAlign w:val="bottom"/>
          </w:tcPr>
          <w:p w:rsidR="00FC6AD2" w:rsidRPr="00666BAC" w:rsidRDefault="00523AD3" w:rsidP="00FC6AD2">
            <w:pPr>
              <w:jc w:val="center"/>
              <w:rPr>
                <w:rFonts w:cs="Calibri"/>
                <w:b/>
                <w:color w:val="000000"/>
                <w:szCs w:val="22"/>
              </w:rPr>
            </w:pPr>
            <w:r>
              <w:rPr>
                <w:rFonts w:cs="Calibri"/>
                <w:b/>
                <w:color w:val="000000"/>
                <w:szCs w:val="22"/>
              </w:rPr>
              <w:t>12</w:t>
            </w:r>
            <w:r w:rsidR="00FC6AD2" w:rsidRPr="00666BAC">
              <w:rPr>
                <w:rFonts w:cs="Calibri"/>
                <w:b/>
                <w:color w:val="000000"/>
                <w:szCs w:val="22"/>
              </w:rPr>
              <w:t>%</w:t>
            </w:r>
          </w:p>
        </w:tc>
      </w:tr>
      <w:tr w:rsidR="00FC6AD2" w:rsidRPr="00666BAC" w:rsidTr="00FC6AD2">
        <w:trPr>
          <w:trHeight w:val="267"/>
        </w:trPr>
        <w:tc>
          <w:tcPr>
            <w:tcW w:w="4116" w:type="dxa"/>
            <w:vAlign w:val="bottom"/>
          </w:tcPr>
          <w:p w:rsidR="00FC6AD2" w:rsidRPr="00666BAC" w:rsidRDefault="00FC6AD2" w:rsidP="00FC6AD2">
            <w:pPr>
              <w:rPr>
                <w:rFonts w:cs="Calibri"/>
                <w:b/>
                <w:color w:val="000000"/>
                <w:szCs w:val="22"/>
              </w:rPr>
            </w:pPr>
            <w:r w:rsidRPr="00666BAC">
              <w:rPr>
                <w:rFonts w:cs="Calibri"/>
                <w:b/>
                <w:color w:val="000000"/>
                <w:szCs w:val="22"/>
              </w:rPr>
              <w:t>Nurse</w:t>
            </w:r>
          </w:p>
        </w:tc>
        <w:tc>
          <w:tcPr>
            <w:tcW w:w="1806"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12%</w:t>
            </w:r>
          </w:p>
        </w:tc>
        <w:tc>
          <w:tcPr>
            <w:tcW w:w="1808"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11%</w:t>
            </w:r>
          </w:p>
        </w:tc>
        <w:tc>
          <w:tcPr>
            <w:tcW w:w="1460"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11%</w:t>
            </w:r>
          </w:p>
        </w:tc>
      </w:tr>
      <w:tr w:rsidR="00FC6AD2" w:rsidRPr="00666BAC" w:rsidTr="00FC6AD2">
        <w:trPr>
          <w:trHeight w:val="267"/>
        </w:trPr>
        <w:tc>
          <w:tcPr>
            <w:tcW w:w="4116" w:type="dxa"/>
            <w:vAlign w:val="bottom"/>
          </w:tcPr>
          <w:p w:rsidR="00FC6AD2" w:rsidRPr="00666BAC" w:rsidRDefault="00FC6AD2" w:rsidP="00820319">
            <w:pPr>
              <w:rPr>
                <w:rFonts w:cs="Calibri"/>
                <w:b/>
                <w:color w:val="000000"/>
                <w:szCs w:val="22"/>
              </w:rPr>
            </w:pPr>
            <w:r w:rsidRPr="00666BAC">
              <w:rPr>
                <w:rFonts w:cs="Calibri"/>
                <w:b/>
                <w:color w:val="000000"/>
                <w:szCs w:val="22"/>
              </w:rPr>
              <w:t>Internal medicine specialist</w:t>
            </w:r>
          </w:p>
        </w:tc>
        <w:tc>
          <w:tcPr>
            <w:tcW w:w="1806"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12%</w:t>
            </w:r>
          </w:p>
        </w:tc>
        <w:tc>
          <w:tcPr>
            <w:tcW w:w="1808"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12%</w:t>
            </w:r>
          </w:p>
        </w:tc>
        <w:tc>
          <w:tcPr>
            <w:tcW w:w="1460"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10%</w:t>
            </w:r>
          </w:p>
        </w:tc>
      </w:tr>
      <w:tr w:rsidR="00FC6AD2" w:rsidRPr="00666BAC" w:rsidTr="00FC6AD2">
        <w:trPr>
          <w:trHeight w:val="286"/>
        </w:trPr>
        <w:tc>
          <w:tcPr>
            <w:tcW w:w="4116" w:type="dxa"/>
            <w:vAlign w:val="bottom"/>
          </w:tcPr>
          <w:p w:rsidR="00FC6AD2" w:rsidRPr="00666BAC" w:rsidRDefault="00FC6AD2" w:rsidP="00820319">
            <w:pPr>
              <w:rPr>
                <w:rFonts w:cs="Calibri"/>
                <w:b/>
                <w:color w:val="000000"/>
                <w:szCs w:val="22"/>
              </w:rPr>
            </w:pPr>
            <w:r w:rsidRPr="00666BAC">
              <w:rPr>
                <w:rFonts w:cs="Calibri"/>
                <w:b/>
                <w:color w:val="000000"/>
                <w:szCs w:val="22"/>
              </w:rPr>
              <w:t>Obstetrician/gynaecologist</w:t>
            </w:r>
          </w:p>
        </w:tc>
        <w:tc>
          <w:tcPr>
            <w:tcW w:w="1806"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8%</w:t>
            </w:r>
          </w:p>
        </w:tc>
        <w:tc>
          <w:tcPr>
            <w:tcW w:w="1808"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8%</w:t>
            </w:r>
          </w:p>
        </w:tc>
        <w:tc>
          <w:tcPr>
            <w:tcW w:w="1460"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9%</w:t>
            </w:r>
          </w:p>
        </w:tc>
      </w:tr>
      <w:tr w:rsidR="00FC6AD2" w:rsidRPr="00666BAC" w:rsidTr="00FC6AD2">
        <w:trPr>
          <w:trHeight w:val="286"/>
        </w:trPr>
        <w:tc>
          <w:tcPr>
            <w:tcW w:w="4116" w:type="dxa"/>
            <w:vAlign w:val="bottom"/>
          </w:tcPr>
          <w:p w:rsidR="00FC6AD2" w:rsidRPr="00666BAC" w:rsidRDefault="00FC6AD2" w:rsidP="00820319">
            <w:pPr>
              <w:rPr>
                <w:rFonts w:cs="Calibri"/>
                <w:b/>
                <w:color w:val="000000"/>
                <w:szCs w:val="22"/>
              </w:rPr>
            </w:pPr>
            <w:r w:rsidRPr="00666BAC">
              <w:rPr>
                <w:rFonts w:cs="Calibri"/>
                <w:b/>
                <w:color w:val="000000"/>
                <w:szCs w:val="22"/>
              </w:rPr>
              <w:t>Orthopaedic surgeon</w:t>
            </w:r>
          </w:p>
        </w:tc>
        <w:tc>
          <w:tcPr>
            <w:tcW w:w="1806"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7%</w:t>
            </w:r>
          </w:p>
        </w:tc>
        <w:tc>
          <w:tcPr>
            <w:tcW w:w="1808"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8%</w:t>
            </w:r>
          </w:p>
        </w:tc>
        <w:tc>
          <w:tcPr>
            <w:tcW w:w="1460" w:type="dxa"/>
            <w:vAlign w:val="bottom"/>
          </w:tcPr>
          <w:p w:rsidR="00FC6AD2" w:rsidRPr="00666BAC" w:rsidRDefault="00FC6AD2" w:rsidP="00FC6AD2">
            <w:pPr>
              <w:jc w:val="center"/>
              <w:rPr>
                <w:rFonts w:cs="Calibri"/>
                <w:b/>
                <w:color w:val="000000"/>
                <w:szCs w:val="22"/>
              </w:rPr>
            </w:pPr>
            <w:r w:rsidRPr="00666BAC">
              <w:rPr>
                <w:rFonts w:cs="Calibri"/>
                <w:b/>
                <w:color w:val="000000"/>
                <w:szCs w:val="22"/>
              </w:rPr>
              <w:t>8%</w:t>
            </w:r>
          </w:p>
        </w:tc>
      </w:tr>
    </w:tbl>
    <w:p w:rsidR="000F3FC7" w:rsidRPr="00666BAC" w:rsidRDefault="000F3FC7" w:rsidP="008F2105">
      <w:pPr>
        <w:rPr>
          <w:lang w:bidi="ar-SA"/>
        </w:rPr>
      </w:pPr>
    </w:p>
    <w:p w:rsidR="008F2105" w:rsidRPr="00666BAC" w:rsidRDefault="002D7651" w:rsidP="008F2105">
      <w:pPr>
        <w:rPr>
          <w:lang w:bidi="ar-SA"/>
        </w:rPr>
      </w:pPr>
      <w:r w:rsidRPr="00666BAC">
        <w:rPr>
          <w:lang w:bidi="ar-SA"/>
        </w:rPr>
        <w:t>As ca</w:t>
      </w:r>
      <w:r w:rsidR="00951B35" w:rsidRPr="00666BAC">
        <w:rPr>
          <w:lang w:bidi="ar-SA"/>
        </w:rPr>
        <w:t>n be seen from T</w:t>
      </w:r>
      <w:r w:rsidRPr="00666BAC">
        <w:rPr>
          <w:lang w:bidi="ar-SA"/>
        </w:rPr>
        <w:t>able 4 above</w:t>
      </w:r>
      <w:r w:rsidR="00951B35" w:rsidRPr="00666BAC">
        <w:rPr>
          <w:lang w:bidi="ar-SA"/>
        </w:rPr>
        <w:t>,</w:t>
      </w:r>
      <w:r w:rsidRPr="00666BAC">
        <w:rPr>
          <w:lang w:bidi="ar-SA"/>
        </w:rPr>
        <w:t xml:space="preserve"> the most common individual providers identified on DHB complaints has remained broa</w:t>
      </w:r>
      <w:r w:rsidR="007604F5" w:rsidRPr="00666BAC">
        <w:rPr>
          <w:lang w:bidi="ar-SA"/>
        </w:rPr>
        <w:t>dly consistent over the last three</w:t>
      </w:r>
      <w:r w:rsidRPr="00666BAC">
        <w:rPr>
          <w:lang w:bidi="ar-SA"/>
        </w:rPr>
        <w:t xml:space="preserve"> years.</w:t>
      </w:r>
      <w:r w:rsidR="00837227" w:rsidRPr="00666BAC">
        <w:rPr>
          <w:lang w:bidi="ar-SA"/>
        </w:rPr>
        <w:t xml:space="preserve"> </w:t>
      </w:r>
    </w:p>
    <w:p w:rsidR="00605B17" w:rsidRPr="00666BAC" w:rsidRDefault="00605B17" w:rsidP="00605B17"/>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605B17" w:rsidRPr="00666BAC" w:rsidTr="007A553D">
        <w:tc>
          <w:tcPr>
            <w:tcW w:w="9298" w:type="dxa"/>
          </w:tcPr>
          <w:p w:rsidR="002A08DD" w:rsidRPr="00666BAC" w:rsidRDefault="002A08DD" w:rsidP="002A08DD">
            <w:pPr>
              <w:tabs>
                <w:tab w:val="left" w:pos="1440"/>
                <w:tab w:val="left" w:pos="2610"/>
              </w:tabs>
              <w:spacing w:before="120"/>
              <w:jc w:val="center"/>
              <w:outlineLvl w:val="0"/>
              <w:rPr>
                <w:b/>
                <w:sz w:val="28"/>
                <w:szCs w:val="28"/>
              </w:rPr>
            </w:pPr>
            <w:bookmarkStart w:id="26" w:name="_Toc398125960"/>
            <w:r w:rsidRPr="00666BAC">
              <w:rPr>
                <w:b/>
                <w:sz w:val="28"/>
                <w:szCs w:val="28"/>
              </w:rPr>
              <w:t xml:space="preserve">Case study: Obstetrician/gynaecologist </w:t>
            </w:r>
            <w:r w:rsidRPr="00666BAC">
              <w:rPr>
                <w:b/>
                <w:szCs w:val="22"/>
              </w:rPr>
              <w:t>(13HDC01557)</w:t>
            </w:r>
          </w:p>
          <w:p w:rsidR="00605B17" w:rsidRPr="00666BAC" w:rsidRDefault="00605B17" w:rsidP="005C4274">
            <w:pPr>
              <w:spacing w:after="120"/>
              <w:rPr>
                <w:sz w:val="24"/>
              </w:rPr>
            </w:pPr>
          </w:p>
          <w:p w:rsidR="002A08DD" w:rsidRPr="00666BAC" w:rsidRDefault="003A07F1" w:rsidP="003A07F1">
            <w:pPr>
              <w:spacing w:after="120"/>
              <w:rPr>
                <w:szCs w:val="22"/>
              </w:rPr>
            </w:pPr>
            <w:r w:rsidRPr="00666BAC">
              <w:rPr>
                <w:szCs w:val="22"/>
              </w:rPr>
              <w:t xml:space="preserve">Mrs B, a 46-year-old woman, consented to undergoing a total vaginal hysterectomy performed by obstetrician/gynaecologist, Dr A, at a public hospital. During the procedure, initial attempts by Dr A to open the Pouch of Douglas (the extension of the peritoneal cavity between the rectum and the posterior wall of the uterus) failed. Dr A then mistakenly </w:t>
            </w:r>
            <w:r w:rsidR="004F4A2F">
              <w:rPr>
                <w:szCs w:val="22"/>
              </w:rPr>
              <w:t>identified Mrs B’s bowel wall as</w:t>
            </w:r>
            <w:r w:rsidRPr="00666BAC">
              <w:rPr>
                <w:szCs w:val="22"/>
              </w:rPr>
              <w:t xml:space="preserve"> the Pouch of Douglas and attempted to open it, causing a perforation to Mrs B’s bowel. </w:t>
            </w:r>
          </w:p>
          <w:p w:rsidR="001D69DF" w:rsidRPr="00666BAC" w:rsidRDefault="001D69DF" w:rsidP="003A07F1">
            <w:pPr>
              <w:spacing w:after="120"/>
              <w:rPr>
                <w:szCs w:val="22"/>
              </w:rPr>
            </w:pPr>
            <w:r w:rsidRPr="00666BAC">
              <w:rPr>
                <w:szCs w:val="22"/>
              </w:rPr>
              <w:t xml:space="preserve">Dr A then stopped the procedure and sought assistance from </w:t>
            </w:r>
            <w:r w:rsidR="00C36322" w:rsidRPr="00666BAC">
              <w:rPr>
                <w:szCs w:val="22"/>
              </w:rPr>
              <w:t xml:space="preserve">her supervisor, Dr C. Dr C found that Mrs B had extensive adhesions of the uterus, tubes and ovaries and to the side and posterior walls of the pelvis. Due to the difficulties with the vaginal hysterectomy, the procedure was converted to an abdominal hysterectomy. Dr A contacted a general surgeon, Dr D, and requested his assistance with repairing the perforation of Mrs B’s bowel. Dr D was unsure about being able to close the perforation entirely, so he decided to perform a loop colostomy. The abdominal hysterectomy was then completed. </w:t>
            </w:r>
          </w:p>
          <w:p w:rsidR="00C36322" w:rsidRPr="00666BAC" w:rsidRDefault="00C36322" w:rsidP="00C36322">
            <w:pPr>
              <w:spacing w:after="120"/>
              <w:rPr>
                <w:szCs w:val="22"/>
              </w:rPr>
            </w:pPr>
            <w:r w:rsidRPr="00666BAC">
              <w:rPr>
                <w:szCs w:val="22"/>
              </w:rPr>
              <w:t>Dr A and Mrs B have different recollections of what was discussed between them after the surgery. There is no record that Dr A told Mrs B that she had made an error during the surgery which resulted in her having perforated Mrs B’s bowel.</w:t>
            </w:r>
          </w:p>
          <w:p w:rsidR="00C36322" w:rsidRPr="00666BAC" w:rsidRDefault="00C36322" w:rsidP="00C36322">
            <w:pPr>
              <w:tabs>
                <w:tab w:val="left" w:pos="720"/>
                <w:tab w:val="left" w:pos="1134"/>
              </w:tabs>
              <w:spacing w:after="240"/>
            </w:pPr>
            <w:r w:rsidRPr="00666BAC">
              <w:t>The Commissioner considered that Dr A made several errors in this case, and was particularly critical of her lack of caut</w:t>
            </w:r>
            <w:r w:rsidR="007604F5" w:rsidRPr="00666BAC">
              <w:t xml:space="preserve">ion and failure to seek advice. </w:t>
            </w:r>
            <w:r w:rsidR="004F4A2F">
              <w:t>When</w:t>
            </w:r>
            <w:r w:rsidRPr="00666BAC">
              <w:t xml:space="preserve"> her initial attempts to open the Pouch of Douglas failed, Dr A persisted with the vaginal approach. She did not seek the advice of a senior colleague. She then mistook the anatomy and cut </w:t>
            </w:r>
            <w:r w:rsidR="00D936A9" w:rsidRPr="00666BAC">
              <w:t>Mrs A’s bowel</w:t>
            </w:r>
            <w:r w:rsidRPr="00666BAC">
              <w:t xml:space="preserve">. </w:t>
            </w:r>
          </w:p>
          <w:p w:rsidR="00C36322" w:rsidRPr="00666BAC" w:rsidRDefault="00D936A9" w:rsidP="00C36322">
            <w:pPr>
              <w:tabs>
                <w:tab w:val="left" w:pos="720"/>
                <w:tab w:val="left" w:pos="1134"/>
              </w:tabs>
              <w:spacing w:after="240"/>
            </w:pPr>
            <w:r w:rsidRPr="00666BAC">
              <w:t>Dr A’s</w:t>
            </w:r>
            <w:r w:rsidR="00C36322" w:rsidRPr="00666BAC">
              <w:t xml:space="preserve"> failure to seek advice and convert to an abdominal procedure earlier, together with her mistaken incision of incorrectly identified tissue amounted to a serious departure from expected standards and a failure to provide services to the woman with reasonable care and skill</w:t>
            </w:r>
            <w:r w:rsidRPr="00666BAC">
              <w:t>, in breach of Right 4(1) of the Code</w:t>
            </w:r>
            <w:r w:rsidR="00C36322" w:rsidRPr="00666BAC">
              <w:t xml:space="preserve">. The Commissioner also considered that </w:t>
            </w:r>
            <w:r w:rsidRPr="00666BAC">
              <w:t>Dr A’s</w:t>
            </w:r>
            <w:r w:rsidR="00C36322" w:rsidRPr="00666BAC">
              <w:t xml:space="preserve"> poor standard of record-keeping </w:t>
            </w:r>
            <w:r w:rsidR="004F4A2F">
              <w:t>departed from</w:t>
            </w:r>
            <w:r w:rsidRPr="00666BAC">
              <w:t xml:space="preserve"> professional standards, and accordingly she breached Right 4(2) of the Code.</w:t>
            </w:r>
          </w:p>
          <w:p w:rsidR="004F4A2F" w:rsidRPr="00666BAC" w:rsidRDefault="00C36322" w:rsidP="004F4A2F">
            <w:pPr>
              <w:tabs>
                <w:tab w:val="left" w:pos="720"/>
                <w:tab w:val="left" w:pos="1134"/>
              </w:tabs>
              <w:spacing w:after="240"/>
              <w:jc w:val="left"/>
            </w:pPr>
            <w:r w:rsidRPr="00666BAC">
              <w:t>The Commissioner w</w:t>
            </w:r>
            <w:r w:rsidR="00D936A9" w:rsidRPr="00666BAC">
              <w:t xml:space="preserve">as also critical that while Dr A </w:t>
            </w:r>
            <w:r w:rsidRPr="00666BAC">
              <w:t xml:space="preserve">said that she was open and honest with </w:t>
            </w:r>
            <w:r w:rsidR="00D936A9" w:rsidRPr="00666BAC">
              <w:t>Mrs B</w:t>
            </w:r>
            <w:r w:rsidRPr="00666BAC">
              <w:t xml:space="preserve">, it was more than a month before </w:t>
            </w:r>
            <w:r w:rsidR="00D936A9" w:rsidRPr="00666BAC">
              <w:t>Mrs B</w:t>
            </w:r>
            <w:r w:rsidRPr="00666BAC">
              <w:t xml:space="preserve"> understood what had happened to her during the surgery. The Commissioner considered that </w:t>
            </w:r>
            <w:r w:rsidR="00D936A9" w:rsidRPr="00666BAC">
              <w:t>Dr A</w:t>
            </w:r>
            <w:r w:rsidRPr="00666BAC">
              <w:t xml:space="preserve"> did not disclose the surgical error in a way that was adequately understood by </w:t>
            </w:r>
            <w:r w:rsidR="00D936A9" w:rsidRPr="00666BAC">
              <w:t>Mrs B.</w:t>
            </w:r>
            <w:r w:rsidR="004F4A2F">
              <w:br/>
            </w:r>
          </w:p>
          <w:p w:rsidR="00D936A9" w:rsidRPr="00666BAC" w:rsidRDefault="00D936A9" w:rsidP="00D936A9">
            <w:pPr>
              <w:tabs>
                <w:tab w:val="left" w:pos="720"/>
                <w:tab w:val="left" w:pos="1134"/>
              </w:tabs>
              <w:spacing w:after="240"/>
            </w:pPr>
            <w:r w:rsidRPr="00666BAC">
              <w:t xml:space="preserve">Dr A had been involved in prior adverse events at the Hospital and the Commissioner was critical of the DHB’s systems for identification and reporting of serious surgical events. </w:t>
            </w:r>
          </w:p>
          <w:p w:rsidR="00D936A9" w:rsidRPr="00666BAC" w:rsidRDefault="00D936A9" w:rsidP="00D936A9">
            <w:pPr>
              <w:tabs>
                <w:tab w:val="left" w:pos="720"/>
                <w:tab w:val="left" w:pos="1134"/>
              </w:tabs>
              <w:spacing w:after="240"/>
            </w:pPr>
            <w:r w:rsidRPr="00666BAC">
              <w:t xml:space="preserve">The Commissioner recommended that Dr A provide Mrs B with a written apology for the failures identified in his report. The Commissioner also recommended that should Dr A return </w:t>
            </w:r>
            <w:r w:rsidR="000128B9">
              <w:t>to practise in New Zealand,</w:t>
            </w:r>
            <w:r w:rsidRPr="00666BAC">
              <w:t xml:space="preserve"> the Medical Council of New Zealand undertake a review of her competence before issuing a practising certificate. </w:t>
            </w:r>
          </w:p>
          <w:p w:rsidR="00C36322" w:rsidRPr="00666BAC" w:rsidRDefault="00D936A9" w:rsidP="00B8123D">
            <w:pPr>
              <w:tabs>
                <w:tab w:val="left" w:pos="720"/>
                <w:tab w:val="left" w:pos="1134"/>
              </w:tabs>
              <w:spacing w:after="240"/>
            </w:pPr>
            <w:r w:rsidRPr="00666BAC">
              <w:t>The Commissioner also made a number of recommendations to the DHB, including</w:t>
            </w:r>
            <w:r w:rsidR="00B8123D" w:rsidRPr="00666BAC">
              <w:t>:</w:t>
            </w:r>
            <w:r w:rsidRPr="00666BAC">
              <w:t xml:space="preserve"> that it consider introducing a </w:t>
            </w:r>
            <w:r w:rsidR="00B8123D" w:rsidRPr="00666BAC">
              <w:t>separate</w:t>
            </w:r>
            <w:r w:rsidRPr="00666BAC">
              <w:t xml:space="preserve"> credentialing process for advanced surgical procedures in addition to the standard S</w:t>
            </w:r>
            <w:r w:rsidR="000128B9">
              <w:t xml:space="preserve">enior </w:t>
            </w:r>
            <w:r w:rsidRPr="00666BAC">
              <w:t>M</w:t>
            </w:r>
            <w:r w:rsidR="000128B9">
              <w:t xml:space="preserve">edical </w:t>
            </w:r>
            <w:r w:rsidRPr="00666BAC">
              <w:t>O</w:t>
            </w:r>
            <w:r w:rsidR="000128B9">
              <w:t>fficer</w:t>
            </w:r>
            <w:r w:rsidRPr="00666BAC">
              <w:t xml:space="preserve"> credentialing;</w:t>
            </w:r>
            <w:r w:rsidR="00B8123D" w:rsidRPr="00666BAC">
              <w:t xml:space="preserve"> and</w:t>
            </w:r>
            <w:r w:rsidRPr="00666BAC">
              <w:t xml:space="preserve"> review its mechanisms for early </w:t>
            </w:r>
            <w:r w:rsidR="00B8123D" w:rsidRPr="00666BAC">
              <w:t>identification</w:t>
            </w:r>
            <w:r w:rsidRPr="00666BAC">
              <w:t xml:space="preserve"> and internal reporting of serious surgical morbidity</w:t>
            </w:r>
            <w:r w:rsidR="00B8123D" w:rsidRPr="00666BAC">
              <w:t>.</w:t>
            </w:r>
          </w:p>
        </w:tc>
      </w:tr>
    </w:tbl>
    <w:p w:rsidR="00605B17" w:rsidRPr="00666BAC" w:rsidRDefault="00605B17" w:rsidP="00605B17"/>
    <w:bookmarkEnd w:id="26"/>
    <w:p w:rsidR="00605B17" w:rsidRPr="00666BAC" w:rsidRDefault="00605B17" w:rsidP="008F2105">
      <w:pPr>
        <w:rPr>
          <w:lang w:bidi="ar-SA"/>
        </w:rPr>
      </w:pPr>
    </w:p>
    <w:p w:rsidR="008F2105" w:rsidRPr="00666BAC" w:rsidRDefault="008F2105" w:rsidP="008F2105">
      <w:pPr>
        <w:rPr>
          <w:lang w:bidi="ar-SA"/>
        </w:rPr>
      </w:pPr>
    </w:p>
    <w:p w:rsidR="00605B17" w:rsidRPr="00666BAC" w:rsidRDefault="00605B17" w:rsidP="008F2105">
      <w:pPr>
        <w:rPr>
          <w:lang w:bidi="ar-SA"/>
        </w:rPr>
      </w:pPr>
    </w:p>
    <w:p w:rsidR="00605B17" w:rsidRPr="00666BAC" w:rsidRDefault="00605B17" w:rsidP="008F2105">
      <w:pPr>
        <w:rPr>
          <w:lang w:bidi="ar-SA"/>
        </w:rPr>
      </w:pPr>
    </w:p>
    <w:p w:rsidR="00605B17" w:rsidRPr="00666BAC" w:rsidRDefault="00605B17" w:rsidP="008F2105">
      <w:pPr>
        <w:rPr>
          <w:lang w:bidi="ar-SA"/>
        </w:rPr>
      </w:pPr>
    </w:p>
    <w:p w:rsidR="00605B17" w:rsidRPr="00666BAC" w:rsidRDefault="00605B17" w:rsidP="008F2105">
      <w:pPr>
        <w:rPr>
          <w:lang w:bidi="ar-SA"/>
        </w:rPr>
      </w:pPr>
    </w:p>
    <w:p w:rsidR="00605B17" w:rsidRPr="00666BAC" w:rsidRDefault="00605B17" w:rsidP="008F2105">
      <w:pPr>
        <w:rPr>
          <w:lang w:bidi="ar-SA"/>
        </w:rPr>
      </w:pPr>
    </w:p>
    <w:p w:rsidR="00605B17" w:rsidRPr="00666BAC" w:rsidRDefault="00605B17" w:rsidP="008F2105">
      <w:pPr>
        <w:rPr>
          <w:lang w:bidi="ar-SA"/>
        </w:rPr>
      </w:pPr>
    </w:p>
    <w:p w:rsidR="006E31B7" w:rsidRPr="00666BAC" w:rsidRDefault="006E31B7" w:rsidP="008F2105">
      <w:pPr>
        <w:rPr>
          <w:lang w:bidi="ar-SA"/>
        </w:rPr>
      </w:pPr>
    </w:p>
    <w:p w:rsidR="00605B17" w:rsidRPr="00666BAC" w:rsidRDefault="00605B17" w:rsidP="008F2105">
      <w:pPr>
        <w:rPr>
          <w:lang w:bidi="ar-SA"/>
        </w:rPr>
      </w:pPr>
    </w:p>
    <w:p w:rsidR="00605B17" w:rsidRPr="00666BAC" w:rsidRDefault="00605B17" w:rsidP="008F2105">
      <w:pPr>
        <w:rPr>
          <w:lang w:bidi="ar-SA"/>
        </w:rPr>
      </w:pPr>
    </w:p>
    <w:p w:rsidR="00605B17" w:rsidRPr="00666BAC" w:rsidRDefault="00605B17" w:rsidP="008F2105">
      <w:pPr>
        <w:rPr>
          <w:lang w:bidi="ar-SA"/>
        </w:rPr>
      </w:pPr>
    </w:p>
    <w:p w:rsidR="00605B17" w:rsidRPr="00666BAC" w:rsidRDefault="00605B17" w:rsidP="008F2105">
      <w:pPr>
        <w:rPr>
          <w:lang w:bidi="ar-SA"/>
        </w:rPr>
      </w:pPr>
    </w:p>
    <w:p w:rsidR="00605B17" w:rsidRPr="00666BAC" w:rsidRDefault="00605B17"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605B17" w:rsidRPr="00666BAC" w:rsidRDefault="00605B17"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0D3976" w:rsidRPr="00666BAC" w:rsidRDefault="000D3976" w:rsidP="008F2105">
      <w:pPr>
        <w:rPr>
          <w:lang w:bidi="ar-SA"/>
        </w:rPr>
      </w:pPr>
    </w:p>
    <w:p w:rsidR="000D3976" w:rsidRPr="00666BAC" w:rsidRDefault="000D3976" w:rsidP="008F2105">
      <w:pPr>
        <w:rPr>
          <w:lang w:bidi="ar-SA"/>
        </w:rPr>
      </w:pPr>
    </w:p>
    <w:p w:rsidR="000D3976" w:rsidRPr="00666BAC" w:rsidRDefault="000D3976" w:rsidP="008F2105">
      <w:pPr>
        <w:rPr>
          <w:lang w:bidi="ar-SA"/>
        </w:rPr>
      </w:pPr>
    </w:p>
    <w:p w:rsidR="000D3976" w:rsidRPr="00666BAC" w:rsidRDefault="000D3976" w:rsidP="008F2105">
      <w:pPr>
        <w:rPr>
          <w:lang w:bidi="ar-SA"/>
        </w:rPr>
      </w:pPr>
    </w:p>
    <w:p w:rsidR="000D3976" w:rsidRPr="00666BAC" w:rsidRDefault="000D3976" w:rsidP="008F2105">
      <w:pPr>
        <w:rPr>
          <w:lang w:bidi="ar-SA"/>
        </w:rPr>
      </w:pPr>
    </w:p>
    <w:p w:rsidR="007604F5" w:rsidRPr="00666BAC" w:rsidRDefault="007604F5" w:rsidP="008F2105">
      <w:pPr>
        <w:rPr>
          <w:lang w:bidi="ar-SA"/>
        </w:rPr>
      </w:pPr>
    </w:p>
    <w:p w:rsidR="007604F5" w:rsidRDefault="007604F5" w:rsidP="008F2105">
      <w:pPr>
        <w:rPr>
          <w:lang w:bidi="ar-SA"/>
        </w:rPr>
      </w:pPr>
    </w:p>
    <w:p w:rsidR="00812189" w:rsidRDefault="00812189" w:rsidP="008F2105">
      <w:pPr>
        <w:rPr>
          <w:lang w:bidi="ar-SA"/>
        </w:rPr>
      </w:pPr>
    </w:p>
    <w:p w:rsidR="00812189" w:rsidRPr="00666BAC" w:rsidRDefault="00812189" w:rsidP="008F2105">
      <w:pPr>
        <w:rPr>
          <w:lang w:bidi="ar-SA"/>
        </w:rPr>
      </w:pPr>
    </w:p>
    <w:p w:rsidR="00837227" w:rsidRPr="00666BAC" w:rsidRDefault="00837227" w:rsidP="008F2105">
      <w:pPr>
        <w:rPr>
          <w:lang w:bidi="ar-SA"/>
        </w:rPr>
      </w:pPr>
    </w:p>
    <w:p w:rsidR="00837227" w:rsidRPr="00666BAC" w:rsidRDefault="00837227" w:rsidP="008F2105">
      <w:pPr>
        <w:rPr>
          <w:lang w:bidi="ar-SA"/>
        </w:rPr>
      </w:pPr>
    </w:p>
    <w:p w:rsidR="001D32FD" w:rsidRPr="00666BAC" w:rsidRDefault="001D32FD" w:rsidP="008F2105">
      <w:pPr>
        <w:rPr>
          <w:lang w:bidi="ar-SA"/>
        </w:rPr>
      </w:pPr>
    </w:p>
    <w:p w:rsidR="00605B17" w:rsidRPr="00666BAC" w:rsidRDefault="00605B17" w:rsidP="00605B17">
      <w:pPr>
        <w:pStyle w:val="Heading2"/>
        <w:spacing w:after="240"/>
        <w:rPr>
          <w:sz w:val="36"/>
          <w:szCs w:val="36"/>
        </w:rPr>
      </w:pPr>
      <w:bookmarkStart w:id="27" w:name="_Toc404344431"/>
      <w:bookmarkStart w:id="28" w:name="_Toc438024730"/>
      <w:r w:rsidRPr="00666BAC">
        <w:rPr>
          <w:sz w:val="36"/>
          <w:szCs w:val="36"/>
        </w:rPr>
        <w:t>3.</w:t>
      </w:r>
      <w:r w:rsidRPr="00666BAC">
        <w:rPr>
          <w:sz w:val="36"/>
          <w:szCs w:val="36"/>
        </w:rPr>
        <w:tab/>
        <w:t>What did people complain about?</w:t>
      </w:r>
      <w:bookmarkEnd w:id="27"/>
      <w:bookmarkEnd w:id="28"/>
      <w:r w:rsidRPr="00666BAC">
        <w:rPr>
          <w:sz w:val="36"/>
          <w:szCs w:val="36"/>
        </w:rPr>
        <w:t xml:space="preserve"> </w:t>
      </w:r>
    </w:p>
    <w:p w:rsidR="00605B17" w:rsidRPr="00666BAC" w:rsidRDefault="00605B17" w:rsidP="00605B17">
      <w:pPr>
        <w:pStyle w:val="Heading3"/>
        <w:spacing w:after="120"/>
        <w:rPr>
          <w:b/>
          <w:i w:val="0"/>
          <w:sz w:val="28"/>
          <w:szCs w:val="28"/>
        </w:rPr>
      </w:pPr>
      <w:bookmarkStart w:id="29" w:name="_Toc404344432"/>
      <w:bookmarkStart w:id="30" w:name="_Toc438024731"/>
      <w:r w:rsidRPr="00666BAC">
        <w:rPr>
          <w:b/>
          <w:i w:val="0"/>
          <w:sz w:val="28"/>
          <w:szCs w:val="28"/>
        </w:rPr>
        <w:t>3.1</w:t>
      </w:r>
      <w:r w:rsidRPr="00666BAC">
        <w:rPr>
          <w:b/>
          <w:i w:val="0"/>
          <w:sz w:val="28"/>
          <w:szCs w:val="28"/>
        </w:rPr>
        <w:tab/>
        <w:t>Issues identified in complaints</w:t>
      </w:r>
      <w:bookmarkEnd w:id="29"/>
      <w:bookmarkEnd w:id="30"/>
      <w:r w:rsidRPr="00666BAC">
        <w:rPr>
          <w:b/>
          <w:i w:val="0"/>
          <w:sz w:val="28"/>
          <w:szCs w:val="28"/>
        </w:rPr>
        <w:t xml:space="preserve"> </w:t>
      </w:r>
    </w:p>
    <w:p w:rsidR="00605B17" w:rsidRPr="00666BAC" w:rsidRDefault="00605B17" w:rsidP="00605B17"/>
    <w:p w:rsidR="00605B17" w:rsidRPr="00666BAC" w:rsidRDefault="00605B17" w:rsidP="00605B17">
      <w:pPr>
        <w:rPr>
          <w:szCs w:val="22"/>
        </w:rPr>
      </w:pPr>
      <w:r w:rsidRPr="00666BAC">
        <w:t>Many complaints to HDC contain multiple issues of concern to the complainant.  For the purposes of analysis, we identified the primary issue bei</w:t>
      </w:r>
      <w:r w:rsidR="007604F5" w:rsidRPr="00666BAC">
        <w:t>ng complained about plus up to six</w:t>
      </w:r>
      <w:r w:rsidRPr="00666BAC">
        <w:rPr>
          <w:szCs w:val="22"/>
        </w:rPr>
        <w:t xml:space="preserve"> additional complaint issues for each complaint received.</w:t>
      </w:r>
    </w:p>
    <w:p w:rsidR="00605B17" w:rsidRPr="00666BAC" w:rsidRDefault="00605B17" w:rsidP="00605B17">
      <w:pPr>
        <w:rPr>
          <w:szCs w:val="22"/>
        </w:rPr>
      </w:pPr>
    </w:p>
    <w:p w:rsidR="00605B17" w:rsidRPr="00666BAC" w:rsidRDefault="00820319" w:rsidP="00605B17">
      <w:pPr>
        <w:rPr>
          <w:szCs w:val="22"/>
        </w:rPr>
      </w:pPr>
      <w:r w:rsidRPr="00666BAC">
        <w:rPr>
          <w:szCs w:val="22"/>
        </w:rPr>
        <w:t>As shown in Table 5</w:t>
      </w:r>
      <w:r w:rsidR="00605B17" w:rsidRPr="00666BAC">
        <w:rPr>
          <w:szCs w:val="22"/>
        </w:rPr>
        <w:t>, we grouped the complaint issues into several categories. Among these categories, iss</w:t>
      </w:r>
      <w:r w:rsidR="00042FD5" w:rsidRPr="00666BAC">
        <w:rPr>
          <w:szCs w:val="22"/>
        </w:rPr>
        <w:t>ues relating to care/treatment,</w:t>
      </w:r>
      <w:r w:rsidR="00605B17" w:rsidRPr="00666BAC">
        <w:rPr>
          <w:szCs w:val="22"/>
        </w:rPr>
        <w:t xml:space="preserve"> </w:t>
      </w:r>
      <w:r w:rsidR="009D121B" w:rsidRPr="00666BAC">
        <w:rPr>
          <w:szCs w:val="22"/>
        </w:rPr>
        <w:t>access/funding</w:t>
      </w:r>
      <w:r w:rsidR="00042FD5" w:rsidRPr="00666BAC">
        <w:rPr>
          <w:szCs w:val="22"/>
        </w:rPr>
        <w:t xml:space="preserve"> and communication</w:t>
      </w:r>
      <w:r w:rsidR="00605B17" w:rsidRPr="00666BAC">
        <w:rPr>
          <w:szCs w:val="22"/>
        </w:rPr>
        <w:t xml:space="preserve"> were</w:t>
      </w:r>
      <w:r w:rsidR="006E31B7" w:rsidRPr="00666BAC">
        <w:rPr>
          <w:szCs w:val="22"/>
        </w:rPr>
        <w:t xml:space="preserve"> the</w:t>
      </w:r>
      <w:r w:rsidR="00605B17" w:rsidRPr="00666BAC">
        <w:rPr>
          <w:szCs w:val="22"/>
        </w:rPr>
        <w:t xml:space="preserve"> most prevalent, appearing as the primary comp</w:t>
      </w:r>
      <w:r w:rsidR="00042FD5" w:rsidRPr="00666BAC">
        <w:rPr>
          <w:szCs w:val="22"/>
        </w:rPr>
        <w:t>laint category in 56%, 13% and 10</w:t>
      </w:r>
      <w:r w:rsidR="00605B17" w:rsidRPr="00666BAC">
        <w:rPr>
          <w:szCs w:val="22"/>
        </w:rPr>
        <w:t>% of complaints respectively. When separate c</w:t>
      </w:r>
      <w:r w:rsidR="009D121B" w:rsidRPr="00666BAC">
        <w:rPr>
          <w:szCs w:val="22"/>
        </w:rPr>
        <w:t xml:space="preserve">omplaint issues are considered, </w:t>
      </w:r>
      <w:r w:rsidR="00605B17" w:rsidRPr="00666BAC">
        <w:rPr>
          <w:szCs w:val="22"/>
        </w:rPr>
        <w:t>missed</w:t>
      </w:r>
      <w:r w:rsidR="00042FD5" w:rsidRPr="00666BAC">
        <w:rPr>
          <w:szCs w:val="22"/>
        </w:rPr>
        <w:t>/incorrect/delayed diagnosis (16</w:t>
      </w:r>
      <w:r w:rsidR="00605B17" w:rsidRPr="00666BAC">
        <w:rPr>
          <w:szCs w:val="22"/>
        </w:rPr>
        <w:t>%)</w:t>
      </w:r>
      <w:r w:rsidR="009D121B" w:rsidRPr="00666BAC">
        <w:rPr>
          <w:szCs w:val="22"/>
        </w:rPr>
        <w:t>,</w:t>
      </w:r>
      <w:r w:rsidR="00042FD5" w:rsidRPr="00666BAC">
        <w:rPr>
          <w:szCs w:val="22"/>
        </w:rPr>
        <w:t xml:space="preserve"> unexpected treatment outcome (10%) and </w:t>
      </w:r>
      <w:r w:rsidR="009D121B" w:rsidRPr="00666BAC">
        <w:rPr>
          <w:szCs w:val="22"/>
        </w:rPr>
        <w:t xml:space="preserve"> inadeq</w:t>
      </w:r>
      <w:r w:rsidR="00042FD5" w:rsidRPr="00666BAC">
        <w:rPr>
          <w:szCs w:val="22"/>
        </w:rPr>
        <w:t>uate/inappropriate treatment (9%)</w:t>
      </w:r>
      <w:r w:rsidR="00605B17" w:rsidRPr="00666BAC">
        <w:rPr>
          <w:szCs w:val="22"/>
        </w:rPr>
        <w:t xml:space="preserve"> emerge as the most common primary complaint issues.</w:t>
      </w:r>
      <w:r w:rsidR="009D121B" w:rsidRPr="00666BAC">
        <w:rPr>
          <w:szCs w:val="22"/>
        </w:rPr>
        <w:t xml:space="preserve"> </w:t>
      </w:r>
      <w:r w:rsidR="004E3C79" w:rsidRPr="00666BAC">
        <w:rPr>
          <w:szCs w:val="22"/>
        </w:rPr>
        <w:t xml:space="preserve">This is broadly similar to what was seen last year, </w:t>
      </w:r>
      <w:r w:rsidR="007604F5" w:rsidRPr="00666BAC">
        <w:rPr>
          <w:szCs w:val="22"/>
        </w:rPr>
        <w:t xml:space="preserve">with the exception of unexpected treatment outcome </w:t>
      </w:r>
      <w:r w:rsidR="004E3C79" w:rsidRPr="00666BAC">
        <w:rPr>
          <w:szCs w:val="22"/>
        </w:rPr>
        <w:t>which increased from being the primary issue in 6% of co</w:t>
      </w:r>
      <w:r w:rsidR="007604F5" w:rsidRPr="00666BAC">
        <w:rPr>
          <w:szCs w:val="22"/>
        </w:rPr>
        <w:t>mplaints in 2014/</w:t>
      </w:r>
      <w:r w:rsidR="004E3C79" w:rsidRPr="00666BAC">
        <w:rPr>
          <w:szCs w:val="22"/>
        </w:rPr>
        <w:t>15 to being the primary issue</w:t>
      </w:r>
      <w:r w:rsidR="007604F5" w:rsidRPr="00666BAC">
        <w:rPr>
          <w:szCs w:val="22"/>
        </w:rPr>
        <w:t xml:space="preserve"> in 10% of complaints in 2015/</w:t>
      </w:r>
      <w:r w:rsidR="004E3C79" w:rsidRPr="00666BAC">
        <w:rPr>
          <w:szCs w:val="22"/>
        </w:rPr>
        <w:t>16. Complaints primarily about access/funding issues have steadily increased over the las</w:t>
      </w:r>
      <w:r w:rsidR="007604F5" w:rsidRPr="00666BAC">
        <w:rPr>
          <w:szCs w:val="22"/>
        </w:rPr>
        <w:t>t three years from 7% in 2013/14 to 13% in 2015/</w:t>
      </w:r>
      <w:r w:rsidR="004E3C79" w:rsidRPr="00666BAC">
        <w:rPr>
          <w:szCs w:val="22"/>
        </w:rPr>
        <w:t>16.</w:t>
      </w:r>
    </w:p>
    <w:p w:rsidR="00605B17" w:rsidRPr="00666BAC" w:rsidRDefault="00605B17" w:rsidP="00605B17"/>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605B17" w:rsidRPr="00666BAC" w:rsidTr="007A553D">
        <w:tc>
          <w:tcPr>
            <w:tcW w:w="9298" w:type="dxa"/>
          </w:tcPr>
          <w:p w:rsidR="000D3976" w:rsidRPr="00666BAC" w:rsidRDefault="000D3976" w:rsidP="000D3976">
            <w:pPr>
              <w:tabs>
                <w:tab w:val="left" w:pos="1440"/>
                <w:tab w:val="left" w:pos="2610"/>
              </w:tabs>
              <w:spacing w:before="120"/>
              <w:jc w:val="center"/>
              <w:outlineLvl w:val="0"/>
              <w:rPr>
                <w:b/>
                <w:sz w:val="28"/>
                <w:szCs w:val="28"/>
              </w:rPr>
            </w:pPr>
            <w:r w:rsidRPr="00666BAC">
              <w:rPr>
                <w:b/>
                <w:sz w:val="28"/>
                <w:szCs w:val="28"/>
              </w:rPr>
              <w:t xml:space="preserve">Case study: Inadequate/inappropriate treatment </w:t>
            </w:r>
            <w:r w:rsidRPr="00666BAC">
              <w:rPr>
                <w:b/>
                <w:szCs w:val="22"/>
              </w:rPr>
              <w:t>(14HDC00766)</w:t>
            </w:r>
          </w:p>
          <w:p w:rsidR="000D3976" w:rsidRPr="00666BAC" w:rsidRDefault="000D3976" w:rsidP="000D3976">
            <w:pPr>
              <w:spacing w:after="120"/>
              <w:rPr>
                <w:sz w:val="24"/>
              </w:rPr>
            </w:pPr>
          </w:p>
          <w:p w:rsidR="00323CFD" w:rsidRPr="00666BAC" w:rsidRDefault="00A51D73" w:rsidP="000D3976">
            <w:pPr>
              <w:spacing w:after="120"/>
              <w:rPr>
                <w:szCs w:val="22"/>
              </w:rPr>
            </w:pPr>
            <w:r w:rsidRPr="00666BAC">
              <w:rPr>
                <w:szCs w:val="22"/>
              </w:rPr>
              <w:t xml:space="preserve">Mrs </w:t>
            </w:r>
            <w:r w:rsidRPr="00666BAC">
              <w:rPr>
                <w:caps/>
                <w:szCs w:val="22"/>
              </w:rPr>
              <w:t>A</w:t>
            </w:r>
            <w:r w:rsidR="000D3976" w:rsidRPr="00666BAC">
              <w:rPr>
                <w:szCs w:val="22"/>
              </w:rPr>
              <w:t xml:space="preserve">, </w:t>
            </w:r>
            <w:r w:rsidRPr="00666BAC">
              <w:rPr>
                <w:szCs w:val="22"/>
              </w:rPr>
              <w:t xml:space="preserve">who had recently given birth to her first child, developed an abscess in her breast. </w:t>
            </w:r>
            <w:r w:rsidR="00815C7B" w:rsidRPr="00666BAC">
              <w:rPr>
                <w:szCs w:val="22"/>
              </w:rPr>
              <w:t xml:space="preserve">Mrs A underwent surgery to have the abscess drained and was subsequently referred to the district nursing service for ongoing management of her wound. The wound was packed with a wound dressing called Aquacel rope. The end of the rope should remain outside the wound. However, when the district nurses visited, the end of the rope was not always visible. It was assumed that Mrs A had removed the rope herself, although she had not done so. </w:t>
            </w:r>
          </w:p>
          <w:p w:rsidR="00815C7B" w:rsidRPr="00666BAC" w:rsidRDefault="00815C7B" w:rsidP="00815C7B">
            <w:pPr>
              <w:spacing w:after="120"/>
              <w:rPr>
                <w:szCs w:val="22"/>
              </w:rPr>
            </w:pPr>
            <w:r w:rsidRPr="00666BAC">
              <w:rPr>
                <w:szCs w:val="22"/>
              </w:rPr>
              <w:t>The wound was slow to heal</w:t>
            </w:r>
            <w:r w:rsidR="001037BB" w:rsidRPr="00666BAC">
              <w:rPr>
                <w:szCs w:val="22"/>
              </w:rPr>
              <w:t>,</w:t>
            </w:r>
            <w:r w:rsidRPr="00666BAC">
              <w:rPr>
                <w:szCs w:val="22"/>
              </w:rPr>
              <w:t xml:space="preserve"> but there was no objective record of the dimensions </w:t>
            </w:r>
            <w:r w:rsidR="001037BB" w:rsidRPr="00666BAC">
              <w:rPr>
                <w:szCs w:val="22"/>
              </w:rPr>
              <w:t>of the wound. The district nurses made regular changes to the products being used to treat the wound, but the reasons for change of product were often not recorded. At tim</w:t>
            </w:r>
            <w:r w:rsidR="007604F5" w:rsidRPr="00666BAC">
              <w:rPr>
                <w:szCs w:val="22"/>
              </w:rPr>
              <w:t>es the district nurses relied on</w:t>
            </w:r>
            <w:r w:rsidR="001037BB" w:rsidRPr="00666BAC">
              <w:rPr>
                <w:szCs w:val="22"/>
              </w:rPr>
              <w:t xml:space="preserve"> Mrs A contacting her GP for review rather than making contact for her. </w:t>
            </w:r>
          </w:p>
          <w:p w:rsidR="001037BB" w:rsidRPr="00666BAC" w:rsidRDefault="001037BB" w:rsidP="00815C7B">
            <w:pPr>
              <w:spacing w:after="120"/>
              <w:rPr>
                <w:szCs w:val="22"/>
              </w:rPr>
            </w:pPr>
            <w:r w:rsidRPr="00666BAC">
              <w:rPr>
                <w:szCs w:val="22"/>
              </w:rPr>
              <w:t xml:space="preserve">When the wound was noted to have hypergranulated with an increased amount of green exude, Mrs A was told to see her GP to obtain a referral to the surgical team. During surgical excision of the wound a 5cm piece of Aquacel rope dressing was discovered. </w:t>
            </w:r>
          </w:p>
          <w:p w:rsidR="001037BB" w:rsidRPr="00666BAC" w:rsidRDefault="006F4CA4" w:rsidP="001037BB">
            <w:pPr>
              <w:spacing w:after="240"/>
            </w:pPr>
            <w:r w:rsidRPr="00666BAC">
              <w:t xml:space="preserve">The Commissioner was critical </w:t>
            </w:r>
            <w:r w:rsidR="001037BB" w:rsidRPr="00666BAC">
              <w:t>that the Aquacel rop</w:t>
            </w:r>
            <w:r w:rsidR="006B194B" w:rsidRPr="00666BAC">
              <w:t>e was not used appropriately,</w:t>
            </w:r>
            <w:r w:rsidR="001037BB" w:rsidRPr="00666BAC">
              <w:t xml:space="preserve"> the wound w</w:t>
            </w:r>
            <w:r w:rsidR="006B194B" w:rsidRPr="00666BAC">
              <w:t xml:space="preserve">as not investigated adequately </w:t>
            </w:r>
            <w:r w:rsidR="006B194B" w:rsidRPr="00666BAC" w:rsidDel="00022191">
              <w:t xml:space="preserve">and </w:t>
            </w:r>
            <w:r w:rsidR="006B194B" w:rsidRPr="00666BAC">
              <w:t>Mrs A</w:t>
            </w:r>
            <w:r w:rsidR="006B194B" w:rsidRPr="00666BAC" w:rsidDel="00022191">
              <w:t xml:space="preserve"> </w:t>
            </w:r>
            <w:r w:rsidR="006B194B" w:rsidRPr="00666BAC">
              <w:t xml:space="preserve">was not asked </w:t>
            </w:r>
            <w:r w:rsidR="006B194B" w:rsidRPr="00666BAC" w:rsidDel="00022191">
              <w:t>whether she had removed the dressings herself</w:t>
            </w:r>
            <w:r w:rsidR="006B194B" w:rsidRPr="00666BAC">
              <w:t>.</w:t>
            </w:r>
            <w:r w:rsidR="001037BB" w:rsidRPr="00666BAC">
              <w:t xml:space="preserve"> </w:t>
            </w:r>
            <w:r w:rsidR="006B194B" w:rsidRPr="00666BAC">
              <w:t xml:space="preserve">In addition, </w:t>
            </w:r>
            <w:r w:rsidR="001037BB" w:rsidRPr="00666BAC">
              <w:t>the DHB wound assessment form was not designed to capture objective parameters that would indicate wound progress over time</w:t>
            </w:r>
            <w:r w:rsidR="006B194B" w:rsidRPr="00666BAC">
              <w:t>, and</w:t>
            </w:r>
            <w:r w:rsidR="001037BB" w:rsidRPr="00666BAC">
              <w:t xml:space="preserve"> district nurses were not recording objective assessments of </w:t>
            </w:r>
            <w:r w:rsidRPr="00666BAC">
              <w:t>M</w:t>
            </w:r>
            <w:r w:rsidR="001037BB" w:rsidRPr="00666BAC">
              <w:t>rs A’s wound consistently. Accordingly the Commissioner found that the DHB had failed to ensure</w:t>
            </w:r>
            <w:r w:rsidR="006B194B" w:rsidRPr="00666BAC">
              <w:t xml:space="preserve"> that</w:t>
            </w:r>
            <w:r w:rsidR="001037BB" w:rsidRPr="00666BAC">
              <w:t xml:space="preserve"> services were provided</w:t>
            </w:r>
            <w:r w:rsidR="006B194B" w:rsidRPr="00666BAC">
              <w:t xml:space="preserve"> to Mrs A</w:t>
            </w:r>
            <w:r w:rsidR="001037BB" w:rsidRPr="00666BAC">
              <w:t xml:space="preserve"> with reasonable care and skill, in breach of Right 4(1) of the Code.</w:t>
            </w:r>
          </w:p>
          <w:p w:rsidR="001037BB" w:rsidRPr="00666BAC" w:rsidRDefault="001037BB" w:rsidP="001037BB">
            <w:pPr>
              <w:spacing w:after="240"/>
            </w:pPr>
            <w:r w:rsidRPr="00666BAC">
              <w:t xml:space="preserve">The Commissioner </w:t>
            </w:r>
            <w:r w:rsidR="006F4CA4" w:rsidRPr="00666BAC">
              <w:t>was also critical</w:t>
            </w:r>
            <w:r w:rsidR="006B194B" w:rsidRPr="00666BAC">
              <w:t xml:space="preserve"> that</w:t>
            </w:r>
            <w:r w:rsidR="007604F5" w:rsidRPr="00666BAC">
              <w:t xml:space="preserve"> the district nurses failed to work together effectively</w:t>
            </w:r>
            <w:r w:rsidR="006B194B" w:rsidRPr="00666BAC">
              <w:t xml:space="preserve"> by</w:t>
            </w:r>
            <w:r w:rsidR="007604F5" w:rsidRPr="00666BAC">
              <w:t>:</w:t>
            </w:r>
            <w:r w:rsidR="006B194B" w:rsidRPr="00666BAC">
              <w:t xml:space="preserve"> at times</w:t>
            </w:r>
            <w:r w:rsidR="006F4CA4" w:rsidRPr="00666BAC">
              <w:t>,</w:t>
            </w:r>
            <w:r w:rsidR="006B194B" w:rsidRPr="00666BAC">
              <w:t xml:space="preserve"> relying on Mrs A to contact her GP rather than the district nurs</w:t>
            </w:r>
            <w:r w:rsidR="007604F5" w:rsidRPr="00666BAC">
              <w:t>e contacting the GP directly;</w:t>
            </w:r>
            <w:r w:rsidR="006B194B" w:rsidRPr="00666BAC">
              <w:t xml:space="preserve"> making regular changes to the products used withou</w:t>
            </w:r>
            <w:r w:rsidR="007604F5" w:rsidRPr="00666BAC">
              <w:t>t documenting the reason; and</w:t>
            </w:r>
            <w:r w:rsidR="006B194B" w:rsidRPr="00666BAC">
              <w:t xml:space="preserve"> having no peer review and no recorded follow-up of the eff</w:t>
            </w:r>
            <w:r w:rsidR="007604F5" w:rsidRPr="00666BAC">
              <w:t>icacy of the treatment provided</w:t>
            </w:r>
            <w:r w:rsidR="006F4CA4" w:rsidRPr="00666BAC">
              <w:t xml:space="preserve">. Accordingly, the Commissioner found that the DHB failed to ensure cooperation among providers to ensure quality and continuity of services to Mrs A, in breach of Right 4(5) of the Code. </w:t>
            </w:r>
          </w:p>
          <w:p w:rsidR="00605B17" w:rsidRPr="00666BAC" w:rsidRDefault="00752015" w:rsidP="007604F5">
            <w:pPr>
              <w:spacing w:after="240"/>
              <w:rPr>
                <w:szCs w:val="22"/>
              </w:rPr>
            </w:pPr>
            <w:r w:rsidRPr="00666BAC">
              <w:rPr>
                <w:szCs w:val="22"/>
              </w:rPr>
              <w:t>Following this event the DHB undertook a review of policy, standard operating procedures and process</w:t>
            </w:r>
            <w:r w:rsidR="007604F5" w:rsidRPr="00666BAC">
              <w:rPr>
                <w:szCs w:val="22"/>
              </w:rPr>
              <w:t>es</w:t>
            </w:r>
            <w:r w:rsidRPr="00666BAC">
              <w:rPr>
                <w:szCs w:val="22"/>
              </w:rPr>
              <w:t xml:space="preserve"> and implemented changes. The Commissioner re</w:t>
            </w:r>
            <w:r w:rsidR="007604F5" w:rsidRPr="00666BAC">
              <w:rPr>
                <w:szCs w:val="22"/>
              </w:rPr>
              <w:t>commended that the DHB: provide HDC with a</w:t>
            </w:r>
            <w:r w:rsidRPr="00666BAC">
              <w:rPr>
                <w:szCs w:val="22"/>
              </w:rPr>
              <w:t xml:space="preserve"> report confirming the implementation of changes, including evidence of the communicatio</w:t>
            </w:r>
            <w:r w:rsidR="007604F5" w:rsidRPr="00666BAC">
              <w:rPr>
                <w:szCs w:val="22"/>
              </w:rPr>
              <w:t>n of these changes to staff;</w:t>
            </w:r>
            <w:r w:rsidRPr="00666BAC">
              <w:rPr>
                <w:szCs w:val="22"/>
              </w:rPr>
              <w:t xml:space="preserve"> carry out an independent peer review of the quality of its District Nursing Service w</w:t>
            </w:r>
            <w:r w:rsidR="007604F5" w:rsidRPr="00666BAC">
              <w:rPr>
                <w:szCs w:val="22"/>
              </w:rPr>
              <w:t xml:space="preserve">ound assessment and evaluation; and </w:t>
            </w:r>
            <w:r w:rsidRPr="00666BAC">
              <w:rPr>
                <w:szCs w:val="22"/>
              </w:rPr>
              <w:t>provide</w:t>
            </w:r>
            <w:r w:rsidR="007604F5" w:rsidRPr="00666BAC">
              <w:rPr>
                <w:szCs w:val="22"/>
              </w:rPr>
              <w:t xml:space="preserve"> HDC with</w:t>
            </w:r>
            <w:r w:rsidRPr="00666BAC">
              <w:rPr>
                <w:szCs w:val="22"/>
              </w:rPr>
              <w:t xml:space="preserve"> an update of progress regarding the possible introduction of electronic record-keeping within the District Nursing Service</w:t>
            </w:r>
            <w:r w:rsidR="007604F5" w:rsidRPr="00666BAC">
              <w:rPr>
                <w:szCs w:val="22"/>
              </w:rPr>
              <w:t>.</w:t>
            </w:r>
          </w:p>
        </w:tc>
      </w:tr>
    </w:tbl>
    <w:p w:rsidR="00605B17" w:rsidRPr="00666BAC" w:rsidRDefault="00605B17" w:rsidP="00605B17">
      <w:pPr>
        <w:rPr>
          <w:szCs w:val="22"/>
        </w:rPr>
      </w:pPr>
    </w:p>
    <w:p w:rsidR="004E3C79" w:rsidRPr="00666BAC" w:rsidRDefault="00605B17" w:rsidP="00605B17">
      <w:pPr>
        <w:rPr>
          <w:szCs w:val="22"/>
        </w:rPr>
      </w:pPr>
      <w:r w:rsidRPr="00666BAC">
        <w:rPr>
          <w:szCs w:val="22"/>
        </w:rPr>
        <w:t>On analysis of all issues identified in complaints a</w:t>
      </w:r>
      <w:r w:rsidR="004B127E" w:rsidRPr="00666BAC">
        <w:rPr>
          <w:szCs w:val="22"/>
        </w:rPr>
        <w:t>bout</w:t>
      </w:r>
      <w:r w:rsidRPr="00666BAC">
        <w:rPr>
          <w:szCs w:val="22"/>
        </w:rPr>
        <w:t xml:space="preserve"> DHBs, the </w:t>
      </w:r>
      <w:r w:rsidR="006E31B7" w:rsidRPr="00666BAC">
        <w:rPr>
          <w:szCs w:val="22"/>
        </w:rPr>
        <w:t>most common complaint issues were:</w:t>
      </w:r>
      <w:r w:rsidRPr="00666BAC">
        <w:rPr>
          <w:szCs w:val="22"/>
        </w:rPr>
        <w:t xml:space="preserve"> inadeq</w:t>
      </w:r>
      <w:r w:rsidR="004E3C79" w:rsidRPr="00666BAC">
        <w:rPr>
          <w:szCs w:val="22"/>
        </w:rPr>
        <w:t>uate/inappropriate treatment (43</w:t>
      </w:r>
      <w:r w:rsidRPr="00666BAC">
        <w:rPr>
          <w:szCs w:val="22"/>
        </w:rPr>
        <w:t>%), failure to communica</w:t>
      </w:r>
      <w:r w:rsidR="00705DA5" w:rsidRPr="00666BAC">
        <w:rPr>
          <w:szCs w:val="22"/>
        </w:rPr>
        <w:t xml:space="preserve">te effectively with </w:t>
      </w:r>
      <w:r w:rsidR="006E31B7" w:rsidRPr="00666BAC">
        <w:rPr>
          <w:szCs w:val="22"/>
        </w:rPr>
        <w:t xml:space="preserve">the </w:t>
      </w:r>
      <w:r w:rsidR="004E3C79" w:rsidRPr="00666BAC">
        <w:rPr>
          <w:szCs w:val="22"/>
        </w:rPr>
        <w:t>consumer (38</w:t>
      </w:r>
      <w:r w:rsidRPr="00666BAC">
        <w:rPr>
          <w:szCs w:val="22"/>
        </w:rPr>
        <w:t>%),</w:t>
      </w:r>
      <w:r w:rsidR="00705DA5" w:rsidRPr="00666BAC">
        <w:rPr>
          <w:szCs w:val="22"/>
        </w:rPr>
        <w:t xml:space="preserve"> inadequate/inapprop</w:t>
      </w:r>
      <w:r w:rsidR="004E3C79" w:rsidRPr="00666BAC">
        <w:rPr>
          <w:szCs w:val="22"/>
        </w:rPr>
        <w:t>riate examination/assessment (29</w:t>
      </w:r>
      <w:r w:rsidR="00705DA5" w:rsidRPr="00666BAC">
        <w:rPr>
          <w:szCs w:val="22"/>
        </w:rPr>
        <w:t xml:space="preserve">%), </w:t>
      </w:r>
      <w:r w:rsidR="004E3C79" w:rsidRPr="00666BAC">
        <w:rPr>
          <w:szCs w:val="22"/>
        </w:rPr>
        <w:t>disrespectful manner/attitude</w:t>
      </w:r>
      <w:r w:rsidR="00705DA5" w:rsidRPr="00666BAC">
        <w:rPr>
          <w:szCs w:val="22"/>
        </w:rPr>
        <w:t xml:space="preserve"> </w:t>
      </w:r>
      <w:r w:rsidR="004E3C79" w:rsidRPr="00666BAC">
        <w:rPr>
          <w:szCs w:val="22"/>
        </w:rPr>
        <w:t>(25</w:t>
      </w:r>
      <w:r w:rsidR="00705DA5" w:rsidRPr="00666BAC">
        <w:rPr>
          <w:szCs w:val="22"/>
        </w:rPr>
        <w:t xml:space="preserve">%), </w:t>
      </w:r>
      <w:r w:rsidR="004E3C79" w:rsidRPr="00666BAC">
        <w:rPr>
          <w:szCs w:val="22"/>
        </w:rPr>
        <w:t>inadequate coordination of care/treatment</w:t>
      </w:r>
      <w:r w:rsidR="00705DA5" w:rsidRPr="00666BAC">
        <w:rPr>
          <w:szCs w:val="22"/>
        </w:rPr>
        <w:t xml:space="preserve"> (24%), </w:t>
      </w:r>
      <w:r w:rsidR="004E3C79" w:rsidRPr="00666BAC">
        <w:rPr>
          <w:szCs w:val="22"/>
        </w:rPr>
        <w:t>failure to communicate effectively with family</w:t>
      </w:r>
      <w:r w:rsidR="00705DA5" w:rsidRPr="00666BAC">
        <w:rPr>
          <w:szCs w:val="22"/>
        </w:rPr>
        <w:t xml:space="preserve"> (24</w:t>
      </w:r>
      <w:r w:rsidRPr="00666BAC">
        <w:rPr>
          <w:szCs w:val="22"/>
        </w:rPr>
        <w:t>%), and</w:t>
      </w:r>
      <w:r w:rsidR="00705DA5" w:rsidRPr="00666BAC">
        <w:rPr>
          <w:szCs w:val="22"/>
        </w:rPr>
        <w:t xml:space="preserve"> </w:t>
      </w:r>
      <w:r w:rsidR="004E3C79" w:rsidRPr="00666BAC">
        <w:rPr>
          <w:szCs w:val="22"/>
        </w:rPr>
        <w:t>missed/incorrect/delayed diagnosis (23</w:t>
      </w:r>
      <w:r w:rsidRPr="00666BAC">
        <w:rPr>
          <w:szCs w:val="22"/>
        </w:rPr>
        <w:t xml:space="preserve">%). </w:t>
      </w:r>
    </w:p>
    <w:p w:rsidR="004E3C79" w:rsidRPr="00666BAC" w:rsidRDefault="004E3C79" w:rsidP="00605B17">
      <w:pPr>
        <w:rPr>
          <w:szCs w:val="22"/>
        </w:rPr>
      </w:pPr>
    </w:p>
    <w:p w:rsidR="00D10020" w:rsidRPr="00666BAC" w:rsidRDefault="00605B17" w:rsidP="00605B17">
      <w:pPr>
        <w:rPr>
          <w:szCs w:val="22"/>
        </w:rPr>
      </w:pPr>
      <w:r w:rsidRPr="00666BAC">
        <w:rPr>
          <w:szCs w:val="22"/>
        </w:rPr>
        <w:t>Many complaints involved issues categorised as care/treatment, such as</w:t>
      </w:r>
      <w:r w:rsidR="00FF475B" w:rsidRPr="00666BAC">
        <w:rPr>
          <w:szCs w:val="22"/>
        </w:rPr>
        <w:t>:</w:t>
      </w:r>
      <w:r w:rsidR="00705DA5" w:rsidRPr="00666BAC">
        <w:rPr>
          <w:szCs w:val="22"/>
        </w:rPr>
        <w:t xml:space="preserve"> </w:t>
      </w:r>
      <w:r w:rsidR="004E3C79" w:rsidRPr="00666BAC">
        <w:rPr>
          <w:szCs w:val="22"/>
        </w:rPr>
        <w:t>unexpected treatment outcome; delay in treatment; inadequate/inappropriate follow-up; inadequate/inappropriate testing;</w:t>
      </w:r>
      <w:r w:rsidR="00FF475B" w:rsidRPr="00666BAC">
        <w:rPr>
          <w:szCs w:val="22"/>
        </w:rPr>
        <w:t xml:space="preserve"> and inappropriate/delayed discharge/transfer,</w:t>
      </w:r>
      <w:r w:rsidR="004E3C79" w:rsidRPr="00666BAC">
        <w:rPr>
          <w:szCs w:val="22"/>
        </w:rPr>
        <w:t xml:space="preserve"> </w:t>
      </w:r>
      <w:r w:rsidR="00705DA5" w:rsidRPr="00666BAC">
        <w:rPr>
          <w:szCs w:val="22"/>
        </w:rPr>
        <w:t>each of th</w:t>
      </w:r>
      <w:r w:rsidR="00820319" w:rsidRPr="00666BAC">
        <w:rPr>
          <w:szCs w:val="22"/>
        </w:rPr>
        <w:t>ese were mentione</w:t>
      </w:r>
      <w:r w:rsidR="00FF475B" w:rsidRPr="00666BAC">
        <w:rPr>
          <w:szCs w:val="22"/>
        </w:rPr>
        <w:t>d in between 17</w:t>
      </w:r>
      <w:r w:rsidR="00820319" w:rsidRPr="00666BAC">
        <w:rPr>
          <w:szCs w:val="22"/>
        </w:rPr>
        <w:t>% and 19</w:t>
      </w:r>
      <w:r w:rsidR="00705DA5" w:rsidRPr="00666BAC">
        <w:rPr>
          <w:szCs w:val="22"/>
        </w:rPr>
        <w:t>% of complaints.</w:t>
      </w:r>
    </w:p>
    <w:p w:rsidR="00820319" w:rsidRPr="00666BAC" w:rsidRDefault="0082031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752015" w:rsidRPr="00666BAC" w:rsidRDefault="00752015" w:rsidP="00605B17">
      <w:pPr>
        <w:rPr>
          <w:szCs w:val="22"/>
        </w:rPr>
      </w:pPr>
    </w:p>
    <w:p w:rsidR="004E3C79" w:rsidRPr="00666BAC" w:rsidRDefault="004E3C79" w:rsidP="00605B17">
      <w:pPr>
        <w:rPr>
          <w:szCs w:val="22"/>
        </w:rPr>
      </w:pPr>
    </w:p>
    <w:p w:rsidR="007604F5" w:rsidRPr="00666BAC" w:rsidRDefault="007604F5" w:rsidP="00605B17">
      <w:pPr>
        <w:rPr>
          <w:szCs w:val="22"/>
        </w:rPr>
      </w:pPr>
    </w:p>
    <w:p w:rsidR="00820319" w:rsidRPr="00666BAC" w:rsidRDefault="00820319" w:rsidP="00605B17">
      <w:pPr>
        <w:rPr>
          <w:szCs w:val="22"/>
        </w:rPr>
      </w:pPr>
    </w:p>
    <w:p w:rsidR="00605B17" w:rsidRPr="00666BAC" w:rsidRDefault="007A553D" w:rsidP="00820319">
      <w:pPr>
        <w:spacing w:after="120"/>
        <w:rPr>
          <w:szCs w:val="22"/>
        </w:rPr>
      </w:pPr>
      <w:r w:rsidRPr="00666BAC">
        <w:rPr>
          <w:b/>
          <w:szCs w:val="22"/>
        </w:rPr>
        <w:t>Table 5</w:t>
      </w:r>
      <w:r w:rsidR="00605B17" w:rsidRPr="00666BAC">
        <w:rPr>
          <w:b/>
          <w:szCs w:val="22"/>
        </w:rPr>
        <w:t>.</w:t>
      </w:r>
      <w:r w:rsidR="00605B17" w:rsidRPr="00666BAC">
        <w:rPr>
          <w:szCs w:val="22"/>
        </w:rPr>
        <w:t xml:space="preserve"> Issues complained about in DHB complaints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42"/>
        <w:gridCol w:w="1843"/>
      </w:tblGrid>
      <w:tr w:rsidR="00605B17" w:rsidRPr="00666BAC" w:rsidTr="00D10020">
        <w:trPr>
          <w:tblHeader/>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210984" w:rsidP="007A553D">
            <w:pPr>
              <w:jc w:val="left"/>
              <w:rPr>
                <w:b/>
                <w:szCs w:val="22"/>
              </w:rPr>
            </w:pPr>
            <w:r w:rsidRPr="00666BAC">
              <w:rPr>
                <w:b/>
                <w:szCs w:val="22"/>
              </w:rPr>
              <w:t>Complaint issue</w:t>
            </w:r>
          </w:p>
        </w:tc>
        <w:tc>
          <w:tcPr>
            <w:tcW w:w="1842"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jc w:val="left"/>
              <w:rPr>
                <w:b/>
                <w:szCs w:val="22"/>
              </w:rPr>
            </w:pPr>
            <w:r w:rsidRPr="00666BAC">
              <w:rPr>
                <w:b/>
                <w:szCs w:val="22"/>
              </w:rPr>
              <w:t>Number of complaints primarily about this issue (%)</w:t>
            </w:r>
          </w:p>
        </w:tc>
        <w:tc>
          <w:tcPr>
            <w:tcW w:w="1843"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jc w:val="left"/>
              <w:rPr>
                <w:b/>
                <w:szCs w:val="22"/>
              </w:rPr>
            </w:pPr>
            <w:r w:rsidRPr="00666BAC">
              <w:rPr>
                <w:b/>
                <w:szCs w:val="22"/>
              </w:rPr>
              <w:t>Number of complaints involving this issue (%)</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vAlign w:val="bottom"/>
          </w:tcPr>
          <w:p w:rsidR="00605B17" w:rsidRPr="00666BAC" w:rsidRDefault="00605B17" w:rsidP="007A553D">
            <w:pPr>
              <w:rPr>
                <w:b/>
                <w:i/>
                <w:szCs w:val="22"/>
              </w:rPr>
            </w:pPr>
            <w:r w:rsidRPr="00666BAC">
              <w:rPr>
                <w:b/>
                <w:i/>
                <w:szCs w:val="22"/>
              </w:rPr>
              <w:t>Access/Funding</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A36F4E" w:rsidP="00210984">
            <w:pPr>
              <w:jc w:val="center"/>
              <w:rPr>
                <w:b/>
                <w:i/>
                <w:szCs w:val="22"/>
              </w:rPr>
            </w:pPr>
            <w:r w:rsidRPr="00666BAC">
              <w:rPr>
                <w:b/>
                <w:i/>
                <w:szCs w:val="22"/>
              </w:rPr>
              <w:t>108</w:t>
            </w:r>
            <w:r w:rsidR="00B378E4" w:rsidRPr="00666BAC">
              <w:rPr>
                <w:b/>
                <w:i/>
                <w:szCs w:val="22"/>
              </w:rPr>
              <w:t xml:space="preserve"> (13)</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210984"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210984" w:rsidRPr="00666BAC" w:rsidRDefault="00210984" w:rsidP="007A553D">
            <w:pPr>
              <w:rPr>
                <w:szCs w:val="22"/>
              </w:rPr>
            </w:pPr>
            <w:r w:rsidRPr="00666BAC">
              <w:rPr>
                <w:szCs w:val="22"/>
              </w:rPr>
              <w:t>ACC compensation issue</w:t>
            </w:r>
          </w:p>
        </w:tc>
        <w:tc>
          <w:tcPr>
            <w:tcW w:w="1842" w:type="dxa"/>
            <w:tcBorders>
              <w:top w:val="single" w:sz="4" w:space="0" w:color="auto"/>
              <w:left w:val="single" w:sz="4" w:space="0" w:color="auto"/>
              <w:bottom w:val="single" w:sz="4" w:space="0" w:color="auto"/>
              <w:right w:val="single" w:sz="4" w:space="0" w:color="auto"/>
            </w:tcBorders>
            <w:vAlign w:val="center"/>
          </w:tcPr>
          <w:p w:rsidR="00210984" w:rsidRPr="00666BAC" w:rsidRDefault="00D825C0"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210984" w:rsidRPr="00666BAC" w:rsidRDefault="00AE5129" w:rsidP="00FF473D">
            <w:pPr>
              <w:jc w:val="center"/>
              <w:rPr>
                <w:szCs w:val="22"/>
              </w:rPr>
            </w:pPr>
            <w:r w:rsidRPr="00666BAC">
              <w:rPr>
                <w:szCs w:val="22"/>
              </w:rPr>
              <w:t>7</w:t>
            </w:r>
            <w:r w:rsidR="00B378E4" w:rsidRPr="00666BAC">
              <w:rPr>
                <w:szCs w:val="22"/>
              </w:rPr>
              <w:t xml:space="preserve"> (0.9)</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Lack of access to services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A36F4E" w:rsidP="00210984">
            <w:pPr>
              <w:jc w:val="center"/>
              <w:rPr>
                <w:szCs w:val="22"/>
              </w:rPr>
            </w:pPr>
            <w:r w:rsidRPr="00666BAC">
              <w:rPr>
                <w:szCs w:val="22"/>
              </w:rPr>
              <w:t>50</w:t>
            </w:r>
            <w:r w:rsidR="00B378E4" w:rsidRPr="00666BAC">
              <w:rPr>
                <w:szCs w:val="22"/>
              </w:rPr>
              <w:t xml:space="preserve"> (6)</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87</w:t>
            </w:r>
            <w:r w:rsidR="00B378E4" w:rsidRPr="00666BAC">
              <w:rPr>
                <w:szCs w:val="22"/>
              </w:rPr>
              <w:t xml:space="preserve"> (11)</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Lack of access to subsidies/funding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210984">
            <w:pPr>
              <w:jc w:val="center"/>
              <w:rPr>
                <w:szCs w:val="22"/>
              </w:rPr>
            </w:pPr>
            <w:r w:rsidRPr="00666BAC">
              <w:rPr>
                <w:szCs w:val="22"/>
              </w:rPr>
              <w:t>7</w:t>
            </w:r>
            <w:r w:rsidR="00B378E4" w:rsidRPr="00666BAC">
              <w:rPr>
                <w:szCs w:val="22"/>
              </w:rPr>
              <w:t xml:space="preserve"> (0.9)</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18</w:t>
            </w:r>
            <w:r w:rsidR="00B378E4" w:rsidRPr="00666BAC">
              <w:rPr>
                <w:szCs w:val="22"/>
              </w:rPr>
              <w:t xml:space="preserve"> (2)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Waiting list/prioritisation issue</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A36F4E" w:rsidP="00210984">
            <w:pPr>
              <w:jc w:val="center"/>
              <w:rPr>
                <w:szCs w:val="22"/>
              </w:rPr>
            </w:pPr>
            <w:r w:rsidRPr="00666BAC">
              <w:rPr>
                <w:szCs w:val="22"/>
              </w:rPr>
              <w:t>51</w:t>
            </w:r>
            <w:r w:rsidR="00B378E4" w:rsidRPr="00666BAC">
              <w:rPr>
                <w:szCs w:val="22"/>
              </w:rPr>
              <w:t xml:space="preserve"> (6)</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8</w:t>
            </w:r>
            <w:r w:rsidR="00F434D4" w:rsidRPr="00666BAC">
              <w:rPr>
                <w:szCs w:val="22"/>
              </w:rPr>
              <w:t>9</w:t>
            </w:r>
            <w:r w:rsidR="00B378E4" w:rsidRPr="00666BAC">
              <w:rPr>
                <w:szCs w:val="22"/>
              </w:rPr>
              <w:t xml:space="preserve"> (11)</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vAlign w:val="bottom"/>
          </w:tcPr>
          <w:p w:rsidR="00605B17" w:rsidRPr="00666BAC" w:rsidRDefault="00605B17" w:rsidP="007A553D">
            <w:pPr>
              <w:rPr>
                <w:b/>
                <w:i/>
                <w:szCs w:val="22"/>
              </w:rPr>
            </w:pPr>
            <w:r w:rsidRPr="00666BAC">
              <w:rPr>
                <w:b/>
                <w:i/>
                <w:szCs w:val="22"/>
              </w:rPr>
              <w:t>Boundary violation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A36F4E" w:rsidP="00210984">
            <w:pPr>
              <w:jc w:val="center"/>
              <w:rPr>
                <w:b/>
                <w:i/>
                <w:szCs w:val="22"/>
              </w:rPr>
            </w:pPr>
            <w:r w:rsidRPr="00666BAC">
              <w:rPr>
                <w:b/>
                <w:i/>
                <w:szCs w:val="22"/>
              </w:rPr>
              <w:t>6</w:t>
            </w:r>
            <w:r w:rsidR="00B378E4" w:rsidRPr="00666BAC">
              <w:rPr>
                <w:b/>
                <w:i/>
                <w:szCs w:val="22"/>
              </w:rPr>
              <w:t xml:space="preserve"> (0.7)</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B378E4" w:rsidRPr="00666BAC" w:rsidTr="00B378E4">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B378E4" w:rsidRPr="00666BAC" w:rsidRDefault="00B378E4" w:rsidP="00210984">
            <w:pPr>
              <w:rPr>
                <w:szCs w:val="22"/>
              </w:rPr>
            </w:pPr>
            <w:r w:rsidRPr="00666BAC">
              <w:rPr>
                <w:szCs w:val="22"/>
              </w:rPr>
              <w:t>Inappropriate non-sexual communication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8E4" w:rsidRPr="00666BAC" w:rsidRDefault="00B378E4"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B378E4" w:rsidP="00B378E4">
            <w:pPr>
              <w:jc w:val="center"/>
            </w:pPr>
            <w:r w:rsidRPr="00666BAC">
              <w:rPr>
                <w:szCs w:val="22"/>
              </w:rPr>
              <w:t>2 (0.2)</w:t>
            </w:r>
          </w:p>
        </w:tc>
      </w:tr>
      <w:tr w:rsidR="00B378E4" w:rsidRPr="00666BAC" w:rsidTr="00B378E4">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B378E4" w:rsidRPr="00666BAC" w:rsidRDefault="00B378E4" w:rsidP="00210984">
            <w:pPr>
              <w:rPr>
                <w:szCs w:val="22"/>
              </w:rPr>
            </w:pPr>
            <w:r w:rsidRPr="00666BAC">
              <w:rPr>
                <w:szCs w:val="22"/>
              </w:rPr>
              <w:t>Inappropriate sexual communication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8E4" w:rsidRPr="00666BAC" w:rsidRDefault="00B378E4" w:rsidP="00210984">
            <w:pPr>
              <w:jc w:val="center"/>
              <w:rPr>
                <w:szCs w:val="22"/>
              </w:rPr>
            </w:pPr>
            <w:r w:rsidRPr="00666BAC">
              <w:rPr>
                <w:szCs w:val="22"/>
              </w:rPr>
              <w:t>2 (0.2)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B378E4" w:rsidP="00B378E4">
            <w:pPr>
              <w:jc w:val="center"/>
            </w:pPr>
            <w:r w:rsidRPr="00666BAC">
              <w:rPr>
                <w:szCs w:val="22"/>
              </w:rPr>
              <w:t>2 (0.2)</w:t>
            </w:r>
          </w:p>
        </w:tc>
      </w:tr>
      <w:tr w:rsidR="00B378E4" w:rsidRPr="00666BAC" w:rsidTr="00B378E4">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B378E4" w:rsidRPr="00666BAC" w:rsidRDefault="00B378E4" w:rsidP="00210984">
            <w:pPr>
              <w:rPr>
                <w:szCs w:val="22"/>
              </w:rPr>
            </w:pPr>
            <w:r w:rsidRPr="00666BAC">
              <w:rPr>
                <w:szCs w:val="22"/>
              </w:rPr>
              <w:t>Inappropriate sexual physical contact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B378E4" w:rsidP="00B378E4">
            <w:pPr>
              <w:jc w:val="center"/>
            </w:pPr>
            <w:r w:rsidRPr="00666BAC">
              <w:rPr>
                <w:szCs w:val="22"/>
              </w:rPr>
              <w:t>2 (0.2)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B378E4" w:rsidP="00B378E4">
            <w:pPr>
              <w:jc w:val="center"/>
            </w:pPr>
            <w:r w:rsidRPr="00666BAC">
              <w:rPr>
                <w:szCs w:val="22"/>
              </w:rPr>
              <w:t>2 (0.2)</w:t>
            </w:r>
          </w:p>
        </w:tc>
      </w:tr>
      <w:tr w:rsidR="00B378E4" w:rsidRPr="00666BAC" w:rsidTr="00B378E4">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B378E4" w:rsidRPr="00666BAC" w:rsidRDefault="00B378E4" w:rsidP="00210984">
            <w:pPr>
              <w:rPr>
                <w:szCs w:val="22"/>
              </w:rPr>
            </w:pPr>
            <w:r w:rsidRPr="00666BAC">
              <w:rPr>
                <w:szCs w:val="22"/>
              </w:rPr>
              <w:t>Inappropriate non-sexual relationship</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B378E4" w:rsidP="00B378E4">
            <w:pPr>
              <w:jc w:val="center"/>
            </w:pPr>
            <w:r w:rsidRPr="00666BAC">
              <w:rPr>
                <w:szCs w:val="22"/>
              </w:rPr>
              <w:t>2 (0.2)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8E4" w:rsidRPr="00666BAC" w:rsidRDefault="00B378E4" w:rsidP="00B378E4">
            <w:pPr>
              <w:jc w:val="center"/>
            </w:pPr>
            <w:r w:rsidRPr="00666BAC">
              <w:rPr>
                <w:szCs w:val="22"/>
              </w:rPr>
              <w:t>2 (0.2)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vAlign w:val="bottom"/>
          </w:tcPr>
          <w:p w:rsidR="00605B17" w:rsidRPr="00666BAC" w:rsidRDefault="00605B17" w:rsidP="007A553D">
            <w:pPr>
              <w:rPr>
                <w:b/>
                <w:i/>
                <w:szCs w:val="22"/>
              </w:rPr>
            </w:pPr>
            <w:r w:rsidRPr="00666BAC">
              <w:rPr>
                <w:b/>
                <w:i/>
                <w:szCs w:val="22"/>
              </w:rPr>
              <w:t>Care/Treatment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A36F4E" w:rsidP="00210984">
            <w:pPr>
              <w:jc w:val="center"/>
              <w:rPr>
                <w:b/>
                <w:i/>
                <w:szCs w:val="22"/>
              </w:rPr>
            </w:pPr>
            <w:r w:rsidRPr="00666BAC">
              <w:rPr>
                <w:b/>
                <w:i/>
                <w:szCs w:val="22"/>
              </w:rPr>
              <w:t>44</w:t>
            </w:r>
            <w:r w:rsidR="00EB0237" w:rsidRPr="00666BAC">
              <w:rPr>
                <w:b/>
                <w:i/>
                <w:szCs w:val="22"/>
              </w:rPr>
              <w:t>7</w:t>
            </w:r>
            <w:r w:rsidR="00B378E4" w:rsidRPr="00666BAC">
              <w:rPr>
                <w:b/>
                <w:i/>
                <w:szCs w:val="22"/>
              </w:rPr>
              <w:t xml:space="preserve"> (56)</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 xml:space="preserve">Delay in treatment </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12</w:t>
            </w:r>
            <w:r w:rsidR="00B378E4" w:rsidRPr="00666BAC">
              <w:rPr>
                <w:szCs w:val="22"/>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145</w:t>
            </w:r>
            <w:r w:rsidR="00B378E4" w:rsidRPr="00666BAC">
              <w:rPr>
                <w:szCs w:val="22"/>
              </w:rPr>
              <w:t xml:space="preserve"> (18)</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Delayed/inadequate/inappropriate referral</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11</w:t>
            </w:r>
            <w:r w:rsidR="00B378E4" w:rsidRPr="00666BAC">
              <w:rPr>
                <w:szCs w:val="22"/>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76</w:t>
            </w:r>
            <w:r w:rsidR="00B378E4" w:rsidRPr="00666BAC">
              <w:rPr>
                <w:szCs w:val="22"/>
              </w:rPr>
              <w:t xml:space="preserve"> (9)</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Inadequate coordination of care or 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10</w:t>
            </w:r>
            <w:r w:rsidR="00B378E4" w:rsidRPr="00666BAC">
              <w:rPr>
                <w:szCs w:val="22"/>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196</w:t>
            </w:r>
            <w:r w:rsidR="00B378E4" w:rsidRPr="00666BAC">
              <w:rPr>
                <w:szCs w:val="22"/>
              </w:rPr>
              <w:t xml:space="preserve"> (24)</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 xml:space="preserve">Inadequate/inappropriate clinical treatment </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72</w:t>
            </w:r>
            <w:r w:rsidR="00B378E4" w:rsidRPr="00666BAC">
              <w:rPr>
                <w:szCs w:val="22"/>
              </w:rPr>
              <w:t xml:space="preserve"> (9)</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345</w:t>
            </w:r>
            <w:r w:rsidR="00B378E4" w:rsidRPr="00666BAC">
              <w:rPr>
                <w:szCs w:val="22"/>
              </w:rPr>
              <w:t xml:space="preserve"> (43)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Inadequate/inappropriate examination/assessment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32</w:t>
            </w:r>
            <w:r w:rsidR="00B378E4" w:rsidRPr="00666BAC">
              <w:rPr>
                <w:szCs w:val="22"/>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232</w:t>
            </w:r>
            <w:r w:rsidR="00B378E4" w:rsidRPr="00666BAC">
              <w:rPr>
                <w:szCs w:val="22"/>
              </w:rPr>
              <w:t xml:space="preserve"> (29)</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605B17" w:rsidRPr="00666BAC" w:rsidRDefault="00605B17" w:rsidP="007A553D">
            <w:pPr>
              <w:rPr>
                <w:szCs w:val="22"/>
              </w:rPr>
            </w:pPr>
            <w:r w:rsidRPr="00666BAC">
              <w:rPr>
                <w:szCs w:val="22"/>
              </w:rPr>
              <w:t>Inadequate/inappropriate follow-up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12062E" w:rsidP="00210984">
            <w:pPr>
              <w:jc w:val="center"/>
              <w:rPr>
                <w:szCs w:val="22"/>
              </w:rPr>
            </w:pPr>
            <w:r w:rsidRPr="00666BAC">
              <w:rPr>
                <w:szCs w:val="22"/>
              </w:rPr>
              <w:t>18</w:t>
            </w:r>
            <w:r w:rsidR="00B378E4" w:rsidRPr="00666BAC">
              <w:rPr>
                <w:szCs w:val="22"/>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AE5129" w:rsidP="00FF473D">
            <w:pPr>
              <w:jc w:val="center"/>
              <w:rPr>
                <w:szCs w:val="22"/>
              </w:rPr>
            </w:pPr>
            <w:r w:rsidRPr="00666BAC">
              <w:rPr>
                <w:szCs w:val="22"/>
              </w:rPr>
              <w:t>139</w:t>
            </w:r>
            <w:r w:rsidR="00B378E4" w:rsidRPr="00666BAC">
              <w:rPr>
                <w:szCs w:val="22"/>
              </w:rPr>
              <w:t xml:space="preserve"> (17)</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Inadequate/inappropriate monitoring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12</w:t>
            </w:r>
            <w:r w:rsidR="00B378E4" w:rsidRPr="00666BAC">
              <w:rPr>
                <w:szCs w:val="22"/>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62</w:t>
            </w:r>
            <w:r w:rsidR="001E7D80" w:rsidRPr="00666BAC">
              <w:rPr>
                <w:szCs w:val="22"/>
              </w:rPr>
              <w:t xml:space="preserve"> (8)</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 xml:space="preserve">Inadequate/inappropriate non-clinical care </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12</w:t>
            </w:r>
            <w:r w:rsidR="00B378E4" w:rsidRPr="00666BAC">
              <w:rPr>
                <w:szCs w:val="22"/>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54</w:t>
            </w:r>
            <w:r w:rsidR="001E7D80" w:rsidRPr="00666BAC">
              <w:rPr>
                <w:szCs w:val="22"/>
              </w:rPr>
              <w:t xml:space="preserve"> (7)</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vAlign w:val="bottom"/>
          </w:tcPr>
          <w:p w:rsidR="00605B17" w:rsidRPr="00666BAC" w:rsidRDefault="00605B17" w:rsidP="007A553D">
            <w:pPr>
              <w:rPr>
                <w:szCs w:val="22"/>
              </w:rPr>
            </w:pPr>
            <w:r w:rsidRPr="00666BAC">
              <w:rPr>
                <w:szCs w:val="22"/>
              </w:rPr>
              <w:t>Inadequate/inappropriate testing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3</w:t>
            </w:r>
            <w:r w:rsidR="00B378E4" w:rsidRPr="00666BAC">
              <w:rPr>
                <w:szCs w:val="22"/>
              </w:rPr>
              <w:t xml:space="preserve"> (0.4)</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134</w:t>
            </w:r>
            <w:r w:rsidR="001E7D80" w:rsidRPr="00666BAC">
              <w:rPr>
                <w:szCs w:val="22"/>
              </w:rPr>
              <w:t xml:space="preserve"> (17)</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 admission/failure to admit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1</w:t>
            </w:r>
            <w:r w:rsidR="00B378E4" w:rsidRPr="00666BA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14</w:t>
            </w:r>
            <w:r w:rsidR="001E7D80" w:rsidRPr="00666BAC">
              <w:rPr>
                <w:szCs w:val="22"/>
              </w:rPr>
              <w:t xml:space="preserve"> (2)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Inappropriate/delayed discharge/transfer</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25</w:t>
            </w:r>
            <w:r w:rsidR="00B378E4" w:rsidRPr="00666BAC">
              <w:rPr>
                <w:szCs w:val="22"/>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137</w:t>
            </w:r>
            <w:r w:rsidR="001E7D80" w:rsidRPr="00666BAC">
              <w:rPr>
                <w:szCs w:val="22"/>
              </w:rPr>
              <w:t xml:space="preserve"> (17)</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 withdrawal of 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7</w:t>
            </w:r>
            <w:r w:rsidR="00B378E4" w:rsidRPr="00666BAC">
              <w:rPr>
                <w:szCs w:val="22"/>
              </w:rPr>
              <w:t xml:space="preserve"> (0.9)</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18</w:t>
            </w:r>
            <w:r w:rsidR="001E7D80" w:rsidRPr="00666BAC">
              <w:rPr>
                <w:szCs w:val="22"/>
              </w:rPr>
              <w:t xml:space="preserve"> (2)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Missed/incorrect/delayed diagnosis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129</w:t>
            </w:r>
            <w:r w:rsidR="00B378E4" w:rsidRPr="00666BAC">
              <w:rPr>
                <w:szCs w:val="22"/>
              </w:rPr>
              <w:t xml:space="preserve"> (16)</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1</w:t>
            </w:r>
            <w:r w:rsidR="00433969" w:rsidRPr="00666BAC">
              <w:rPr>
                <w:szCs w:val="22"/>
              </w:rPr>
              <w:t>84</w:t>
            </w:r>
            <w:r w:rsidR="001E7D80" w:rsidRPr="00666BAC">
              <w:rPr>
                <w:szCs w:val="22"/>
              </w:rPr>
              <w:t xml:space="preserve"> (23)</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Personal privacy not respected</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7</w:t>
            </w:r>
            <w:r w:rsidR="001E7D80" w:rsidRPr="00666BAC">
              <w:rPr>
                <w:szCs w:val="22"/>
              </w:rPr>
              <w:t xml:space="preserve"> (0.9)</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Refusal to assist/attend</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B378E4" w:rsidP="00210984">
            <w:pPr>
              <w:jc w:val="center"/>
              <w:rPr>
                <w:szCs w:val="22"/>
              </w:rPr>
            </w:pPr>
            <w:r w:rsidRPr="00666BAC">
              <w:rPr>
                <w:szCs w:val="22"/>
              </w:rPr>
              <w:t>2 (0.2)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16</w:t>
            </w:r>
            <w:r w:rsidR="001E7D80" w:rsidRPr="00666BAC">
              <w:rPr>
                <w:szCs w:val="22"/>
              </w:rPr>
              <w:t xml:space="preserve"> (2)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Refusal to treat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9</w:t>
            </w:r>
            <w:r w:rsidR="00B378E4" w:rsidRPr="00666BAC">
              <w:rPr>
                <w:szCs w:val="22"/>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3</w:t>
            </w:r>
            <w:r w:rsidR="001E7D80" w:rsidRPr="00666BAC">
              <w:rPr>
                <w:szCs w:val="22"/>
              </w:rPr>
              <w:t>3 (4)</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Rough/painful care or 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7</w:t>
            </w:r>
            <w:r w:rsidR="00B378E4" w:rsidRPr="00666BAC">
              <w:rPr>
                <w:szCs w:val="22"/>
              </w:rPr>
              <w:t xml:space="preserve"> (0.9)</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37</w:t>
            </w:r>
            <w:r w:rsidR="001E7D80" w:rsidRPr="00666BAC">
              <w:rPr>
                <w:szCs w:val="22"/>
              </w:rPr>
              <w:t xml:space="preserve"> (5)</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Unexpected treatment outcome</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2062E" w:rsidP="00210984">
            <w:pPr>
              <w:jc w:val="center"/>
              <w:rPr>
                <w:szCs w:val="22"/>
              </w:rPr>
            </w:pPr>
            <w:r w:rsidRPr="00666BAC">
              <w:rPr>
                <w:szCs w:val="22"/>
              </w:rPr>
              <w:t>80</w:t>
            </w:r>
            <w:r w:rsidR="00B378E4" w:rsidRPr="00666BAC">
              <w:rPr>
                <w:szCs w:val="22"/>
              </w:rPr>
              <w:t xml:space="preserve"> (10)</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154</w:t>
            </w:r>
            <w:r w:rsidR="001E7D80" w:rsidRPr="00666BAC">
              <w:rPr>
                <w:szCs w:val="22"/>
              </w:rPr>
              <w:t xml:space="preserve"> (19)</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Unnecessary treatment/over-servicing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5</w:t>
            </w:r>
            <w:r w:rsidR="00B378E4" w:rsidRPr="00666BAC">
              <w:rPr>
                <w:szCs w:val="22"/>
              </w:rPr>
              <w:t xml:space="preserve"> (0.6)</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AE5129" w:rsidP="00FF473D">
            <w:pPr>
              <w:jc w:val="center"/>
              <w:rPr>
                <w:szCs w:val="22"/>
              </w:rPr>
            </w:pPr>
            <w:r w:rsidRPr="00666BAC">
              <w:rPr>
                <w:szCs w:val="22"/>
              </w:rPr>
              <w:t>1</w:t>
            </w:r>
            <w:r w:rsidR="00433969" w:rsidRPr="00666BAC">
              <w:rPr>
                <w:szCs w:val="22"/>
              </w:rPr>
              <w:t>9</w:t>
            </w:r>
            <w:r w:rsidR="001E7D80" w:rsidRPr="00666BAC">
              <w:rPr>
                <w:szCs w:val="22"/>
              </w:rPr>
              <w:t xml:space="preserve"> (2)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Communication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EB0237" w:rsidP="00210984">
            <w:pPr>
              <w:jc w:val="center"/>
              <w:rPr>
                <w:b/>
                <w:i/>
                <w:szCs w:val="22"/>
              </w:rPr>
            </w:pPr>
            <w:r w:rsidRPr="00666BAC">
              <w:rPr>
                <w:b/>
                <w:i/>
                <w:szCs w:val="22"/>
              </w:rPr>
              <w:t>82</w:t>
            </w:r>
            <w:r w:rsidR="001E7D80" w:rsidRPr="00666BAC">
              <w:rPr>
                <w:b/>
                <w:i/>
                <w:szCs w:val="22"/>
              </w:rPr>
              <w:t xml:space="preserve"> (10)</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Disrespectful manner/attitude</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39</w:t>
            </w:r>
            <w:r w:rsidR="001E7D80" w:rsidRPr="00666BAC">
              <w:rPr>
                <w:szCs w:val="22"/>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433969">
            <w:pPr>
              <w:jc w:val="center"/>
              <w:rPr>
                <w:szCs w:val="22"/>
              </w:rPr>
            </w:pPr>
            <w:r w:rsidRPr="00666BAC">
              <w:rPr>
                <w:szCs w:val="22"/>
              </w:rPr>
              <w:t>199</w:t>
            </w:r>
            <w:r w:rsidR="001E7D80" w:rsidRPr="00666BAC">
              <w:rPr>
                <w:szCs w:val="22"/>
              </w:rPr>
              <w:t xml:space="preserve"> (25)</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Failure to accommodate cultural/language needs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1</w:t>
            </w:r>
            <w:r w:rsidR="001E7D80" w:rsidRPr="00666BA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16</w:t>
            </w:r>
            <w:r w:rsidR="001E7D80" w:rsidRPr="00666BAC">
              <w:rPr>
                <w:szCs w:val="22"/>
              </w:rPr>
              <w:t xml:space="preserve"> (2)</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Failure to communicate openly/honestly/effectively with consumer</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20</w:t>
            </w:r>
            <w:r w:rsidR="001E7D80" w:rsidRPr="00666BAC">
              <w:rPr>
                <w:szCs w:val="22"/>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307</w:t>
            </w:r>
            <w:r w:rsidR="001E7D80" w:rsidRPr="00666BAC">
              <w:rPr>
                <w:szCs w:val="22"/>
              </w:rPr>
              <w:t xml:space="preserve"> (38)</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Failure to communicate openly/honestly/effectively with family</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17</w:t>
            </w:r>
            <w:r w:rsidR="001E7D80" w:rsidRPr="00666BAC">
              <w:rPr>
                <w:szCs w:val="22"/>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195</w:t>
            </w:r>
            <w:r w:rsidR="001E7D80" w:rsidRPr="00666BAC">
              <w:rPr>
                <w:szCs w:val="22"/>
              </w:rPr>
              <w:t xml:space="preserve"> (24)</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Insensitive/inappropriate comments (not sexual)</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5</w:t>
            </w:r>
            <w:r w:rsidR="001E7D80" w:rsidRPr="00666BAC">
              <w:rPr>
                <w:szCs w:val="22"/>
              </w:rPr>
              <w:t xml:space="preserve"> (0.6)</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56</w:t>
            </w:r>
            <w:r w:rsidR="001E7D80" w:rsidRPr="00666BAC">
              <w:rPr>
                <w:szCs w:val="22"/>
              </w:rPr>
              <w:t xml:space="preserve"> (7)</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Complaints process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EB0237" w:rsidP="00210984">
            <w:pPr>
              <w:jc w:val="center"/>
              <w:rPr>
                <w:b/>
                <w:i/>
                <w:szCs w:val="22"/>
              </w:rPr>
            </w:pPr>
            <w:r w:rsidRPr="00666BAC">
              <w:rPr>
                <w:b/>
                <w:i/>
                <w:szCs w:val="22"/>
              </w:rPr>
              <w:t>9</w:t>
            </w:r>
            <w:r w:rsidR="001E7D80" w:rsidRPr="00666BAC">
              <w:rPr>
                <w:b/>
                <w:i/>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084AFE"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84AFE" w:rsidRPr="00666BAC" w:rsidRDefault="00084AFE" w:rsidP="007A553D">
            <w:pPr>
              <w:rPr>
                <w:szCs w:val="22"/>
              </w:rPr>
            </w:pPr>
            <w:r w:rsidRPr="00666BAC">
              <w:rPr>
                <w:szCs w:val="22"/>
              </w:rPr>
              <w:t>Inadequate information provided regarding complaints process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84AFE" w:rsidRPr="00666BAC" w:rsidRDefault="001E7D80"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4AFE" w:rsidRPr="00666BAC" w:rsidRDefault="00433969" w:rsidP="00FF473D">
            <w:pPr>
              <w:jc w:val="center"/>
              <w:rPr>
                <w:szCs w:val="22"/>
              </w:rPr>
            </w:pPr>
            <w:r w:rsidRPr="00666BAC">
              <w:rPr>
                <w:szCs w:val="22"/>
              </w:rPr>
              <w:t>6</w:t>
            </w:r>
            <w:r w:rsidR="001E7D80" w:rsidRPr="00666BAC">
              <w:rPr>
                <w:szCs w:val="22"/>
              </w:rPr>
              <w:t xml:space="preserve"> (0.7)</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Inadequate response to complaint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EB0237" w:rsidP="00210984">
            <w:pPr>
              <w:jc w:val="center"/>
              <w:rPr>
                <w:szCs w:val="22"/>
              </w:rPr>
            </w:pPr>
            <w:r w:rsidRPr="00666BAC">
              <w:rPr>
                <w:szCs w:val="22"/>
              </w:rPr>
              <w:t>9</w:t>
            </w:r>
            <w:r w:rsidR="001E7D80" w:rsidRPr="00666BAC">
              <w:rPr>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433969" w:rsidP="00FF473D">
            <w:pPr>
              <w:jc w:val="center"/>
              <w:rPr>
                <w:szCs w:val="22"/>
              </w:rPr>
            </w:pPr>
            <w:r w:rsidRPr="00666BAC">
              <w:rPr>
                <w:szCs w:val="22"/>
              </w:rPr>
              <w:t>178</w:t>
            </w:r>
            <w:r w:rsidR="001E7D80" w:rsidRPr="00666BAC">
              <w:rPr>
                <w:szCs w:val="22"/>
              </w:rPr>
              <w:t xml:space="preserve"> (22)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Retaliation/discrimination as a result of a complaint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1E7D80"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433969" w:rsidP="00FF473D">
            <w:pPr>
              <w:jc w:val="center"/>
              <w:rPr>
                <w:szCs w:val="22"/>
              </w:rPr>
            </w:pPr>
            <w:r w:rsidRPr="00666BAC">
              <w:rPr>
                <w:szCs w:val="22"/>
              </w:rPr>
              <w:t>14</w:t>
            </w:r>
            <w:r w:rsidR="001E7D80" w:rsidRPr="00666BAC">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Consent/Information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EB0237" w:rsidP="00210984">
            <w:pPr>
              <w:jc w:val="center"/>
              <w:rPr>
                <w:b/>
                <w:i/>
                <w:szCs w:val="22"/>
              </w:rPr>
            </w:pPr>
            <w:r w:rsidRPr="00666BAC">
              <w:rPr>
                <w:b/>
                <w:i/>
                <w:szCs w:val="22"/>
              </w:rPr>
              <w:t>71</w:t>
            </w:r>
            <w:r w:rsidR="001E7D80" w:rsidRPr="00666BAC">
              <w:rPr>
                <w:b/>
                <w:i/>
                <w:szCs w:val="22"/>
              </w:rPr>
              <w:t xml:space="preserve"> (9)</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Coercion by provider to obtain consent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1</w:t>
            </w:r>
            <w:r w:rsidR="001E7D80" w:rsidRPr="00666BA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301E" w:rsidP="00FF473D">
            <w:pPr>
              <w:jc w:val="center"/>
              <w:rPr>
                <w:szCs w:val="22"/>
              </w:rPr>
            </w:pPr>
            <w:r w:rsidRPr="00666BAC">
              <w:rPr>
                <w:szCs w:val="22"/>
              </w:rPr>
              <w:t>6</w:t>
            </w:r>
            <w:r w:rsidR="001E7D80" w:rsidRPr="00666BAC">
              <w:rPr>
                <w:szCs w:val="22"/>
              </w:rPr>
              <w:t xml:space="preserve"> (0.7)</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Consent not obtained/adequate</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14</w:t>
            </w:r>
            <w:r w:rsidR="001E7D80" w:rsidRPr="00666BAC">
              <w:rPr>
                <w:szCs w:val="22"/>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40</w:t>
            </w:r>
            <w:r w:rsidR="001E7D80" w:rsidRPr="00666BAC">
              <w:rPr>
                <w:szCs w:val="22"/>
              </w:rPr>
              <w:t xml:space="preserve"> (5)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provided regarding adverse event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3</w:t>
            </w:r>
            <w:r w:rsidR="001E7D80" w:rsidRPr="00666BAC">
              <w:rPr>
                <w:szCs w:val="22"/>
              </w:rPr>
              <w:t xml:space="preserve"> (0.4)</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25</w:t>
            </w:r>
            <w:r w:rsidR="001E7D80" w:rsidRPr="00666BAC">
              <w:rPr>
                <w:szCs w:val="22"/>
              </w:rPr>
              <w:t xml:space="preserve"> (3)</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provided regarding condition</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7</w:t>
            </w:r>
            <w:r w:rsidR="001E7D80" w:rsidRPr="00666BAC">
              <w:rPr>
                <w:szCs w:val="22"/>
              </w:rPr>
              <w:t xml:space="preserve"> (0.9)</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41</w:t>
            </w:r>
            <w:r w:rsidR="001E7D80" w:rsidRPr="00666BAC">
              <w:rPr>
                <w:szCs w:val="22"/>
              </w:rPr>
              <w:t xml:space="preserve"> (5)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provided re</w:t>
            </w:r>
            <w:r w:rsidR="00EB0237" w:rsidRPr="00666BAC">
              <w:rPr>
                <w:szCs w:val="22"/>
              </w:rPr>
              <w:t>garding</w:t>
            </w:r>
            <w:r w:rsidRPr="00666BAC">
              <w:rPr>
                <w:szCs w:val="22"/>
              </w:rPr>
              <w:t xml:space="preserve"> fees/costs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3</w:t>
            </w:r>
            <w:r w:rsidR="001E7D80" w:rsidRPr="00666BAC">
              <w:rPr>
                <w:szCs w:val="22"/>
              </w:rPr>
              <w:t xml:space="preserve"> (0.4)</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301E" w:rsidP="00FF473D">
            <w:pPr>
              <w:jc w:val="center"/>
              <w:rPr>
                <w:szCs w:val="22"/>
              </w:rPr>
            </w:pPr>
            <w:r w:rsidRPr="00666BAC">
              <w:rPr>
                <w:szCs w:val="22"/>
              </w:rPr>
              <w:t>5</w:t>
            </w:r>
            <w:r w:rsidR="001E7D80" w:rsidRPr="00666BAC">
              <w:rPr>
                <w:szCs w:val="22"/>
              </w:rPr>
              <w:t xml:space="preserve"> (0.6)</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provided re</w:t>
            </w:r>
            <w:r w:rsidR="00EB0237" w:rsidRPr="00666BAC">
              <w:rPr>
                <w:szCs w:val="22"/>
              </w:rPr>
              <w:t>garding</w:t>
            </w:r>
            <w:r w:rsidRPr="00666BAC">
              <w:rPr>
                <w:szCs w:val="22"/>
              </w:rPr>
              <w:t xml:space="preserve"> options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1E7D80"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22</w:t>
            </w:r>
            <w:r w:rsidR="001E7D80" w:rsidRPr="00666BAC">
              <w:rPr>
                <w:szCs w:val="22"/>
              </w:rPr>
              <w:t xml:space="preserve"> (3)</w:t>
            </w:r>
          </w:p>
        </w:tc>
      </w:tr>
      <w:tr w:rsidR="00433969"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433969" w:rsidRPr="00666BAC" w:rsidRDefault="00433969" w:rsidP="007A553D">
            <w:pPr>
              <w:rPr>
                <w:szCs w:val="22"/>
              </w:rPr>
            </w:pPr>
            <w:r w:rsidRPr="00666BAC">
              <w:rPr>
                <w:szCs w:val="22"/>
              </w:rPr>
              <w:t>Inadequate information provided regarding provider</w:t>
            </w:r>
          </w:p>
        </w:tc>
        <w:tc>
          <w:tcPr>
            <w:tcW w:w="1842" w:type="dxa"/>
            <w:tcBorders>
              <w:top w:val="single" w:sz="4" w:space="0" w:color="auto"/>
              <w:left w:val="single" w:sz="4" w:space="0" w:color="auto"/>
              <w:bottom w:val="single" w:sz="4" w:space="0" w:color="auto"/>
              <w:right w:val="single" w:sz="4" w:space="0" w:color="auto"/>
            </w:tcBorders>
            <w:vAlign w:val="center"/>
          </w:tcPr>
          <w:p w:rsidR="00433969" w:rsidRPr="00666BAC" w:rsidRDefault="001E7D80"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433969" w:rsidRPr="00666BAC" w:rsidRDefault="00433969" w:rsidP="00FF473D">
            <w:pPr>
              <w:jc w:val="center"/>
              <w:rPr>
                <w:szCs w:val="22"/>
              </w:rPr>
            </w:pPr>
            <w:r w:rsidRPr="00666BAC">
              <w:rPr>
                <w:szCs w:val="22"/>
              </w:rPr>
              <w:t>12</w:t>
            </w:r>
            <w:r w:rsidR="00C74793" w:rsidRPr="00666BAC">
              <w:rPr>
                <w:szCs w:val="22"/>
              </w:rPr>
              <w:t xml:space="preserve"> (1)</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regarding results</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4</w:t>
            </w:r>
            <w:r w:rsidR="001E7D80" w:rsidRPr="00666BAC">
              <w:rPr>
                <w:szCs w:val="22"/>
              </w:rPr>
              <w:t xml:space="preserve"> (0.5)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24</w:t>
            </w:r>
            <w:r w:rsidR="00C74793" w:rsidRPr="00666BAC">
              <w:rPr>
                <w:szCs w:val="22"/>
              </w:rPr>
              <w:t xml:space="preserve"> (3)</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Inadequate information provided regarding 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5</w:t>
            </w:r>
            <w:r w:rsidR="001E7D80" w:rsidRPr="00666BAC">
              <w:rPr>
                <w:szCs w:val="22"/>
              </w:rPr>
              <w:t xml:space="preserve"> (0.6)</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80</w:t>
            </w:r>
            <w:r w:rsidR="00C74793" w:rsidRPr="00666BAC">
              <w:rPr>
                <w:szCs w:val="22"/>
              </w:rPr>
              <w:t xml:space="preserve"> (10)</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Incorrect/misleading information provided</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2</w:t>
            </w:r>
            <w:r w:rsidR="001E7D80" w:rsidRPr="00666BA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30</w:t>
            </w:r>
            <w:r w:rsidR="00C74793" w:rsidRPr="00666BAC">
              <w:rPr>
                <w:szCs w:val="22"/>
              </w:rPr>
              <w:t xml:space="preserve"> (4)</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Issues regarding consent when consumer not competent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1</w:t>
            </w:r>
            <w:r w:rsidR="001E7D80" w:rsidRPr="00666BA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5</w:t>
            </w:r>
            <w:r w:rsidR="00C74793" w:rsidRPr="00666BAC">
              <w:rPr>
                <w:szCs w:val="22"/>
              </w:rPr>
              <w:t xml:space="preserve"> (0.6)</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Issues with involuntary admission/treatment</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31</w:t>
            </w:r>
            <w:r w:rsidR="001E7D80" w:rsidRPr="00666BAC">
              <w:rPr>
                <w:szCs w:val="22"/>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433969" w:rsidP="00FF473D">
            <w:pPr>
              <w:jc w:val="center"/>
              <w:rPr>
                <w:szCs w:val="22"/>
              </w:rPr>
            </w:pPr>
            <w:r w:rsidRPr="00666BAC">
              <w:rPr>
                <w:szCs w:val="22"/>
              </w:rPr>
              <w:t>33</w:t>
            </w:r>
            <w:r w:rsidR="00C74793" w:rsidRPr="00666BAC">
              <w:rPr>
                <w:szCs w:val="22"/>
              </w:rPr>
              <w:t xml:space="preserve"> (4)</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Documentation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EB0237" w:rsidP="00210984">
            <w:pPr>
              <w:jc w:val="center"/>
              <w:rPr>
                <w:b/>
                <w:i/>
                <w:szCs w:val="22"/>
              </w:rPr>
            </w:pPr>
            <w:r w:rsidRPr="00666BAC">
              <w:rPr>
                <w:b/>
                <w:i/>
                <w:szCs w:val="22"/>
              </w:rPr>
              <w:t>10</w:t>
            </w:r>
            <w:r w:rsidR="00C74793" w:rsidRPr="00666BAC">
              <w:rPr>
                <w:b/>
                <w:i/>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Delay/failure to disclose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EB0237" w:rsidP="00210984">
            <w:pPr>
              <w:jc w:val="center"/>
              <w:rPr>
                <w:szCs w:val="22"/>
              </w:rPr>
            </w:pPr>
            <w:r w:rsidRPr="00666BAC">
              <w:rPr>
                <w:szCs w:val="22"/>
              </w:rPr>
              <w:t>4</w:t>
            </w:r>
            <w:r w:rsidR="00C74793" w:rsidRPr="00666BAC">
              <w:rPr>
                <w:szCs w:val="22"/>
              </w:rPr>
              <w:t xml:space="preserve"> (0.5)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301E" w:rsidP="00FF473D">
            <w:pPr>
              <w:jc w:val="center"/>
              <w:rPr>
                <w:szCs w:val="22"/>
              </w:rPr>
            </w:pPr>
            <w:r w:rsidRPr="00666BAC">
              <w:rPr>
                <w:szCs w:val="22"/>
              </w:rPr>
              <w:t>10</w:t>
            </w:r>
            <w:r w:rsidR="00C74793" w:rsidRPr="00666BAC">
              <w:rPr>
                <w:szCs w:val="22"/>
              </w:rPr>
              <w:t xml:space="preserve"> (1)</w:t>
            </w:r>
          </w:p>
        </w:tc>
      </w:tr>
      <w:tr w:rsidR="00E96109"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E96109" w:rsidRPr="00666BAC" w:rsidRDefault="00E96109" w:rsidP="00E96109">
            <w:pPr>
              <w:rPr>
                <w:szCs w:val="22"/>
              </w:rPr>
            </w:pPr>
            <w:r w:rsidRPr="00666BAC">
              <w:rPr>
                <w:szCs w:val="22"/>
              </w:rPr>
              <w:t>Delay/failure to transfer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E96109" w:rsidRPr="00666BAC" w:rsidRDefault="00042FD5"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E96109" w:rsidRPr="00666BAC" w:rsidRDefault="000E301E" w:rsidP="00FF473D">
            <w:pPr>
              <w:jc w:val="center"/>
              <w:rPr>
                <w:szCs w:val="22"/>
              </w:rPr>
            </w:pPr>
            <w:r w:rsidRPr="00666BAC">
              <w:rPr>
                <w:szCs w:val="22"/>
              </w:rPr>
              <w:t>2</w:t>
            </w:r>
            <w:r w:rsidR="00C74793" w:rsidRPr="00666BAC">
              <w:rPr>
                <w:szCs w:val="22"/>
              </w:rPr>
              <w:t xml:space="preserve"> (0.2)</w:t>
            </w:r>
          </w:p>
        </w:tc>
      </w:tr>
      <w:tr w:rsidR="00D66C86"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D66C86" w:rsidRPr="00666BAC" w:rsidRDefault="00D66C86" w:rsidP="00D66C86">
            <w:pPr>
              <w:rPr>
                <w:szCs w:val="22"/>
              </w:rPr>
            </w:pPr>
            <w:r w:rsidRPr="00666BAC">
              <w:rPr>
                <w:szCs w:val="22"/>
              </w:rPr>
              <w:t>Inadequate/inaccurate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D66C86" w:rsidRPr="00666BAC" w:rsidRDefault="00EB0237" w:rsidP="00D66C86">
            <w:pPr>
              <w:jc w:val="center"/>
              <w:rPr>
                <w:szCs w:val="22"/>
              </w:rPr>
            </w:pPr>
            <w:r w:rsidRPr="00666BAC">
              <w:rPr>
                <w:szCs w:val="22"/>
              </w:rPr>
              <w:t>4</w:t>
            </w:r>
            <w:r w:rsidR="00C74793" w:rsidRPr="00666BAC">
              <w:rPr>
                <w:szCs w:val="22"/>
              </w:rPr>
              <w:t xml:space="preserve"> (0.5)</w:t>
            </w:r>
          </w:p>
        </w:tc>
        <w:tc>
          <w:tcPr>
            <w:tcW w:w="1843" w:type="dxa"/>
            <w:tcBorders>
              <w:top w:val="single" w:sz="4" w:space="0" w:color="auto"/>
              <w:left w:val="single" w:sz="4" w:space="0" w:color="auto"/>
              <w:bottom w:val="single" w:sz="4" w:space="0" w:color="auto"/>
              <w:right w:val="single" w:sz="4" w:space="0" w:color="auto"/>
            </w:tcBorders>
            <w:vAlign w:val="center"/>
          </w:tcPr>
          <w:p w:rsidR="00D66C86" w:rsidRPr="00666BAC" w:rsidRDefault="000E301E" w:rsidP="00FF473D">
            <w:pPr>
              <w:jc w:val="center"/>
              <w:rPr>
                <w:szCs w:val="22"/>
              </w:rPr>
            </w:pPr>
            <w:r w:rsidRPr="00666BAC">
              <w:rPr>
                <w:szCs w:val="22"/>
              </w:rPr>
              <w:t>51</w:t>
            </w:r>
            <w:r w:rsidR="00C74793" w:rsidRPr="00666BAC">
              <w:rPr>
                <w:szCs w:val="22"/>
              </w:rPr>
              <w:t xml:space="preserve"> (6)</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D66C86" w:rsidP="009D121B">
            <w:pPr>
              <w:jc w:val="left"/>
              <w:rPr>
                <w:szCs w:val="22"/>
              </w:rPr>
            </w:pPr>
            <w:r w:rsidRPr="00666BAC">
              <w:rPr>
                <w:szCs w:val="22"/>
              </w:rPr>
              <w:t>Inappropriate maintenance/disposal of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042FD5"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301E" w:rsidP="00FF473D">
            <w:pPr>
              <w:jc w:val="center"/>
              <w:rPr>
                <w:szCs w:val="22"/>
              </w:rPr>
            </w:pPr>
            <w:r w:rsidRPr="00666BAC">
              <w:rPr>
                <w:szCs w:val="22"/>
              </w:rPr>
              <w:t>3</w:t>
            </w:r>
            <w:r w:rsidR="00C74793" w:rsidRPr="00666BAC">
              <w:rPr>
                <w:szCs w:val="22"/>
              </w:rPr>
              <w:t xml:space="preserve"> (0.4)</w:t>
            </w:r>
          </w:p>
        </w:tc>
      </w:tr>
      <w:tr w:rsidR="00EB023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EB0237" w:rsidRPr="00666BAC" w:rsidRDefault="00EB0237" w:rsidP="009D121B">
            <w:pPr>
              <w:jc w:val="left"/>
              <w:rPr>
                <w:szCs w:val="22"/>
              </w:rPr>
            </w:pPr>
            <w:r w:rsidRPr="00666BAC">
              <w:rPr>
                <w:szCs w:val="22"/>
              </w:rPr>
              <w:t>Intentionally misleading/altered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EB0237" w:rsidRPr="00666BAC" w:rsidRDefault="00EB0237" w:rsidP="00210984">
            <w:pPr>
              <w:jc w:val="center"/>
              <w:rPr>
                <w:szCs w:val="22"/>
              </w:rPr>
            </w:pPr>
            <w:r w:rsidRPr="00666BAC">
              <w:rPr>
                <w:szCs w:val="22"/>
              </w:rPr>
              <w:t>2</w:t>
            </w:r>
            <w:r w:rsidR="00C74793" w:rsidRPr="00666BA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vAlign w:val="center"/>
          </w:tcPr>
          <w:p w:rsidR="00EB0237" w:rsidRPr="00666BAC" w:rsidRDefault="000E301E" w:rsidP="00FF473D">
            <w:pPr>
              <w:jc w:val="center"/>
              <w:rPr>
                <w:szCs w:val="22"/>
              </w:rPr>
            </w:pPr>
            <w:r w:rsidRPr="00666BAC">
              <w:rPr>
                <w:szCs w:val="22"/>
              </w:rPr>
              <w:t>3</w:t>
            </w:r>
            <w:r w:rsidR="00C74793" w:rsidRPr="00666BAC">
              <w:rPr>
                <w:szCs w:val="22"/>
              </w:rPr>
              <w:t xml:space="preserve"> (0.4)</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Facility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EB0237" w:rsidP="00210984">
            <w:pPr>
              <w:jc w:val="center"/>
              <w:rPr>
                <w:b/>
                <w:i/>
                <w:szCs w:val="22"/>
              </w:rPr>
            </w:pPr>
            <w:r w:rsidRPr="00666BAC">
              <w:rPr>
                <w:b/>
                <w:i/>
                <w:szCs w:val="22"/>
              </w:rPr>
              <w:t>14</w:t>
            </w:r>
            <w:r w:rsidR="00042FD5" w:rsidRPr="00666BAC">
              <w:rPr>
                <w:b/>
                <w:i/>
                <w:szCs w:val="22"/>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E96109"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E96109" w:rsidRPr="00666BAC" w:rsidRDefault="00E96109" w:rsidP="007A553D">
            <w:pPr>
              <w:rPr>
                <w:szCs w:val="22"/>
              </w:rPr>
            </w:pPr>
            <w:r w:rsidRPr="00666BAC">
              <w:rPr>
                <w:szCs w:val="22"/>
              </w:rPr>
              <w:t>Accreditation standards/statutory obligations not met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96109" w:rsidRPr="00666BAC" w:rsidRDefault="00042FD5"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96109" w:rsidRPr="00666BAC" w:rsidRDefault="000E301E" w:rsidP="00FF473D">
            <w:pPr>
              <w:jc w:val="center"/>
              <w:rPr>
                <w:szCs w:val="22"/>
              </w:rPr>
            </w:pPr>
            <w:r w:rsidRPr="00666BAC">
              <w:rPr>
                <w:szCs w:val="22"/>
              </w:rPr>
              <w:t>3</w:t>
            </w:r>
            <w:r w:rsidR="00C74793" w:rsidRPr="00666BAC">
              <w:rPr>
                <w:szCs w:val="22"/>
              </w:rPr>
              <w:t xml:space="preserve"> (0.4)</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Cleanliness/hygiene issue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42FD5"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301E" w:rsidP="00FF473D">
            <w:pPr>
              <w:jc w:val="center"/>
              <w:rPr>
                <w:szCs w:val="22"/>
              </w:rPr>
            </w:pPr>
            <w:r w:rsidRPr="00666BAC">
              <w:rPr>
                <w:szCs w:val="22"/>
              </w:rPr>
              <w:t>18</w:t>
            </w:r>
            <w:r w:rsidR="003B399F">
              <w:rPr>
                <w:szCs w:val="22"/>
              </w:rPr>
              <w:t xml:space="preserve"> (2</w:t>
            </w:r>
            <w:r w:rsidR="00C74793" w:rsidRPr="00666BAC">
              <w:rPr>
                <w:szCs w:val="22"/>
              </w:rPr>
              <w:t>)</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Failure to follow policies/procedures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42FD5"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301E" w:rsidP="00FF473D">
            <w:pPr>
              <w:jc w:val="center"/>
              <w:rPr>
                <w:szCs w:val="22"/>
              </w:rPr>
            </w:pPr>
            <w:r w:rsidRPr="00666BAC">
              <w:rPr>
                <w:szCs w:val="22"/>
              </w:rPr>
              <w:t>12</w:t>
            </w:r>
            <w:r w:rsidR="00C74793" w:rsidRPr="00666BAC">
              <w:rPr>
                <w:szCs w:val="22"/>
              </w:rPr>
              <w:t xml:space="preserve"> (1)</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General safety issue for consumer in facility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EB0237" w:rsidP="00210984">
            <w:pPr>
              <w:jc w:val="center"/>
              <w:rPr>
                <w:szCs w:val="22"/>
              </w:rPr>
            </w:pPr>
            <w:r w:rsidRPr="00666BAC">
              <w:rPr>
                <w:szCs w:val="22"/>
              </w:rPr>
              <w:t>5</w:t>
            </w:r>
            <w:r w:rsidR="00042FD5" w:rsidRPr="00666BAC">
              <w:rPr>
                <w:szCs w:val="22"/>
              </w:rPr>
              <w:t xml:space="preserve"> (0.6)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301E" w:rsidP="00FF473D">
            <w:pPr>
              <w:jc w:val="center"/>
              <w:rPr>
                <w:szCs w:val="22"/>
              </w:rPr>
            </w:pPr>
            <w:r w:rsidRPr="00666BAC">
              <w:rPr>
                <w:szCs w:val="22"/>
              </w:rPr>
              <w:t>17</w:t>
            </w:r>
            <w:r w:rsidR="00C74793" w:rsidRPr="00666BAC">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Inadequate/inappropriate policies/procedures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EB0237" w:rsidP="00210984">
            <w:pPr>
              <w:jc w:val="center"/>
              <w:rPr>
                <w:szCs w:val="22"/>
              </w:rPr>
            </w:pPr>
            <w:r w:rsidRPr="00666BAC">
              <w:rPr>
                <w:szCs w:val="22"/>
              </w:rPr>
              <w:t>1</w:t>
            </w:r>
            <w:r w:rsidR="00042FD5" w:rsidRPr="00666BA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301E" w:rsidP="00FF473D">
            <w:pPr>
              <w:jc w:val="center"/>
              <w:rPr>
                <w:szCs w:val="22"/>
              </w:rPr>
            </w:pPr>
            <w:r w:rsidRPr="00666BAC">
              <w:rPr>
                <w:szCs w:val="22"/>
              </w:rPr>
              <w:t>49</w:t>
            </w:r>
            <w:r w:rsidR="00C74793" w:rsidRPr="00666BAC">
              <w:rPr>
                <w:szCs w:val="22"/>
              </w:rPr>
              <w:t xml:space="preserve"> (6)</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Issue with sharing facility with other consumers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EB0237" w:rsidP="00210984">
            <w:pPr>
              <w:jc w:val="center"/>
              <w:rPr>
                <w:szCs w:val="22"/>
              </w:rPr>
            </w:pPr>
            <w:r w:rsidRPr="00666BAC">
              <w:rPr>
                <w:szCs w:val="22"/>
              </w:rPr>
              <w:t>1</w:t>
            </w:r>
            <w:r w:rsidR="00042FD5" w:rsidRPr="00666BA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301E" w:rsidP="00FF473D">
            <w:pPr>
              <w:jc w:val="center"/>
              <w:rPr>
                <w:szCs w:val="22"/>
              </w:rPr>
            </w:pPr>
            <w:r w:rsidRPr="00666BAC">
              <w:rPr>
                <w:szCs w:val="22"/>
              </w:rPr>
              <w:t>6</w:t>
            </w:r>
            <w:r w:rsidR="00C74793" w:rsidRPr="00666BAC">
              <w:rPr>
                <w:szCs w:val="22"/>
              </w:rPr>
              <w:t xml:space="preserve"> (0.7)</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Issue with quality of aids/equipment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42FD5"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301E" w:rsidP="00FF473D">
            <w:pPr>
              <w:jc w:val="center"/>
              <w:rPr>
                <w:szCs w:val="22"/>
              </w:rPr>
            </w:pPr>
            <w:r w:rsidRPr="00666BAC">
              <w:rPr>
                <w:szCs w:val="22"/>
              </w:rPr>
              <w:t>13</w:t>
            </w:r>
            <w:r w:rsidR="00C74793" w:rsidRPr="00666BAC">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Staffing/rostering/other HR issue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EB0237" w:rsidP="00210984">
            <w:pPr>
              <w:jc w:val="center"/>
              <w:rPr>
                <w:szCs w:val="22"/>
              </w:rPr>
            </w:pPr>
            <w:r w:rsidRPr="00666BAC">
              <w:rPr>
                <w:szCs w:val="22"/>
              </w:rPr>
              <w:t>1</w:t>
            </w:r>
            <w:r w:rsidR="00042FD5" w:rsidRPr="00666BA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301E" w:rsidP="00FF473D">
            <w:pPr>
              <w:jc w:val="center"/>
              <w:rPr>
                <w:szCs w:val="22"/>
              </w:rPr>
            </w:pPr>
            <w:r w:rsidRPr="00666BAC">
              <w:rPr>
                <w:szCs w:val="22"/>
              </w:rPr>
              <w:t>31</w:t>
            </w:r>
            <w:r w:rsidR="00C74793" w:rsidRPr="00666BAC">
              <w:rPr>
                <w:szCs w:val="22"/>
              </w:rPr>
              <w:t xml:space="preserve"> (4)</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05B17" w:rsidRPr="00666BAC" w:rsidRDefault="00605B17" w:rsidP="007A553D">
            <w:pPr>
              <w:rPr>
                <w:szCs w:val="22"/>
              </w:rPr>
            </w:pPr>
            <w:r w:rsidRPr="00666BAC">
              <w:rPr>
                <w:szCs w:val="22"/>
              </w:rPr>
              <w:t>Waiting times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EB0237" w:rsidP="00210984">
            <w:pPr>
              <w:jc w:val="center"/>
              <w:rPr>
                <w:szCs w:val="22"/>
              </w:rPr>
            </w:pPr>
            <w:r w:rsidRPr="00666BAC">
              <w:rPr>
                <w:szCs w:val="22"/>
              </w:rPr>
              <w:t>6</w:t>
            </w:r>
            <w:r w:rsidR="00042FD5" w:rsidRPr="00666BAC">
              <w:rPr>
                <w:szCs w:val="22"/>
              </w:rPr>
              <w:t xml:space="preserve"> (0.7)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5B17" w:rsidRPr="00666BAC" w:rsidRDefault="000E301E" w:rsidP="00FF473D">
            <w:pPr>
              <w:jc w:val="center"/>
              <w:rPr>
                <w:szCs w:val="22"/>
              </w:rPr>
            </w:pPr>
            <w:r w:rsidRPr="00666BAC">
              <w:rPr>
                <w:szCs w:val="22"/>
              </w:rPr>
              <w:t>37</w:t>
            </w:r>
            <w:r w:rsidR="00C74793" w:rsidRPr="00666BAC">
              <w:rPr>
                <w:szCs w:val="22"/>
              </w:rPr>
              <w:t xml:space="preserve"> (5)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Medication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F434D4" w:rsidP="00210984">
            <w:pPr>
              <w:jc w:val="center"/>
              <w:rPr>
                <w:b/>
                <w:i/>
                <w:szCs w:val="22"/>
              </w:rPr>
            </w:pPr>
            <w:r w:rsidRPr="00666BAC">
              <w:rPr>
                <w:b/>
                <w:i/>
                <w:szCs w:val="22"/>
              </w:rPr>
              <w:t>30</w:t>
            </w:r>
            <w:r w:rsidR="00042FD5" w:rsidRPr="00666BAC">
              <w:rPr>
                <w:b/>
                <w:i/>
                <w:szCs w:val="22"/>
              </w:rPr>
              <w:t xml:space="preserve"> (4)</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Administration error</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434D4" w:rsidP="00210984">
            <w:pPr>
              <w:jc w:val="center"/>
              <w:rPr>
                <w:szCs w:val="22"/>
              </w:rPr>
            </w:pPr>
            <w:r w:rsidRPr="00666BAC">
              <w:rPr>
                <w:szCs w:val="22"/>
              </w:rPr>
              <w:t>2</w:t>
            </w:r>
            <w:r w:rsidR="00042FD5" w:rsidRPr="00666BA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301E" w:rsidP="00FF473D">
            <w:pPr>
              <w:jc w:val="center"/>
              <w:rPr>
                <w:szCs w:val="22"/>
              </w:rPr>
            </w:pPr>
            <w:r w:rsidRPr="00666BAC">
              <w:rPr>
                <w:szCs w:val="22"/>
              </w:rPr>
              <w:t>6</w:t>
            </w:r>
            <w:r w:rsidR="00042FD5" w:rsidRPr="00666BAC">
              <w:rPr>
                <w:szCs w:val="22"/>
              </w:rPr>
              <w:t xml:space="preserve"> (0.7)</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 administration</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434D4" w:rsidP="00210984">
            <w:pPr>
              <w:jc w:val="center"/>
              <w:rPr>
                <w:szCs w:val="22"/>
              </w:rPr>
            </w:pPr>
            <w:r w:rsidRPr="00666BAC">
              <w:rPr>
                <w:szCs w:val="22"/>
              </w:rPr>
              <w:t>3</w:t>
            </w:r>
            <w:r w:rsidR="00042FD5" w:rsidRPr="00666BAC">
              <w:rPr>
                <w:szCs w:val="22"/>
              </w:rPr>
              <w:t xml:space="preserve"> (0.4)</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301E" w:rsidP="00FF473D">
            <w:pPr>
              <w:jc w:val="center"/>
              <w:rPr>
                <w:szCs w:val="22"/>
              </w:rPr>
            </w:pPr>
            <w:r w:rsidRPr="00666BAC">
              <w:rPr>
                <w:szCs w:val="22"/>
              </w:rPr>
              <w:t>9</w:t>
            </w:r>
            <w:r w:rsidR="00042FD5" w:rsidRPr="00666BAC">
              <w:rPr>
                <w:szCs w:val="22"/>
              </w:rPr>
              <w:t xml:space="preserve"> (1)</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Inappropriate prescribing</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434D4" w:rsidP="00210984">
            <w:pPr>
              <w:jc w:val="center"/>
              <w:rPr>
                <w:szCs w:val="22"/>
              </w:rPr>
            </w:pPr>
            <w:r w:rsidRPr="00666BAC">
              <w:rPr>
                <w:szCs w:val="22"/>
              </w:rPr>
              <w:t>14</w:t>
            </w:r>
            <w:r w:rsidR="00042FD5" w:rsidRPr="00666BAC">
              <w:rPr>
                <w:szCs w:val="22"/>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301E" w:rsidP="00FF473D">
            <w:pPr>
              <w:jc w:val="center"/>
              <w:rPr>
                <w:szCs w:val="22"/>
              </w:rPr>
            </w:pPr>
            <w:r w:rsidRPr="00666BAC">
              <w:rPr>
                <w:szCs w:val="22"/>
              </w:rPr>
              <w:t>43</w:t>
            </w:r>
            <w:r w:rsidR="00042FD5" w:rsidRPr="00666BAC">
              <w:rPr>
                <w:szCs w:val="22"/>
              </w:rPr>
              <w:t xml:space="preserve"> (5)</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Prescribing error</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434D4" w:rsidP="00210984">
            <w:pPr>
              <w:jc w:val="center"/>
              <w:rPr>
                <w:szCs w:val="22"/>
              </w:rPr>
            </w:pPr>
            <w:r w:rsidRPr="00666BAC">
              <w:rPr>
                <w:szCs w:val="22"/>
              </w:rPr>
              <w:t>4</w:t>
            </w:r>
            <w:r w:rsidR="00042FD5" w:rsidRPr="00666BAC">
              <w:rPr>
                <w:szCs w:val="22"/>
              </w:rPr>
              <w:t xml:space="preserve"> (0.5)</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301E" w:rsidP="00FF473D">
            <w:pPr>
              <w:jc w:val="center"/>
              <w:rPr>
                <w:szCs w:val="22"/>
              </w:rPr>
            </w:pPr>
            <w:r w:rsidRPr="00666BAC">
              <w:rPr>
                <w:szCs w:val="22"/>
              </w:rPr>
              <w:t>9</w:t>
            </w:r>
            <w:r w:rsidR="00042FD5" w:rsidRPr="00666BAC">
              <w:rPr>
                <w:szCs w:val="22"/>
              </w:rPr>
              <w:t xml:space="preserve"> (1)</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rPr>
                <w:szCs w:val="22"/>
              </w:rPr>
            </w:pPr>
            <w:r w:rsidRPr="00666BAC">
              <w:rPr>
                <w:szCs w:val="22"/>
              </w:rPr>
              <w:t>Refusal to prescribe/dispense/supply</w:t>
            </w:r>
          </w:p>
        </w:tc>
        <w:tc>
          <w:tcPr>
            <w:tcW w:w="1842" w:type="dxa"/>
            <w:tcBorders>
              <w:top w:val="single" w:sz="4" w:space="0" w:color="auto"/>
              <w:left w:val="single" w:sz="4" w:space="0" w:color="auto"/>
              <w:bottom w:val="single" w:sz="4" w:space="0" w:color="auto"/>
              <w:right w:val="single" w:sz="4" w:space="0" w:color="auto"/>
            </w:tcBorders>
            <w:vAlign w:val="center"/>
          </w:tcPr>
          <w:p w:rsidR="00605B17" w:rsidRPr="00666BAC" w:rsidRDefault="00F434D4" w:rsidP="00210984">
            <w:pPr>
              <w:jc w:val="center"/>
              <w:rPr>
                <w:szCs w:val="22"/>
              </w:rPr>
            </w:pPr>
            <w:r w:rsidRPr="00666BAC">
              <w:rPr>
                <w:szCs w:val="22"/>
              </w:rPr>
              <w:t>7</w:t>
            </w:r>
            <w:r w:rsidR="00042FD5" w:rsidRPr="00666BAC">
              <w:rPr>
                <w:szCs w:val="22"/>
              </w:rPr>
              <w:t xml:space="preserve"> (0.9)</w:t>
            </w:r>
          </w:p>
        </w:tc>
        <w:tc>
          <w:tcPr>
            <w:tcW w:w="1843" w:type="dxa"/>
            <w:tcBorders>
              <w:top w:val="single" w:sz="4" w:space="0" w:color="auto"/>
              <w:left w:val="single" w:sz="4" w:space="0" w:color="auto"/>
              <w:bottom w:val="single" w:sz="4" w:space="0" w:color="auto"/>
              <w:right w:val="single" w:sz="4" w:space="0" w:color="auto"/>
            </w:tcBorders>
            <w:vAlign w:val="center"/>
          </w:tcPr>
          <w:p w:rsidR="00605B17" w:rsidRPr="00666BAC" w:rsidRDefault="000E301E" w:rsidP="00FF473D">
            <w:pPr>
              <w:jc w:val="center"/>
              <w:rPr>
                <w:szCs w:val="22"/>
              </w:rPr>
            </w:pPr>
            <w:r w:rsidRPr="00666BAC">
              <w:rPr>
                <w:szCs w:val="22"/>
              </w:rPr>
              <w:t>23</w:t>
            </w:r>
            <w:r w:rsidR="00042FD5" w:rsidRPr="00666BAC">
              <w:rPr>
                <w:szCs w:val="22"/>
              </w:rPr>
              <w:t xml:space="preserve"> (3)</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Reports/Certificates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F434D4" w:rsidP="00210984">
            <w:pPr>
              <w:jc w:val="center"/>
              <w:rPr>
                <w:b/>
                <w:i/>
                <w:szCs w:val="22"/>
              </w:rPr>
            </w:pPr>
            <w:r w:rsidRPr="00666BAC">
              <w:rPr>
                <w:b/>
                <w:i/>
                <w:szCs w:val="22"/>
              </w:rPr>
              <w:t>7</w:t>
            </w:r>
            <w:r w:rsidR="00042FD5" w:rsidRPr="00666BAC">
              <w:rPr>
                <w:b/>
                <w:i/>
                <w:szCs w:val="22"/>
              </w:rPr>
              <w:t xml:space="preserve"> (0.9)</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605B17" w:rsidRPr="00666BAC" w:rsidRDefault="00605B17" w:rsidP="007A553D">
            <w:pPr>
              <w:rPr>
                <w:szCs w:val="22"/>
              </w:rPr>
            </w:pPr>
            <w:r w:rsidRPr="00666BAC">
              <w:rPr>
                <w:szCs w:val="22"/>
              </w:rPr>
              <w:t>Inaccurate report/certificate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5B17" w:rsidRPr="00666BAC" w:rsidRDefault="00F434D4" w:rsidP="00210984">
            <w:pPr>
              <w:jc w:val="center"/>
              <w:rPr>
                <w:szCs w:val="22"/>
              </w:rPr>
            </w:pPr>
            <w:r w:rsidRPr="00666BAC">
              <w:rPr>
                <w:szCs w:val="22"/>
              </w:rPr>
              <w:t>7</w:t>
            </w:r>
            <w:r w:rsidR="00042FD5" w:rsidRPr="00666BAC">
              <w:rPr>
                <w:szCs w:val="22"/>
              </w:rPr>
              <w:t xml:space="preserve"> (0.9)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5B17" w:rsidRPr="00666BAC" w:rsidRDefault="000E301E" w:rsidP="00FF473D">
            <w:pPr>
              <w:jc w:val="center"/>
              <w:rPr>
                <w:szCs w:val="22"/>
              </w:rPr>
            </w:pPr>
            <w:r w:rsidRPr="00666BAC">
              <w:rPr>
                <w:szCs w:val="22"/>
              </w:rPr>
              <w:t>21</w:t>
            </w:r>
            <w:r w:rsidR="00042FD5" w:rsidRPr="00666BAC">
              <w:rPr>
                <w:szCs w:val="22"/>
              </w:rPr>
              <w:t xml:space="preserve"> (3)</w:t>
            </w:r>
          </w:p>
        </w:tc>
      </w:tr>
      <w:tr w:rsidR="0007730F"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07730F" w:rsidRPr="00666BAC" w:rsidRDefault="0007730F" w:rsidP="007A553D">
            <w:pPr>
              <w:rPr>
                <w:b/>
                <w:i/>
                <w:szCs w:val="22"/>
              </w:rPr>
            </w:pPr>
            <w:r w:rsidRPr="00666BAC">
              <w:rPr>
                <w:b/>
                <w:i/>
                <w:szCs w:val="22"/>
              </w:rPr>
              <w:t>Training/supervision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07730F" w:rsidRPr="00666BAC" w:rsidRDefault="0007730F" w:rsidP="00210984">
            <w:pPr>
              <w:jc w:val="center"/>
              <w:rPr>
                <w:b/>
                <w:i/>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07730F" w:rsidRPr="00666BAC" w:rsidRDefault="0007730F" w:rsidP="00FF473D">
            <w:pPr>
              <w:jc w:val="center"/>
              <w:rPr>
                <w:b/>
                <w:i/>
                <w:szCs w:val="22"/>
              </w:rPr>
            </w:pPr>
          </w:p>
        </w:tc>
      </w:tr>
      <w:tr w:rsidR="0007730F"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7730F" w:rsidRPr="00666BAC" w:rsidRDefault="0007730F" w:rsidP="007A553D">
            <w:pPr>
              <w:rPr>
                <w:szCs w:val="22"/>
              </w:rPr>
            </w:pPr>
            <w:r w:rsidRPr="00666BAC">
              <w:rPr>
                <w:szCs w:val="22"/>
              </w:rPr>
              <w:t>Delayed/inadequate/inappropriate handover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7730F" w:rsidRPr="00666BAC" w:rsidRDefault="00042FD5"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7730F" w:rsidRPr="00666BAC" w:rsidRDefault="000E301E" w:rsidP="00FF473D">
            <w:pPr>
              <w:jc w:val="center"/>
              <w:rPr>
                <w:szCs w:val="22"/>
              </w:rPr>
            </w:pPr>
            <w:r w:rsidRPr="00666BAC">
              <w:rPr>
                <w:szCs w:val="22"/>
              </w:rPr>
              <w:t>2</w:t>
            </w:r>
            <w:r w:rsidR="00042FD5" w:rsidRPr="00666BAC">
              <w:rPr>
                <w:szCs w:val="22"/>
              </w:rPr>
              <w:t xml:space="preserve"> (0.2)</w:t>
            </w:r>
          </w:p>
        </w:tc>
      </w:tr>
      <w:tr w:rsidR="0007730F"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07730F" w:rsidRPr="00666BAC" w:rsidRDefault="0007730F" w:rsidP="007A553D">
            <w:pPr>
              <w:rPr>
                <w:szCs w:val="22"/>
              </w:rPr>
            </w:pPr>
            <w:r w:rsidRPr="00666BAC">
              <w:rPr>
                <w:szCs w:val="22"/>
              </w:rPr>
              <w:t>Inadequate supervision/oversight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7730F" w:rsidRPr="00666BAC" w:rsidRDefault="00042FD5"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7730F" w:rsidRPr="00666BAC" w:rsidRDefault="000E301E" w:rsidP="00FF473D">
            <w:pPr>
              <w:jc w:val="center"/>
              <w:rPr>
                <w:szCs w:val="22"/>
              </w:rPr>
            </w:pPr>
            <w:r w:rsidRPr="00666BAC">
              <w:rPr>
                <w:szCs w:val="22"/>
              </w:rPr>
              <w:t>18</w:t>
            </w:r>
            <w:r w:rsidR="00042FD5" w:rsidRPr="00666BAC">
              <w:rPr>
                <w:szCs w:val="22"/>
              </w:rPr>
              <w:t xml:space="preserve"> (2)</w:t>
            </w:r>
          </w:p>
        </w:tc>
      </w:tr>
      <w:tr w:rsidR="00605B17"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605B17" w:rsidRPr="00666BAC" w:rsidRDefault="00605B17" w:rsidP="007A553D">
            <w:pPr>
              <w:rPr>
                <w:b/>
                <w:i/>
                <w:szCs w:val="22"/>
              </w:rPr>
            </w:pPr>
            <w:r w:rsidRPr="00666BAC">
              <w:rPr>
                <w:b/>
                <w:i/>
                <w:szCs w:val="22"/>
              </w:rPr>
              <w:t>Other professional conduct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F434D4" w:rsidP="00210984">
            <w:pPr>
              <w:jc w:val="center"/>
              <w:rPr>
                <w:b/>
                <w:i/>
                <w:szCs w:val="22"/>
              </w:rPr>
            </w:pPr>
            <w:r w:rsidRPr="00666BAC">
              <w:rPr>
                <w:b/>
                <w:i/>
                <w:szCs w:val="22"/>
              </w:rPr>
              <w:t>17</w:t>
            </w:r>
            <w:r w:rsidR="00042FD5" w:rsidRPr="00666BAC">
              <w:rPr>
                <w:b/>
                <w:i/>
                <w:szCs w:val="22"/>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05B17" w:rsidP="00FF473D">
            <w:pPr>
              <w:jc w:val="center"/>
              <w:rPr>
                <w:b/>
                <w:i/>
                <w:szCs w:val="22"/>
              </w:rPr>
            </w:pP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305CB4" w:rsidRPr="00666BAC" w:rsidRDefault="00305CB4" w:rsidP="00305CB4">
            <w:pPr>
              <w:rPr>
                <w:szCs w:val="22"/>
              </w:rPr>
            </w:pPr>
            <w:r w:rsidRPr="00666BAC">
              <w:rPr>
                <w:szCs w:val="22"/>
              </w:rPr>
              <w:t>Assault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F434D4" w:rsidP="00305CB4">
            <w:pPr>
              <w:jc w:val="center"/>
              <w:rPr>
                <w:szCs w:val="22"/>
              </w:rPr>
            </w:pPr>
            <w:r w:rsidRPr="00666BAC">
              <w:rPr>
                <w:szCs w:val="22"/>
              </w:rPr>
              <w:t>5</w:t>
            </w:r>
            <w:r w:rsidR="00042FD5" w:rsidRPr="00666BAC">
              <w:rPr>
                <w:szCs w:val="22"/>
              </w:rPr>
              <w:t xml:space="preserve"> (0.6)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3026EF" w:rsidP="00FF473D">
            <w:pPr>
              <w:jc w:val="center"/>
              <w:rPr>
                <w:szCs w:val="22"/>
              </w:rPr>
            </w:pPr>
            <w:r w:rsidRPr="00666BAC">
              <w:rPr>
                <w:szCs w:val="22"/>
              </w:rPr>
              <w:t>9</w:t>
            </w:r>
            <w:r w:rsidR="00042FD5" w:rsidRPr="00666BAC">
              <w:rPr>
                <w:szCs w:val="22"/>
              </w:rPr>
              <w:t xml:space="preserve"> (1)</w:t>
            </w:r>
          </w:p>
        </w:tc>
      </w:tr>
      <w:tr w:rsidR="00F434D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434D4" w:rsidRPr="00666BAC" w:rsidRDefault="00F434D4" w:rsidP="00DF5089">
            <w:pPr>
              <w:jc w:val="left"/>
              <w:rPr>
                <w:szCs w:val="22"/>
              </w:rPr>
            </w:pPr>
            <w:r w:rsidRPr="00666BAC">
              <w:rPr>
                <w:szCs w:val="22"/>
              </w:rPr>
              <w:t>Disrespectful behaviour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434D4" w:rsidRPr="00666BAC" w:rsidRDefault="00F434D4" w:rsidP="00305CB4">
            <w:pPr>
              <w:jc w:val="center"/>
              <w:rPr>
                <w:szCs w:val="22"/>
              </w:rPr>
            </w:pPr>
            <w:r w:rsidRPr="00666BAC">
              <w:rPr>
                <w:szCs w:val="22"/>
              </w:rPr>
              <w:t>5</w:t>
            </w:r>
            <w:r w:rsidR="00042FD5" w:rsidRPr="00666BAC">
              <w:rPr>
                <w:szCs w:val="22"/>
              </w:rPr>
              <w:t xml:space="preserve"> (0.6)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34D4" w:rsidRPr="00666BAC" w:rsidRDefault="003026EF" w:rsidP="00FF473D">
            <w:pPr>
              <w:jc w:val="center"/>
              <w:rPr>
                <w:szCs w:val="22"/>
              </w:rPr>
            </w:pPr>
            <w:r w:rsidRPr="00666BAC">
              <w:rPr>
                <w:szCs w:val="22"/>
              </w:rPr>
              <w:t>19</w:t>
            </w:r>
            <w:r w:rsidR="00042FD5" w:rsidRPr="00666BAC">
              <w:rPr>
                <w:szCs w:val="22"/>
              </w:rPr>
              <w:t xml:space="preserve"> (2)</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305CB4" w:rsidRPr="00666BAC" w:rsidRDefault="00305CB4" w:rsidP="00DF5089">
            <w:pPr>
              <w:jc w:val="left"/>
              <w:rPr>
                <w:szCs w:val="22"/>
              </w:rPr>
            </w:pPr>
            <w:r w:rsidRPr="00666BAC">
              <w:rPr>
                <w:szCs w:val="22"/>
              </w:rPr>
              <w:t>Failure to disclose/properly manage a conflict of interest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F434D4" w:rsidP="00305CB4">
            <w:pPr>
              <w:jc w:val="center"/>
              <w:rPr>
                <w:szCs w:val="22"/>
              </w:rPr>
            </w:pPr>
            <w:r w:rsidRPr="00666BAC">
              <w:rPr>
                <w:szCs w:val="22"/>
              </w:rPr>
              <w:t>1</w:t>
            </w:r>
            <w:r w:rsidR="00042FD5" w:rsidRPr="00666BAC">
              <w:rPr>
                <w:szCs w:val="22"/>
              </w:rPr>
              <w:t xml:space="preserve">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3026EF" w:rsidP="00FF473D">
            <w:pPr>
              <w:jc w:val="center"/>
              <w:rPr>
                <w:szCs w:val="22"/>
              </w:rPr>
            </w:pPr>
            <w:r w:rsidRPr="00666BAC">
              <w:rPr>
                <w:szCs w:val="22"/>
              </w:rPr>
              <w:t>2</w:t>
            </w:r>
            <w:r w:rsidR="00042FD5" w:rsidRPr="00666BAC">
              <w:rPr>
                <w:szCs w:val="22"/>
              </w:rPr>
              <w:t xml:space="preserve"> (0.2)</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305CB4" w:rsidRPr="00666BAC" w:rsidRDefault="00305CB4" w:rsidP="00DF5089">
            <w:pPr>
              <w:jc w:val="left"/>
              <w:rPr>
                <w:szCs w:val="22"/>
              </w:rPr>
            </w:pPr>
            <w:r w:rsidRPr="00666BAC">
              <w:rPr>
                <w:szCs w:val="22"/>
              </w:rPr>
              <w:t>Inappropriate collection/use/disclosure of information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F434D4" w:rsidP="00210984">
            <w:pPr>
              <w:jc w:val="center"/>
              <w:rPr>
                <w:szCs w:val="22"/>
              </w:rPr>
            </w:pPr>
            <w:r w:rsidRPr="00666BAC">
              <w:rPr>
                <w:szCs w:val="22"/>
              </w:rPr>
              <w:t>4</w:t>
            </w:r>
            <w:r w:rsidR="00042FD5" w:rsidRPr="00666BAC">
              <w:rPr>
                <w:szCs w:val="22"/>
              </w:rPr>
              <w:t xml:space="preserve"> (0.5)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3026EF" w:rsidP="00FF473D">
            <w:pPr>
              <w:jc w:val="center"/>
              <w:rPr>
                <w:szCs w:val="22"/>
              </w:rPr>
            </w:pPr>
            <w:r w:rsidRPr="00666BAC">
              <w:rPr>
                <w:szCs w:val="22"/>
              </w:rPr>
              <w:t>22</w:t>
            </w:r>
            <w:r w:rsidR="00042FD5" w:rsidRPr="00666BAC">
              <w:rPr>
                <w:szCs w:val="22"/>
              </w:rPr>
              <w:t xml:space="preserve"> (3)</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305CB4" w:rsidRPr="00666BAC" w:rsidRDefault="00305CB4" w:rsidP="00DF5089">
            <w:pPr>
              <w:jc w:val="left"/>
              <w:rPr>
                <w:szCs w:val="22"/>
              </w:rPr>
            </w:pPr>
            <w:r w:rsidRPr="00666BAC">
              <w:rPr>
                <w:szCs w:val="22"/>
              </w:rPr>
              <w:t>Threatening/bullying/harassing behaviour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F434D4" w:rsidP="00210984">
            <w:pPr>
              <w:jc w:val="center"/>
              <w:rPr>
                <w:szCs w:val="22"/>
              </w:rPr>
            </w:pPr>
            <w:r w:rsidRPr="00666BAC">
              <w:rPr>
                <w:szCs w:val="22"/>
              </w:rPr>
              <w:t>2</w:t>
            </w:r>
            <w:r w:rsidR="00042FD5" w:rsidRPr="00666BAC">
              <w:rPr>
                <w:szCs w:val="22"/>
              </w:rPr>
              <w:t xml:space="preserve"> (0.2)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05CB4" w:rsidRPr="00666BAC" w:rsidRDefault="003026EF" w:rsidP="00FF473D">
            <w:pPr>
              <w:jc w:val="center"/>
              <w:rPr>
                <w:szCs w:val="22"/>
              </w:rPr>
            </w:pPr>
            <w:r w:rsidRPr="00666BAC">
              <w:rPr>
                <w:szCs w:val="22"/>
              </w:rPr>
              <w:t>11</w:t>
            </w:r>
            <w:r w:rsidR="00042FD5" w:rsidRPr="00666BAC">
              <w:rPr>
                <w:szCs w:val="22"/>
              </w:rPr>
              <w:t xml:space="preserve"> (1)</w:t>
            </w:r>
          </w:p>
        </w:tc>
      </w:tr>
      <w:tr w:rsidR="00954DFF"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954DFF" w:rsidRPr="00666BAC" w:rsidRDefault="00954DFF" w:rsidP="00DF5089">
            <w:pPr>
              <w:jc w:val="left"/>
              <w:rPr>
                <w:szCs w:val="22"/>
              </w:rPr>
            </w:pPr>
            <w:r w:rsidRPr="00666BAC">
              <w:rPr>
                <w:szCs w:val="22"/>
              </w:rPr>
              <w:t>Other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54DFF" w:rsidRPr="00666BAC" w:rsidRDefault="00042FD5" w:rsidP="00210984">
            <w:pPr>
              <w:jc w:val="center"/>
              <w:rPr>
                <w:szCs w:val="22"/>
              </w:rPr>
            </w:pPr>
            <w:r w:rsidRPr="00666BAC">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54DFF" w:rsidRPr="00666BAC" w:rsidRDefault="003026EF" w:rsidP="00FF473D">
            <w:pPr>
              <w:jc w:val="center"/>
              <w:rPr>
                <w:szCs w:val="22"/>
              </w:rPr>
            </w:pPr>
            <w:r w:rsidRPr="00666BAC">
              <w:rPr>
                <w:szCs w:val="22"/>
              </w:rPr>
              <w:t>8</w:t>
            </w:r>
            <w:r w:rsidR="00042FD5" w:rsidRPr="00666BAC">
              <w:rPr>
                <w:szCs w:val="22"/>
              </w:rPr>
              <w:t xml:space="preserve"> (1)</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305CB4" w:rsidRPr="00666BAC" w:rsidRDefault="00305CB4" w:rsidP="007A553D">
            <w:pPr>
              <w:rPr>
                <w:b/>
                <w:i/>
                <w:szCs w:val="22"/>
              </w:rPr>
            </w:pPr>
            <w:r w:rsidRPr="00666BAC">
              <w:rPr>
                <w:b/>
                <w:i/>
                <w:szCs w:val="22"/>
              </w:rPr>
              <w:t>Disability-specific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F434D4" w:rsidP="00210984">
            <w:pPr>
              <w:jc w:val="center"/>
              <w:rPr>
                <w:b/>
                <w:i/>
                <w:szCs w:val="22"/>
              </w:rPr>
            </w:pPr>
            <w:r w:rsidRPr="00666BAC">
              <w:rPr>
                <w:b/>
                <w:i/>
                <w:szCs w:val="22"/>
              </w:rPr>
              <w:t>4</w:t>
            </w:r>
            <w:r w:rsidR="00042FD5" w:rsidRPr="00666BAC">
              <w:rPr>
                <w:b/>
                <w:i/>
                <w:szCs w:val="22"/>
              </w:rPr>
              <w:t xml:space="preserve"> (0.5)</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3026EF" w:rsidP="00FF473D">
            <w:pPr>
              <w:jc w:val="center"/>
              <w:rPr>
                <w:b/>
                <w:i/>
                <w:szCs w:val="22"/>
              </w:rPr>
            </w:pPr>
            <w:r w:rsidRPr="00666BAC">
              <w:rPr>
                <w:b/>
                <w:i/>
                <w:szCs w:val="22"/>
              </w:rPr>
              <w:t>14</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305CB4" w:rsidRPr="00666BAC" w:rsidRDefault="00305CB4" w:rsidP="007A553D">
            <w:pPr>
              <w:rPr>
                <w:b/>
                <w:i/>
                <w:szCs w:val="22"/>
              </w:rPr>
            </w:pPr>
            <w:r w:rsidRPr="00666BAC">
              <w:rPr>
                <w:b/>
                <w:i/>
                <w:szCs w:val="22"/>
              </w:rPr>
              <w:t>Other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3026EF" w:rsidP="00210984">
            <w:pPr>
              <w:jc w:val="center"/>
              <w:rPr>
                <w:b/>
                <w:i/>
                <w:szCs w:val="22"/>
              </w:rPr>
            </w:pPr>
            <w:r w:rsidRPr="00666BAC">
              <w:rPr>
                <w:b/>
                <w:i/>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3026EF" w:rsidP="00FF473D">
            <w:pPr>
              <w:jc w:val="center"/>
              <w:rPr>
                <w:b/>
                <w:i/>
                <w:szCs w:val="22"/>
              </w:rPr>
            </w:pPr>
            <w:r w:rsidRPr="00666BAC">
              <w:rPr>
                <w:b/>
                <w:i/>
                <w:szCs w:val="22"/>
              </w:rPr>
              <w:t>19</w:t>
            </w:r>
          </w:p>
        </w:tc>
      </w:tr>
      <w:tr w:rsidR="00305CB4"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305CB4" w:rsidRPr="00666BAC" w:rsidRDefault="00305CB4" w:rsidP="007A553D">
            <w:pPr>
              <w:rPr>
                <w:b/>
                <w:i/>
                <w:szCs w:val="22"/>
              </w:rPr>
            </w:pPr>
            <w:r w:rsidRPr="00666BAC">
              <w:rPr>
                <w:b/>
                <w:i/>
                <w:szCs w:val="22"/>
              </w:rPr>
              <w:t>TOTAL</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F434D4" w:rsidP="00210984">
            <w:pPr>
              <w:jc w:val="center"/>
              <w:rPr>
                <w:b/>
                <w:i/>
                <w:szCs w:val="22"/>
              </w:rPr>
            </w:pPr>
            <w:r w:rsidRPr="00666BAC">
              <w:rPr>
                <w:b/>
                <w:i/>
                <w:szCs w:val="22"/>
              </w:rPr>
              <w:t>805</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305CB4" w:rsidRPr="00666BAC" w:rsidRDefault="00305CB4" w:rsidP="00FF473D">
            <w:pPr>
              <w:jc w:val="center"/>
              <w:rPr>
                <w:b/>
                <w:i/>
                <w:szCs w:val="22"/>
              </w:rPr>
            </w:pPr>
          </w:p>
        </w:tc>
      </w:tr>
    </w:tbl>
    <w:p w:rsidR="00D10020" w:rsidRPr="00666BAC" w:rsidRDefault="00D10020" w:rsidP="00705DA5"/>
    <w:p w:rsidR="00D10020" w:rsidRPr="00666BAC" w:rsidRDefault="00D10020" w:rsidP="00705DA5"/>
    <w:p w:rsidR="00705DA5" w:rsidRPr="00666BAC" w:rsidRDefault="00705DA5" w:rsidP="00705DA5">
      <w:r w:rsidRPr="00666BAC">
        <w:t>Figure 4 details the seven most common complaint issues raised in complaints</w:t>
      </w:r>
      <w:r w:rsidR="00FF475B" w:rsidRPr="00666BAC">
        <w:t xml:space="preserve"> about DHBs received in the 2015/16</w:t>
      </w:r>
      <w:r w:rsidR="0078386C">
        <w:t xml:space="preserve"> year.</w:t>
      </w:r>
      <w:r w:rsidRPr="00666BAC">
        <w:t xml:space="preserve"> The </w:t>
      </w:r>
      <w:r w:rsidR="00D10020" w:rsidRPr="00666BAC">
        <w:t>blue</w:t>
      </w:r>
      <w:r w:rsidRPr="00666BAC">
        <w:t xml:space="preserve"> bars show the percentage of cases in which the particular complaint issue was identified as the primary complaint issue, while the red bars show the percentage of cases in which the particular com</w:t>
      </w:r>
      <w:r w:rsidR="0078386C">
        <w:t>plaint issue was raised at all.</w:t>
      </w:r>
      <w:r w:rsidRPr="00666BAC">
        <w:t xml:space="preserve"> As can be seen from the large difference in the size of the </w:t>
      </w:r>
      <w:r w:rsidR="00D10020" w:rsidRPr="00666BAC">
        <w:t>blue and red</w:t>
      </w:r>
      <w:r w:rsidRPr="00666BAC">
        <w:t xml:space="preserve"> bars, communication-related complaint issues (disrespectful manner/attitude, and failure to communicate effectively with family or consumer)</w:t>
      </w:r>
      <w:r w:rsidR="004274F1" w:rsidRPr="00666BAC">
        <w:t xml:space="preserve"> and inadequate </w:t>
      </w:r>
      <w:r w:rsidR="00FF475B" w:rsidRPr="00666BAC">
        <w:t xml:space="preserve">coordination of care/treatment </w:t>
      </w:r>
      <w:r w:rsidRPr="00666BAC">
        <w:t>are present in a significant number of complaints, but are not often the primary issue raised.</w:t>
      </w:r>
    </w:p>
    <w:p w:rsidR="00705DA5" w:rsidRPr="00666BAC" w:rsidRDefault="00705DA5" w:rsidP="00705DA5"/>
    <w:p w:rsidR="00705DA5" w:rsidRPr="00666BAC" w:rsidRDefault="00705DA5" w:rsidP="00705DA5">
      <w:pPr>
        <w:spacing w:after="120"/>
      </w:pPr>
      <w:r w:rsidRPr="00666BAC">
        <w:rPr>
          <w:b/>
        </w:rPr>
        <w:t xml:space="preserve">Figure 4. </w:t>
      </w:r>
      <w:r w:rsidRPr="00666BAC">
        <w:t>Most common primary and all issues in complaints received</w:t>
      </w:r>
    </w:p>
    <w:p w:rsidR="00705DA5" w:rsidRPr="00666BAC" w:rsidRDefault="00FF475B" w:rsidP="00705DA5">
      <w:pPr>
        <w:jc w:val="center"/>
        <w:rPr>
          <w:b/>
          <w:szCs w:val="22"/>
        </w:rPr>
      </w:pPr>
      <w:r w:rsidRPr="00746ACF">
        <w:rPr>
          <w:noProof/>
          <w:color w:val="C00000"/>
          <w:lang w:eastAsia="en-NZ" w:bidi="ar-SA"/>
        </w:rPr>
        <w:drawing>
          <wp:inline distT="0" distB="0" distL="0" distR="0" wp14:anchorId="2732BA0A" wp14:editId="6017EADF">
            <wp:extent cx="5536277" cy="4696691"/>
            <wp:effectExtent l="0" t="0" r="2667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05DA5" w:rsidRPr="00666BAC" w:rsidRDefault="00705DA5" w:rsidP="00705DA5">
      <w:pPr>
        <w:spacing w:before="120" w:after="120"/>
        <w:rPr>
          <w:b/>
          <w:vanish/>
          <w:szCs w:val="22"/>
        </w:rPr>
      </w:pPr>
    </w:p>
    <w:tbl>
      <w:tblPr>
        <w:tblStyle w:val="TableGrid"/>
        <w:tblW w:w="0" w:type="auto"/>
        <w:tblLook w:val="04A0" w:firstRow="1" w:lastRow="0" w:firstColumn="1" w:lastColumn="0" w:noHBand="0" w:noVBand="1"/>
      </w:tblPr>
      <w:tblGrid>
        <w:gridCol w:w="9298"/>
      </w:tblGrid>
      <w:tr w:rsidR="00705DA5" w:rsidRPr="00666BAC" w:rsidTr="00705DA5">
        <w:trPr>
          <w:hidden/>
        </w:trPr>
        <w:tc>
          <w:tcPr>
            <w:tcW w:w="9298" w:type="dxa"/>
          </w:tcPr>
          <w:p w:rsidR="00705DA5" w:rsidRPr="00666BAC" w:rsidRDefault="00705DA5" w:rsidP="00705DA5">
            <w:pPr>
              <w:spacing w:before="120" w:after="120"/>
              <w:rPr>
                <w:b/>
                <w:vanish/>
                <w:sz w:val="28"/>
                <w:szCs w:val="28"/>
              </w:rPr>
            </w:pPr>
            <w:r w:rsidRPr="00666BAC">
              <w:rPr>
                <w:b/>
                <w:vanish/>
                <w:sz w:val="28"/>
                <w:szCs w:val="28"/>
              </w:rPr>
              <w:t>What does this tell us?</w:t>
            </w:r>
          </w:p>
          <w:p w:rsidR="00705DA5" w:rsidRPr="00666BAC" w:rsidRDefault="00705DA5" w:rsidP="00705DA5">
            <w:pPr>
              <w:spacing w:before="120" w:after="120"/>
              <w:rPr>
                <w:vanish/>
                <w:szCs w:val="22"/>
              </w:rPr>
            </w:pPr>
          </w:p>
        </w:tc>
      </w:tr>
    </w:tbl>
    <w:p w:rsidR="004B127E" w:rsidRPr="00666BAC" w:rsidRDefault="004B127E" w:rsidP="00705DA5"/>
    <w:p w:rsidR="004B127E" w:rsidRPr="00666BAC" w:rsidRDefault="004B127E"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83180A" w:rsidRPr="00666BAC" w:rsidRDefault="0083180A" w:rsidP="00705DA5"/>
    <w:p w:rsidR="00D10020" w:rsidRPr="00666BAC" w:rsidRDefault="00D10020" w:rsidP="00705DA5"/>
    <w:p w:rsidR="00D10020" w:rsidRPr="00666BAC" w:rsidRDefault="00D10020" w:rsidP="00705DA5"/>
    <w:tbl>
      <w:tblPr>
        <w:tblStyle w:val="TableGrid"/>
        <w:tblW w:w="0" w:type="auto"/>
        <w:tblLook w:val="04A0" w:firstRow="1" w:lastRow="0" w:firstColumn="1" w:lastColumn="0" w:noHBand="0" w:noVBand="1"/>
      </w:tblPr>
      <w:tblGrid>
        <w:gridCol w:w="9298"/>
      </w:tblGrid>
      <w:tr w:rsidR="00705DA5" w:rsidRPr="00666BAC" w:rsidTr="00705DA5">
        <w:trPr>
          <w:hidden/>
        </w:trPr>
        <w:tc>
          <w:tcPr>
            <w:tcW w:w="9298" w:type="dxa"/>
            <w:tcBorders>
              <w:bottom w:val="single" w:sz="24" w:space="0" w:color="C00000"/>
            </w:tcBorders>
          </w:tcPr>
          <w:p w:rsidR="00705DA5" w:rsidRPr="00666BAC" w:rsidRDefault="00705DA5" w:rsidP="00705DA5">
            <w:pPr>
              <w:spacing w:before="120" w:after="120"/>
              <w:rPr>
                <w:b/>
                <w:vanish/>
                <w:sz w:val="28"/>
                <w:szCs w:val="28"/>
              </w:rPr>
            </w:pPr>
            <w:r w:rsidRPr="00666BAC">
              <w:rPr>
                <w:b/>
                <w:vanish/>
                <w:sz w:val="28"/>
                <w:szCs w:val="28"/>
              </w:rPr>
              <w:t>Disrespectful manner/attitude case example</w:t>
            </w:r>
          </w:p>
          <w:p w:rsidR="00705DA5" w:rsidRPr="00666BAC" w:rsidRDefault="00705DA5" w:rsidP="00705DA5">
            <w:pPr>
              <w:spacing w:before="120" w:after="120"/>
              <w:rPr>
                <w:vanish/>
                <w:szCs w:val="22"/>
              </w:rPr>
            </w:pPr>
          </w:p>
          <w:p w:rsidR="00705DA5" w:rsidRPr="00666BAC" w:rsidRDefault="00705DA5" w:rsidP="00705DA5">
            <w:pPr>
              <w:spacing w:before="120" w:after="120"/>
              <w:rPr>
                <w:vanish/>
                <w:szCs w:val="22"/>
              </w:rPr>
            </w:pPr>
          </w:p>
        </w:tc>
      </w:tr>
      <w:tr w:rsidR="00705DA5" w:rsidRPr="00666BAC" w:rsidTr="00705DA5">
        <w:tc>
          <w:tcPr>
            <w:tcW w:w="9298" w:type="dxa"/>
            <w:tcBorders>
              <w:top w:val="single" w:sz="24" w:space="0" w:color="C00000"/>
              <w:left w:val="single" w:sz="24" w:space="0" w:color="C00000"/>
              <w:bottom w:val="single" w:sz="24" w:space="0" w:color="C00000"/>
              <w:right w:val="single" w:sz="24" w:space="0" w:color="C00000"/>
            </w:tcBorders>
          </w:tcPr>
          <w:p w:rsidR="0083180A" w:rsidRPr="00666BAC" w:rsidRDefault="0083180A" w:rsidP="0083180A">
            <w:pPr>
              <w:tabs>
                <w:tab w:val="left" w:pos="1440"/>
                <w:tab w:val="left" w:pos="2610"/>
              </w:tabs>
              <w:spacing w:before="120"/>
              <w:jc w:val="center"/>
              <w:outlineLvl w:val="0"/>
              <w:rPr>
                <w:b/>
                <w:sz w:val="28"/>
                <w:szCs w:val="28"/>
              </w:rPr>
            </w:pPr>
            <w:r w:rsidRPr="00666BAC">
              <w:rPr>
                <w:b/>
                <w:sz w:val="28"/>
                <w:szCs w:val="28"/>
              </w:rPr>
              <w:t xml:space="preserve">Case study: Failure to communicate openly/honestly/effectively with consumer </w:t>
            </w:r>
            <w:r w:rsidRPr="00666BAC">
              <w:rPr>
                <w:b/>
                <w:szCs w:val="22"/>
              </w:rPr>
              <w:t>(15HDC00100)</w:t>
            </w:r>
          </w:p>
          <w:p w:rsidR="0083180A" w:rsidRPr="00666BAC" w:rsidRDefault="0083180A" w:rsidP="0083180A">
            <w:pPr>
              <w:spacing w:after="120"/>
              <w:rPr>
                <w:sz w:val="24"/>
              </w:rPr>
            </w:pPr>
          </w:p>
          <w:p w:rsidR="00CB52B3" w:rsidRPr="00666BAC" w:rsidRDefault="00CB52B3" w:rsidP="0037539A">
            <w:pPr>
              <w:tabs>
                <w:tab w:val="left" w:pos="720"/>
                <w:tab w:val="left" w:pos="1134"/>
              </w:tabs>
              <w:spacing w:after="240"/>
              <w:rPr>
                <w:szCs w:val="22"/>
              </w:rPr>
            </w:pPr>
            <w:r w:rsidRPr="00666BAC">
              <w:rPr>
                <w:szCs w:val="22"/>
              </w:rPr>
              <w:t>M</w:t>
            </w:r>
            <w:r w:rsidR="0083180A" w:rsidRPr="00666BAC">
              <w:rPr>
                <w:szCs w:val="22"/>
              </w:rPr>
              <w:t xml:space="preserve">s </w:t>
            </w:r>
            <w:r w:rsidR="0083180A" w:rsidRPr="00666BAC">
              <w:rPr>
                <w:caps/>
                <w:szCs w:val="22"/>
              </w:rPr>
              <w:t>A</w:t>
            </w:r>
            <w:r w:rsidRPr="00666BAC">
              <w:rPr>
                <w:szCs w:val="22"/>
              </w:rPr>
              <w:t xml:space="preserve"> was referred to the emergency department (ED) of a public hospital by her GP with a suspected ankle fracture. On the referral letter, the GP noted that Ms A was allergic to several medications, including morphine. On arrival at the ED, Ms A completed an admission form on which she documented under “any medical alerts or allergies?” that she was allergic to morphine, codeine, penicillin, and erythromycin.</w:t>
            </w:r>
          </w:p>
          <w:p w:rsidR="00CB52B3" w:rsidRPr="00666BAC" w:rsidRDefault="00CB52B3" w:rsidP="0037539A">
            <w:pPr>
              <w:tabs>
                <w:tab w:val="left" w:pos="720"/>
                <w:tab w:val="left" w:pos="1134"/>
              </w:tabs>
              <w:spacing w:after="240"/>
              <w:rPr>
                <w:szCs w:val="22"/>
              </w:rPr>
            </w:pPr>
            <w:r w:rsidRPr="00666BAC">
              <w:rPr>
                <w:szCs w:val="22"/>
              </w:rPr>
              <w:t xml:space="preserve">Ms A was seen by ED consultant, Dr C, who noted her history and her current medications and requested an X-ray. It was later documented in the nursing notes that Ms A was allergic to “penicillin, morphine, codeine, erythromycin”. </w:t>
            </w:r>
          </w:p>
          <w:p w:rsidR="00754A60" w:rsidRPr="00666BAC" w:rsidRDefault="00CB52B3" w:rsidP="0037539A">
            <w:pPr>
              <w:spacing w:after="120"/>
              <w:rPr>
                <w:szCs w:val="22"/>
              </w:rPr>
            </w:pPr>
            <w:r w:rsidRPr="00666BAC">
              <w:rPr>
                <w:szCs w:val="22"/>
              </w:rPr>
              <w:t xml:space="preserve">Dr C noted that the X-ray showed no obvious fracture, but queried a Linsfranc fracture and requested orthopaedic review. Dr C then prescribed Ms A Severdol, which is the controlled drug morphine sulphate in tablet form, and discharged her home. Dr C did not ask Ms A whether she had any allergies, nor did he explain that Severdol was a form of morphine. </w:t>
            </w:r>
            <w:r w:rsidR="005E1613" w:rsidRPr="00666BAC">
              <w:rPr>
                <w:szCs w:val="22"/>
              </w:rPr>
              <w:t>Dr C also did not document his management or discharge plan.</w:t>
            </w:r>
          </w:p>
          <w:p w:rsidR="005E1613" w:rsidRPr="00666BAC" w:rsidRDefault="005E1613" w:rsidP="0037539A">
            <w:pPr>
              <w:spacing w:after="120"/>
              <w:rPr>
                <w:szCs w:val="22"/>
              </w:rPr>
            </w:pPr>
            <w:r w:rsidRPr="00666BAC">
              <w:rPr>
                <w:szCs w:val="22"/>
              </w:rPr>
              <w:t>Following Ms A’s return home, but before she took the Sevredol, Ms A’s mother, a registered nurse, noted that she had been prescribed morphine and contacted the ED.</w:t>
            </w:r>
          </w:p>
          <w:p w:rsidR="005E1613" w:rsidRPr="00666BAC" w:rsidRDefault="005E1613" w:rsidP="0037539A">
            <w:pPr>
              <w:tabs>
                <w:tab w:val="left" w:pos="720"/>
                <w:tab w:val="left" w:pos="1134"/>
              </w:tabs>
              <w:spacing w:after="240"/>
              <w:rPr>
                <w:szCs w:val="22"/>
              </w:rPr>
            </w:pPr>
            <w:r w:rsidRPr="00666BAC">
              <w:rPr>
                <w:szCs w:val="22"/>
              </w:rPr>
              <w:t xml:space="preserve">The Commissioner noted that eliciting an adequate history is a basic medical skill and that information about the woman’s allergy was easily available in the clinical records and could have been obtained directly from the woman. The Commissioner said that by failing to </w:t>
            </w:r>
            <w:r w:rsidR="0037539A" w:rsidRPr="00666BAC">
              <w:rPr>
                <w:szCs w:val="22"/>
              </w:rPr>
              <w:t>read the notes adequately and talk with his patient,</w:t>
            </w:r>
            <w:r w:rsidRPr="00666BAC">
              <w:rPr>
                <w:szCs w:val="22"/>
              </w:rPr>
              <w:t xml:space="preserve"> Dr C missed several opportunities to ascertain Ms A’s allergy status.</w:t>
            </w:r>
          </w:p>
          <w:p w:rsidR="005E1613" w:rsidRPr="00666BAC" w:rsidRDefault="005E1613" w:rsidP="0037539A">
            <w:pPr>
              <w:tabs>
                <w:tab w:val="left" w:pos="720"/>
                <w:tab w:val="left" w:pos="1134"/>
              </w:tabs>
              <w:spacing w:after="240"/>
              <w:rPr>
                <w:szCs w:val="22"/>
              </w:rPr>
            </w:pPr>
            <w:r w:rsidRPr="00666BAC">
              <w:rPr>
                <w:szCs w:val="22"/>
              </w:rPr>
              <w:t>The Commissioner found that by inappropriately prescribing Sevredol to someone with a known and well-documented allergy to that drug, Dr C failed to provide services to Ms A with reasonable care and skill, in breach of Right 4(1) of the Code. The Commissioner was also critical of Dr C for failing to explain to Ms A that Sevredol is a form of morphine, and therefore failing to ensure that Ms A was provided with information that a reasonable consumer, in that consumer’s circumstance</w:t>
            </w:r>
            <w:r w:rsidR="007604F5" w:rsidRPr="00666BAC">
              <w:rPr>
                <w:szCs w:val="22"/>
              </w:rPr>
              <w:t>s, would expect to receive, in b</w:t>
            </w:r>
            <w:r w:rsidRPr="00666BAC">
              <w:rPr>
                <w:szCs w:val="22"/>
              </w:rPr>
              <w:t>reach of Right 6(1) of the Code. As a consequence, the woman was unable to give her informed consent for this aspect of the treatment, and Dr C breached Right 7(1) of the Code.</w:t>
            </w:r>
          </w:p>
          <w:p w:rsidR="005E1613" w:rsidRPr="00666BAC" w:rsidRDefault="005E1613" w:rsidP="0037539A">
            <w:pPr>
              <w:tabs>
                <w:tab w:val="left" w:pos="720"/>
                <w:tab w:val="left" w:pos="1134"/>
              </w:tabs>
              <w:spacing w:after="240"/>
              <w:rPr>
                <w:szCs w:val="22"/>
              </w:rPr>
            </w:pPr>
            <w:r w:rsidRPr="00666BAC">
              <w:rPr>
                <w:szCs w:val="22"/>
              </w:rPr>
              <w:t xml:space="preserve">The Commissioner also found Dr C in breach of Right 4(2) of the Code for failing to document his management or discharge plan, and, in particular, his prescription of Sevredol.  </w:t>
            </w:r>
          </w:p>
          <w:p w:rsidR="005E1613" w:rsidRPr="00666BAC" w:rsidRDefault="005E1613" w:rsidP="0037539A">
            <w:pPr>
              <w:tabs>
                <w:tab w:val="left" w:pos="720"/>
                <w:tab w:val="left" w:pos="1134"/>
              </w:tabs>
              <w:spacing w:after="240"/>
              <w:rPr>
                <w:szCs w:val="22"/>
              </w:rPr>
            </w:pPr>
            <w:r w:rsidRPr="00666BAC">
              <w:rPr>
                <w:szCs w:val="22"/>
              </w:rPr>
              <w:t>The Commissioner considered Dr C’s failures to be individual clinical errors, and the DHB was not found to be vicariously liable for the Dr C’s breaches of the Code.</w:t>
            </w:r>
          </w:p>
          <w:p w:rsidR="005E1613" w:rsidRPr="00666BAC" w:rsidRDefault="005E1613" w:rsidP="0037539A">
            <w:pPr>
              <w:tabs>
                <w:tab w:val="left" w:pos="720"/>
                <w:tab w:val="left" w:pos="1134"/>
              </w:tabs>
              <w:spacing w:after="240"/>
              <w:rPr>
                <w:szCs w:val="22"/>
              </w:rPr>
            </w:pPr>
            <w:r w:rsidRPr="00666BAC">
              <w:rPr>
                <w:szCs w:val="22"/>
              </w:rPr>
              <w:t xml:space="preserve">The Commissioner recommended that Dr C undertake further training in elation to history taking in a clinical setting and safe prescribing practices. The Commissioner also required Dr C to apologise to Ms A. </w:t>
            </w:r>
          </w:p>
          <w:p w:rsidR="005E1613" w:rsidRPr="00666BAC" w:rsidRDefault="005E1613" w:rsidP="005E1613">
            <w:pPr>
              <w:tabs>
                <w:tab w:val="left" w:pos="720"/>
                <w:tab w:val="left" w:pos="1134"/>
              </w:tabs>
              <w:spacing w:after="240"/>
              <w:rPr>
                <w:szCs w:val="22"/>
              </w:rPr>
            </w:pPr>
            <w:r w:rsidRPr="00666BAC">
              <w:rPr>
                <w:szCs w:val="22"/>
              </w:rPr>
              <w:t>The Commissioner recommended that the DHB share its learnings and actions it had taken in relation to prescribing controlled drugs</w:t>
            </w:r>
            <w:r w:rsidR="00666BAC" w:rsidRPr="00666BAC">
              <w:rPr>
                <w:szCs w:val="22"/>
              </w:rPr>
              <w:t xml:space="preserve"> and the maintenance of records with</w:t>
            </w:r>
            <w:r w:rsidRPr="00666BAC">
              <w:rPr>
                <w:szCs w:val="22"/>
              </w:rPr>
              <w:t xml:space="preserve"> the National DHB </w:t>
            </w:r>
            <w:r w:rsidR="000128B9">
              <w:rPr>
                <w:szCs w:val="22"/>
              </w:rPr>
              <w:t xml:space="preserve">Chief </w:t>
            </w:r>
            <w:r w:rsidRPr="00666BAC">
              <w:rPr>
                <w:szCs w:val="22"/>
              </w:rPr>
              <w:t>M</w:t>
            </w:r>
            <w:r w:rsidR="000128B9">
              <w:rPr>
                <w:szCs w:val="22"/>
              </w:rPr>
              <w:t xml:space="preserve">edical </w:t>
            </w:r>
            <w:r w:rsidRPr="00666BAC">
              <w:rPr>
                <w:szCs w:val="22"/>
              </w:rPr>
              <w:t>O</w:t>
            </w:r>
            <w:r w:rsidR="000128B9">
              <w:rPr>
                <w:szCs w:val="22"/>
              </w:rPr>
              <w:t>fficer</w:t>
            </w:r>
            <w:r w:rsidRPr="00666BAC">
              <w:rPr>
                <w:szCs w:val="22"/>
              </w:rPr>
              <w:t xml:space="preserve"> Group. </w:t>
            </w:r>
          </w:p>
        </w:tc>
      </w:tr>
    </w:tbl>
    <w:p w:rsidR="00705DA5" w:rsidRPr="00666BAC" w:rsidRDefault="00705DA5" w:rsidP="00705DA5"/>
    <w:p w:rsidR="0037539A" w:rsidRPr="00666BAC" w:rsidRDefault="0037539A" w:rsidP="00705DA5"/>
    <w:p w:rsidR="0037539A" w:rsidRPr="00666BAC" w:rsidRDefault="0037539A" w:rsidP="00705DA5"/>
    <w:p w:rsidR="0037539A" w:rsidRPr="00666BAC" w:rsidRDefault="0037539A" w:rsidP="00705DA5"/>
    <w:p w:rsidR="00440222" w:rsidRPr="00666BAC" w:rsidRDefault="004B127E" w:rsidP="00705DA5">
      <w:r w:rsidRPr="00666BAC">
        <w:t>Table 6 details a</w:t>
      </w:r>
      <w:r w:rsidR="0092752E" w:rsidRPr="00666BAC">
        <w:t xml:space="preserve"> yearly</w:t>
      </w:r>
      <w:r w:rsidRPr="00666BAC">
        <w:t xml:space="preserve"> comparison of the m</w:t>
      </w:r>
      <w:r w:rsidR="00440222" w:rsidRPr="00666BAC">
        <w:t>ost</w:t>
      </w:r>
      <w:r w:rsidR="003B399F">
        <w:t xml:space="preserve"> common issues raised in 2015/</w:t>
      </w:r>
      <w:r w:rsidR="00440222" w:rsidRPr="00666BAC">
        <w:t>16</w:t>
      </w:r>
      <w:r w:rsidR="003E75BB" w:rsidRPr="00666BAC">
        <w:t xml:space="preserve">. </w:t>
      </w:r>
      <w:r w:rsidR="00D10020" w:rsidRPr="00666BAC">
        <w:t>Common complaint</w:t>
      </w:r>
      <w:r w:rsidR="003E75BB" w:rsidRPr="00666BAC">
        <w:t xml:space="preserve"> issues have remained broadly consistent over the la</w:t>
      </w:r>
      <w:r w:rsidR="00D10020" w:rsidRPr="00666BAC">
        <w:t>st</w:t>
      </w:r>
      <w:r w:rsidR="00440222" w:rsidRPr="00666BAC">
        <w:t xml:space="preserve"> three</w:t>
      </w:r>
      <w:r w:rsidR="003E75BB" w:rsidRPr="00666BAC">
        <w:t xml:space="preserve"> years. </w:t>
      </w:r>
      <w:r w:rsidR="00440222" w:rsidRPr="00666BAC">
        <w:t>However, inadequate coordination of care/treatment became a common complaint iss</w:t>
      </w:r>
      <w:r w:rsidR="003B399F">
        <w:t>ue for the first time in 2015/</w:t>
      </w:r>
      <w:r w:rsidR="00440222" w:rsidRPr="00666BAC">
        <w:t>16, increasing from being present</w:t>
      </w:r>
      <w:r w:rsidR="003B399F">
        <w:t xml:space="preserve"> in 14% of complaints in 2013/</w:t>
      </w:r>
      <w:r w:rsidR="00440222" w:rsidRPr="00666BAC">
        <w:t>14 to 24% of complaints in 2015/16. Inadequate/inappropriate examination/assessment has also shown a large increase over the last three years from 14% in 2013/14 to 29% in 2015/16, failure to communicate effectively with consumer has also increased steadily from 21% in 2013/14 to 38% in 2015/16. On the other hand, complaints involving an inadequate response to consumer’s complaint by the DHB did not appear in the most common issues for the first time in 2015/16, decreasing from being present in 27% of complaints in 2014/15 to 22% of complaints in 2015/16.</w:t>
      </w:r>
    </w:p>
    <w:p w:rsidR="004274F1" w:rsidRPr="00666BAC" w:rsidRDefault="004274F1" w:rsidP="004B127E">
      <w:pPr>
        <w:widowControl w:val="0"/>
        <w:spacing w:after="120"/>
        <w:rPr>
          <w:b/>
          <w:szCs w:val="22"/>
        </w:rPr>
      </w:pPr>
    </w:p>
    <w:p w:rsidR="0092752E" w:rsidRPr="00666BAC" w:rsidRDefault="004B127E" w:rsidP="00D45103">
      <w:pPr>
        <w:widowControl w:val="0"/>
        <w:spacing w:after="120"/>
        <w:rPr>
          <w:szCs w:val="22"/>
        </w:rPr>
      </w:pPr>
      <w:r w:rsidRPr="00666BAC">
        <w:rPr>
          <w:b/>
          <w:szCs w:val="22"/>
        </w:rPr>
        <w:t xml:space="preserve">Table 6. </w:t>
      </w:r>
      <w:r w:rsidR="00D45103" w:rsidRPr="00666BAC">
        <w:rPr>
          <w:szCs w:val="22"/>
        </w:rPr>
        <w:t>Yearly comparison of the m</w:t>
      </w:r>
      <w:r w:rsidRPr="00666BAC">
        <w:rPr>
          <w:szCs w:val="22"/>
        </w:rPr>
        <w:t xml:space="preserve">ost common issues complained about in DHB complaints </w:t>
      </w:r>
      <w:r w:rsidR="00440222" w:rsidRPr="00666BAC">
        <w:rPr>
          <w:szCs w:val="22"/>
        </w:rPr>
        <w:t>in 2015/16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1716"/>
        <w:gridCol w:w="1701"/>
        <w:gridCol w:w="1677"/>
      </w:tblGrid>
      <w:tr w:rsidR="00FF475B" w:rsidRPr="00666BAC" w:rsidTr="00FF475B">
        <w:trPr>
          <w:trHeight w:val="624"/>
          <w:tblHeader/>
        </w:trPr>
        <w:tc>
          <w:tcPr>
            <w:tcW w:w="4096" w:type="dxa"/>
            <w:shd w:val="clear" w:color="auto" w:fill="C00000"/>
          </w:tcPr>
          <w:p w:rsidR="00FF475B" w:rsidRPr="00666BAC" w:rsidRDefault="00FF475B" w:rsidP="0092752E">
            <w:pPr>
              <w:tabs>
                <w:tab w:val="left" w:pos="1440"/>
                <w:tab w:val="decimal" w:pos="4320"/>
              </w:tabs>
              <w:spacing w:before="120" w:after="120"/>
              <w:jc w:val="center"/>
              <w:outlineLvl w:val="0"/>
              <w:rPr>
                <w:b/>
                <w:szCs w:val="22"/>
                <w:vertAlign w:val="superscript"/>
              </w:rPr>
            </w:pPr>
            <w:r w:rsidRPr="00666BAC">
              <w:rPr>
                <w:b/>
                <w:szCs w:val="22"/>
              </w:rPr>
              <w:t>Complaint issue</w:t>
            </w:r>
          </w:p>
        </w:tc>
        <w:tc>
          <w:tcPr>
            <w:tcW w:w="1716" w:type="dxa"/>
            <w:shd w:val="clear" w:color="auto" w:fill="C00000"/>
          </w:tcPr>
          <w:p w:rsidR="00FF475B" w:rsidRPr="00666BAC" w:rsidRDefault="00FF475B" w:rsidP="0092752E">
            <w:pPr>
              <w:tabs>
                <w:tab w:val="left" w:pos="1440"/>
                <w:tab w:val="decimal" w:pos="4320"/>
              </w:tabs>
              <w:spacing w:before="120" w:after="120"/>
              <w:jc w:val="center"/>
              <w:outlineLvl w:val="0"/>
              <w:rPr>
                <w:b/>
                <w:szCs w:val="22"/>
              </w:rPr>
            </w:pPr>
            <w:r w:rsidRPr="00666BAC">
              <w:rPr>
                <w:b/>
                <w:szCs w:val="22"/>
              </w:rPr>
              <w:t>2013/14</w:t>
            </w:r>
          </w:p>
        </w:tc>
        <w:tc>
          <w:tcPr>
            <w:tcW w:w="1701" w:type="dxa"/>
            <w:shd w:val="clear" w:color="auto" w:fill="C00000"/>
          </w:tcPr>
          <w:p w:rsidR="00FF475B" w:rsidRPr="00666BAC" w:rsidRDefault="00FF475B" w:rsidP="0092752E">
            <w:pPr>
              <w:tabs>
                <w:tab w:val="left" w:pos="1440"/>
                <w:tab w:val="decimal" w:pos="4320"/>
              </w:tabs>
              <w:spacing w:before="120" w:after="120"/>
              <w:jc w:val="center"/>
              <w:outlineLvl w:val="0"/>
              <w:rPr>
                <w:b/>
                <w:szCs w:val="22"/>
              </w:rPr>
            </w:pPr>
            <w:r w:rsidRPr="00666BAC">
              <w:rPr>
                <w:b/>
                <w:szCs w:val="22"/>
              </w:rPr>
              <w:t>2014/15</w:t>
            </w:r>
          </w:p>
        </w:tc>
        <w:tc>
          <w:tcPr>
            <w:tcW w:w="1677" w:type="dxa"/>
            <w:shd w:val="clear" w:color="auto" w:fill="C00000"/>
          </w:tcPr>
          <w:p w:rsidR="00FF475B" w:rsidRPr="00666BAC" w:rsidRDefault="00FF475B" w:rsidP="0092752E">
            <w:pPr>
              <w:tabs>
                <w:tab w:val="left" w:pos="1440"/>
                <w:tab w:val="decimal" w:pos="4320"/>
              </w:tabs>
              <w:spacing w:before="120" w:after="120"/>
              <w:jc w:val="center"/>
              <w:outlineLvl w:val="0"/>
              <w:rPr>
                <w:b/>
                <w:szCs w:val="22"/>
              </w:rPr>
            </w:pPr>
            <w:r w:rsidRPr="00666BAC">
              <w:rPr>
                <w:b/>
                <w:szCs w:val="22"/>
              </w:rPr>
              <w:t>2015/16</w:t>
            </w:r>
          </w:p>
        </w:tc>
      </w:tr>
      <w:tr w:rsidR="00FF475B" w:rsidRPr="00666BAC" w:rsidTr="00440222">
        <w:trPr>
          <w:trHeight w:val="278"/>
        </w:trPr>
        <w:tc>
          <w:tcPr>
            <w:tcW w:w="4096" w:type="dxa"/>
          </w:tcPr>
          <w:p w:rsidR="00FF475B" w:rsidRPr="00666BAC" w:rsidRDefault="00FF475B" w:rsidP="0092752E">
            <w:pPr>
              <w:jc w:val="left"/>
              <w:rPr>
                <w:rFonts w:cs="Calibri"/>
                <w:b/>
                <w:color w:val="000000"/>
                <w:szCs w:val="22"/>
              </w:rPr>
            </w:pPr>
            <w:r w:rsidRPr="00666BAC">
              <w:rPr>
                <w:rFonts w:cs="Calibri"/>
                <w:b/>
                <w:color w:val="000000"/>
                <w:szCs w:val="22"/>
              </w:rPr>
              <w:t>Inadequate/inappropriate treatment</w:t>
            </w:r>
          </w:p>
        </w:tc>
        <w:tc>
          <w:tcPr>
            <w:tcW w:w="1716"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37%</w:t>
            </w:r>
          </w:p>
        </w:tc>
        <w:tc>
          <w:tcPr>
            <w:tcW w:w="1701"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40%</w:t>
            </w:r>
          </w:p>
        </w:tc>
        <w:tc>
          <w:tcPr>
            <w:tcW w:w="1677"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43%</w:t>
            </w:r>
          </w:p>
        </w:tc>
      </w:tr>
      <w:tr w:rsidR="00FF475B" w:rsidRPr="00666BAC" w:rsidTr="00440222">
        <w:trPr>
          <w:trHeight w:val="267"/>
        </w:trPr>
        <w:tc>
          <w:tcPr>
            <w:tcW w:w="4096" w:type="dxa"/>
          </w:tcPr>
          <w:p w:rsidR="00FF475B" w:rsidRPr="00666BAC" w:rsidRDefault="00FF475B" w:rsidP="0092752E">
            <w:pPr>
              <w:jc w:val="left"/>
              <w:rPr>
                <w:rFonts w:cs="Calibri"/>
                <w:b/>
                <w:color w:val="000000"/>
                <w:szCs w:val="22"/>
              </w:rPr>
            </w:pPr>
            <w:r w:rsidRPr="00666BAC">
              <w:rPr>
                <w:rFonts w:cs="Calibri"/>
                <w:b/>
                <w:color w:val="000000"/>
                <w:szCs w:val="22"/>
              </w:rPr>
              <w:t>Failure to communicate effectively with consumer</w:t>
            </w:r>
          </w:p>
        </w:tc>
        <w:tc>
          <w:tcPr>
            <w:tcW w:w="1716"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21%</w:t>
            </w:r>
          </w:p>
        </w:tc>
        <w:tc>
          <w:tcPr>
            <w:tcW w:w="1701"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34%</w:t>
            </w:r>
          </w:p>
        </w:tc>
        <w:tc>
          <w:tcPr>
            <w:tcW w:w="1677"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38%</w:t>
            </w:r>
          </w:p>
        </w:tc>
      </w:tr>
      <w:tr w:rsidR="00FF475B" w:rsidRPr="00666BAC" w:rsidTr="00440222">
        <w:trPr>
          <w:trHeight w:val="267"/>
        </w:trPr>
        <w:tc>
          <w:tcPr>
            <w:tcW w:w="4096" w:type="dxa"/>
          </w:tcPr>
          <w:p w:rsidR="00FF475B" w:rsidRPr="00666BAC" w:rsidRDefault="00FF475B" w:rsidP="0092752E">
            <w:pPr>
              <w:jc w:val="left"/>
              <w:rPr>
                <w:rFonts w:cs="Calibri"/>
                <w:b/>
                <w:color w:val="000000"/>
                <w:szCs w:val="22"/>
              </w:rPr>
            </w:pPr>
            <w:r w:rsidRPr="00666BAC">
              <w:rPr>
                <w:rFonts w:cs="Calibri"/>
                <w:b/>
                <w:color w:val="000000"/>
                <w:szCs w:val="22"/>
              </w:rPr>
              <w:t>Inadequate/inappropriate examination/assessment</w:t>
            </w:r>
          </w:p>
        </w:tc>
        <w:tc>
          <w:tcPr>
            <w:tcW w:w="1716"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14%</w:t>
            </w:r>
          </w:p>
        </w:tc>
        <w:tc>
          <w:tcPr>
            <w:tcW w:w="1701"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27%</w:t>
            </w:r>
          </w:p>
        </w:tc>
        <w:tc>
          <w:tcPr>
            <w:tcW w:w="1677"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29%</w:t>
            </w:r>
          </w:p>
        </w:tc>
      </w:tr>
      <w:tr w:rsidR="00FF475B" w:rsidRPr="00666BAC" w:rsidTr="00440222">
        <w:trPr>
          <w:trHeight w:val="286"/>
        </w:trPr>
        <w:tc>
          <w:tcPr>
            <w:tcW w:w="4096" w:type="dxa"/>
          </w:tcPr>
          <w:p w:rsidR="00FF475B" w:rsidRPr="00666BAC" w:rsidRDefault="00440222" w:rsidP="0092752E">
            <w:pPr>
              <w:jc w:val="left"/>
              <w:rPr>
                <w:rFonts w:cs="Calibri"/>
                <w:b/>
                <w:color w:val="000000"/>
                <w:szCs w:val="22"/>
              </w:rPr>
            </w:pPr>
            <w:r w:rsidRPr="00666BAC">
              <w:rPr>
                <w:rFonts w:cs="Calibri"/>
                <w:b/>
                <w:color w:val="000000"/>
                <w:szCs w:val="22"/>
              </w:rPr>
              <w:t>Disrespectful manner/attitude</w:t>
            </w:r>
          </w:p>
        </w:tc>
        <w:tc>
          <w:tcPr>
            <w:tcW w:w="1716"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20%</w:t>
            </w:r>
          </w:p>
        </w:tc>
        <w:tc>
          <w:tcPr>
            <w:tcW w:w="1701"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24%</w:t>
            </w:r>
          </w:p>
        </w:tc>
        <w:tc>
          <w:tcPr>
            <w:tcW w:w="1677"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25%</w:t>
            </w:r>
          </w:p>
        </w:tc>
      </w:tr>
      <w:tr w:rsidR="00FF475B" w:rsidRPr="00666BAC" w:rsidTr="00440222">
        <w:trPr>
          <w:trHeight w:val="286"/>
        </w:trPr>
        <w:tc>
          <w:tcPr>
            <w:tcW w:w="4096" w:type="dxa"/>
          </w:tcPr>
          <w:p w:rsidR="00FF475B" w:rsidRPr="00666BAC" w:rsidRDefault="00440222" w:rsidP="0092752E">
            <w:pPr>
              <w:jc w:val="left"/>
              <w:rPr>
                <w:rFonts w:cs="Calibri"/>
                <w:b/>
                <w:color w:val="000000"/>
                <w:szCs w:val="22"/>
              </w:rPr>
            </w:pPr>
            <w:r w:rsidRPr="00666BAC">
              <w:rPr>
                <w:rFonts w:cs="Calibri"/>
                <w:b/>
                <w:color w:val="000000"/>
                <w:szCs w:val="22"/>
              </w:rPr>
              <w:t>Inadequate coordination of care/treatment</w:t>
            </w:r>
          </w:p>
        </w:tc>
        <w:tc>
          <w:tcPr>
            <w:tcW w:w="1716"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14%</w:t>
            </w:r>
          </w:p>
        </w:tc>
        <w:tc>
          <w:tcPr>
            <w:tcW w:w="1701"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19%</w:t>
            </w:r>
          </w:p>
        </w:tc>
        <w:tc>
          <w:tcPr>
            <w:tcW w:w="1677"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24%</w:t>
            </w:r>
          </w:p>
        </w:tc>
      </w:tr>
      <w:tr w:rsidR="00FF475B" w:rsidRPr="00666BAC" w:rsidTr="00440222">
        <w:trPr>
          <w:trHeight w:val="286"/>
        </w:trPr>
        <w:tc>
          <w:tcPr>
            <w:tcW w:w="4096" w:type="dxa"/>
          </w:tcPr>
          <w:p w:rsidR="00FF475B" w:rsidRPr="00666BAC" w:rsidRDefault="00440222" w:rsidP="0092752E">
            <w:pPr>
              <w:jc w:val="left"/>
              <w:rPr>
                <w:rFonts w:cs="Calibri"/>
                <w:b/>
                <w:color w:val="000000"/>
                <w:szCs w:val="22"/>
              </w:rPr>
            </w:pPr>
            <w:r w:rsidRPr="00666BAC">
              <w:rPr>
                <w:rFonts w:cs="Calibri"/>
                <w:b/>
                <w:color w:val="000000"/>
                <w:szCs w:val="22"/>
              </w:rPr>
              <w:t>Failure to communicate effectively with family</w:t>
            </w:r>
          </w:p>
        </w:tc>
        <w:tc>
          <w:tcPr>
            <w:tcW w:w="1716"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21%</w:t>
            </w:r>
          </w:p>
        </w:tc>
        <w:tc>
          <w:tcPr>
            <w:tcW w:w="1701"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22%</w:t>
            </w:r>
          </w:p>
        </w:tc>
        <w:tc>
          <w:tcPr>
            <w:tcW w:w="1677" w:type="dxa"/>
            <w:vAlign w:val="center"/>
          </w:tcPr>
          <w:p w:rsidR="00FF475B" w:rsidRPr="00666BAC" w:rsidRDefault="00440222" w:rsidP="00440222">
            <w:pPr>
              <w:jc w:val="center"/>
              <w:rPr>
                <w:rFonts w:cs="Calibri"/>
                <w:b/>
                <w:color w:val="000000"/>
                <w:szCs w:val="22"/>
              </w:rPr>
            </w:pPr>
            <w:r w:rsidRPr="00666BAC">
              <w:rPr>
                <w:rFonts w:cs="Calibri"/>
                <w:b/>
                <w:color w:val="000000"/>
                <w:szCs w:val="22"/>
              </w:rPr>
              <w:t>24%</w:t>
            </w:r>
          </w:p>
        </w:tc>
      </w:tr>
      <w:tr w:rsidR="00440222" w:rsidRPr="00666BAC" w:rsidTr="00440222">
        <w:trPr>
          <w:trHeight w:val="286"/>
        </w:trPr>
        <w:tc>
          <w:tcPr>
            <w:tcW w:w="4096" w:type="dxa"/>
          </w:tcPr>
          <w:p w:rsidR="00440222" w:rsidRPr="00666BAC" w:rsidRDefault="00440222" w:rsidP="0092752E">
            <w:pPr>
              <w:jc w:val="left"/>
              <w:rPr>
                <w:rFonts w:cs="Calibri"/>
                <w:b/>
                <w:color w:val="000000"/>
                <w:szCs w:val="22"/>
              </w:rPr>
            </w:pPr>
            <w:r w:rsidRPr="00666BAC">
              <w:rPr>
                <w:rFonts w:cs="Calibri"/>
                <w:b/>
                <w:color w:val="000000"/>
                <w:szCs w:val="22"/>
              </w:rPr>
              <w:t>Missed/incorrect/delayed diagnosis</w:t>
            </w:r>
          </w:p>
        </w:tc>
        <w:tc>
          <w:tcPr>
            <w:tcW w:w="1716" w:type="dxa"/>
            <w:vAlign w:val="center"/>
          </w:tcPr>
          <w:p w:rsidR="00440222" w:rsidRPr="00666BAC" w:rsidRDefault="00440222" w:rsidP="00440222">
            <w:pPr>
              <w:jc w:val="center"/>
              <w:rPr>
                <w:rFonts w:cs="Calibri"/>
                <w:b/>
                <w:color w:val="000000"/>
                <w:szCs w:val="22"/>
              </w:rPr>
            </w:pPr>
            <w:r w:rsidRPr="00666BAC">
              <w:rPr>
                <w:rFonts w:cs="Calibri"/>
                <w:b/>
                <w:color w:val="000000"/>
                <w:szCs w:val="22"/>
              </w:rPr>
              <w:t>27%</w:t>
            </w:r>
          </w:p>
        </w:tc>
        <w:tc>
          <w:tcPr>
            <w:tcW w:w="1701" w:type="dxa"/>
            <w:vAlign w:val="center"/>
          </w:tcPr>
          <w:p w:rsidR="00440222" w:rsidRPr="00666BAC" w:rsidRDefault="00440222" w:rsidP="00440222">
            <w:pPr>
              <w:jc w:val="center"/>
              <w:rPr>
                <w:rFonts w:cs="Calibri"/>
                <w:b/>
                <w:color w:val="000000"/>
                <w:szCs w:val="22"/>
              </w:rPr>
            </w:pPr>
            <w:r w:rsidRPr="00666BAC">
              <w:rPr>
                <w:rFonts w:cs="Calibri"/>
                <w:b/>
                <w:color w:val="000000"/>
                <w:szCs w:val="22"/>
              </w:rPr>
              <w:t>24%</w:t>
            </w:r>
          </w:p>
        </w:tc>
        <w:tc>
          <w:tcPr>
            <w:tcW w:w="1677" w:type="dxa"/>
            <w:vAlign w:val="center"/>
          </w:tcPr>
          <w:p w:rsidR="00440222" w:rsidRPr="00666BAC" w:rsidRDefault="00440222" w:rsidP="00440222">
            <w:pPr>
              <w:jc w:val="center"/>
              <w:rPr>
                <w:rFonts w:cs="Calibri"/>
                <w:b/>
                <w:color w:val="000000"/>
                <w:szCs w:val="22"/>
              </w:rPr>
            </w:pPr>
            <w:r w:rsidRPr="00666BAC">
              <w:rPr>
                <w:rFonts w:cs="Calibri"/>
                <w:b/>
                <w:color w:val="000000"/>
                <w:szCs w:val="22"/>
              </w:rPr>
              <w:t>23%</w:t>
            </w:r>
          </w:p>
        </w:tc>
      </w:tr>
    </w:tbl>
    <w:p w:rsidR="0092752E" w:rsidRPr="00666BAC" w:rsidRDefault="0092752E" w:rsidP="00705DA5"/>
    <w:p w:rsidR="00705DA5" w:rsidRPr="00666BAC" w:rsidRDefault="00705DA5" w:rsidP="00705DA5">
      <w:r w:rsidRPr="00666BAC">
        <w:t>It i</w:t>
      </w:r>
      <w:r w:rsidR="003E75BB" w:rsidRPr="00666BAC">
        <w:t>s important to note that Table 5 and 6</w:t>
      </w:r>
      <w:r w:rsidRPr="00666BAC">
        <w:t xml:space="preserve"> and Figure 4 are analyses of the issues raised by complainants in their complaints, rather than analyses of HDC’s assessment of the issues raised.  Inevitably, some of the complaint issues raised will have been found, on subsequent assessment, not to have been substantiated.  </w:t>
      </w:r>
    </w:p>
    <w:p w:rsidR="00666BAC" w:rsidRPr="00666BAC" w:rsidRDefault="00666BAC" w:rsidP="000801BA"/>
    <w:tbl>
      <w:tblPr>
        <w:tblStyle w:val="TableGrid"/>
        <w:tblW w:w="0" w:type="auto"/>
        <w:tblLook w:val="04A0" w:firstRow="1" w:lastRow="0" w:firstColumn="1" w:lastColumn="0" w:noHBand="0" w:noVBand="1"/>
      </w:tblPr>
      <w:tblGrid>
        <w:gridCol w:w="9298"/>
      </w:tblGrid>
      <w:tr w:rsidR="000801BA" w:rsidRPr="00666BAC" w:rsidTr="000801BA">
        <w:trPr>
          <w:hidden/>
        </w:trPr>
        <w:tc>
          <w:tcPr>
            <w:tcW w:w="9298" w:type="dxa"/>
            <w:tcBorders>
              <w:bottom w:val="single" w:sz="24" w:space="0" w:color="C00000"/>
            </w:tcBorders>
          </w:tcPr>
          <w:p w:rsidR="000801BA" w:rsidRPr="00666BAC" w:rsidRDefault="000801BA" w:rsidP="000801BA">
            <w:pPr>
              <w:spacing w:before="120" w:after="120"/>
              <w:rPr>
                <w:b/>
                <w:vanish/>
                <w:sz w:val="28"/>
                <w:szCs w:val="28"/>
              </w:rPr>
            </w:pPr>
            <w:r w:rsidRPr="00666BAC">
              <w:rPr>
                <w:b/>
                <w:vanish/>
                <w:sz w:val="28"/>
                <w:szCs w:val="28"/>
              </w:rPr>
              <w:t>Disrespectful manner/attitude case example</w:t>
            </w:r>
          </w:p>
          <w:p w:rsidR="000801BA" w:rsidRPr="00666BAC" w:rsidRDefault="000801BA" w:rsidP="000801BA">
            <w:pPr>
              <w:spacing w:before="120" w:after="120"/>
              <w:rPr>
                <w:vanish/>
                <w:szCs w:val="22"/>
              </w:rPr>
            </w:pPr>
          </w:p>
          <w:p w:rsidR="000801BA" w:rsidRPr="00666BAC" w:rsidRDefault="000801BA" w:rsidP="000801BA">
            <w:pPr>
              <w:spacing w:before="120" w:after="120"/>
              <w:rPr>
                <w:vanish/>
                <w:szCs w:val="22"/>
              </w:rPr>
            </w:pPr>
          </w:p>
        </w:tc>
      </w:tr>
      <w:tr w:rsidR="000801BA" w:rsidRPr="00666BAC" w:rsidTr="000801BA">
        <w:tc>
          <w:tcPr>
            <w:tcW w:w="9298" w:type="dxa"/>
            <w:tcBorders>
              <w:top w:val="single" w:sz="24" w:space="0" w:color="C00000"/>
              <w:left w:val="single" w:sz="24" w:space="0" w:color="C00000"/>
              <w:bottom w:val="single" w:sz="24" w:space="0" w:color="C00000"/>
              <w:right w:val="single" w:sz="24" w:space="0" w:color="C00000"/>
            </w:tcBorders>
          </w:tcPr>
          <w:p w:rsidR="00AF239A" w:rsidRPr="00666BAC" w:rsidRDefault="00AF239A" w:rsidP="00AF239A">
            <w:pPr>
              <w:tabs>
                <w:tab w:val="left" w:pos="1440"/>
                <w:tab w:val="left" w:pos="2610"/>
              </w:tabs>
              <w:spacing w:before="120"/>
              <w:jc w:val="center"/>
              <w:outlineLvl w:val="0"/>
              <w:rPr>
                <w:b/>
                <w:szCs w:val="22"/>
              </w:rPr>
            </w:pPr>
            <w:r w:rsidRPr="00666BAC">
              <w:rPr>
                <w:b/>
                <w:sz w:val="28"/>
                <w:szCs w:val="28"/>
              </w:rPr>
              <w:t xml:space="preserve">Case study: Inadequate coordination of care/treatment </w:t>
            </w:r>
            <w:r w:rsidRPr="00666BAC">
              <w:rPr>
                <w:b/>
                <w:szCs w:val="22"/>
              </w:rPr>
              <w:t>(15HDC00111)</w:t>
            </w:r>
          </w:p>
          <w:p w:rsidR="00AF239A" w:rsidRPr="00666BAC" w:rsidRDefault="00AF239A" w:rsidP="00AF239A">
            <w:pPr>
              <w:tabs>
                <w:tab w:val="left" w:pos="720"/>
                <w:tab w:val="left" w:pos="1134"/>
              </w:tabs>
              <w:spacing w:after="240"/>
              <w:rPr>
                <w:szCs w:val="22"/>
              </w:rPr>
            </w:pPr>
          </w:p>
          <w:p w:rsidR="00AF239A" w:rsidRPr="00666BAC" w:rsidRDefault="00AF239A" w:rsidP="00AF239A">
            <w:pPr>
              <w:tabs>
                <w:tab w:val="left" w:pos="720"/>
                <w:tab w:val="left" w:pos="1134"/>
              </w:tabs>
              <w:spacing w:after="240"/>
              <w:rPr>
                <w:szCs w:val="22"/>
              </w:rPr>
            </w:pPr>
            <w:r w:rsidRPr="00666BAC">
              <w:rPr>
                <w:szCs w:val="22"/>
              </w:rPr>
              <w:t>Mr A had a complex medical history, including cardiac issues and a strong family history of myocardial infarction</w:t>
            </w:r>
            <w:r w:rsidR="00CA4DDB" w:rsidRPr="00666BAC">
              <w:rPr>
                <w:szCs w:val="22"/>
              </w:rPr>
              <w:t xml:space="preserve"> (heart attack)</w:t>
            </w:r>
            <w:r w:rsidRPr="00666BAC">
              <w:rPr>
                <w:szCs w:val="22"/>
              </w:rPr>
              <w:t>. Mr A presented to the Emergency Department (ED) of a public hospital for a mental health assessment and was discharged with a management plan. The following day, Mr A presented to the ED again after an incident of self harm. Mr A then had a cardiac event and was diagnosed with an ST-segment elevation myocardial infarction</w:t>
            </w:r>
            <w:r w:rsidR="001F7636" w:rsidRPr="00666BAC">
              <w:rPr>
                <w:szCs w:val="22"/>
              </w:rPr>
              <w:t xml:space="preserve"> (STEMI). He was</w:t>
            </w:r>
            <w:r w:rsidRPr="00666BAC">
              <w:rPr>
                <w:szCs w:val="22"/>
              </w:rPr>
              <w:t xml:space="preserve"> transferred to the intensive coronary care unit (ICCU) at another hospital. </w:t>
            </w:r>
          </w:p>
          <w:p w:rsidR="001F7636" w:rsidRPr="00666BAC" w:rsidRDefault="001F7636" w:rsidP="00AF239A">
            <w:pPr>
              <w:tabs>
                <w:tab w:val="left" w:pos="720"/>
                <w:tab w:val="left" w:pos="1134"/>
              </w:tabs>
              <w:spacing w:after="240"/>
              <w:rPr>
                <w:szCs w:val="22"/>
              </w:rPr>
            </w:pPr>
            <w:r w:rsidRPr="00666BAC">
              <w:rPr>
                <w:szCs w:val="22"/>
              </w:rPr>
              <w:t>Further investigations were undertaken and Mr A was considered to have Takotsubo cardiomyopathy. During his admission to ICCU, routine blood tests showed a very abnormal troponin T result (</w:t>
            </w:r>
            <w:r w:rsidRPr="00666BAC">
              <w:t>a highly specific marker for myocardial infarction or heart muscle cell death)</w:t>
            </w:r>
            <w:r w:rsidR="00666BAC" w:rsidRPr="00666BAC">
              <w:rPr>
                <w:szCs w:val="22"/>
              </w:rPr>
              <w:t>. However, Mr A’s cardiologist, Dr E,</w:t>
            </w:r>
            <w:r w:rsidRPr="00666BAC">
              <w:rPr>
                <w:szCs w:val="22"/>
              </w:rPr>
              <w:t xml:space="preserve"> was not aware that the test had been ordered and was not informed of the result. At the time of these events, the DHB required patients to be declared medically fit for discharge so that they could be nursed at the mental health facility. </w:t>
            </w:r>
          </w:p>
          <w:p w:rsidR="001F7636" w:rsidRPr="00666BAC" w:rsidRDefault="001F7636" w:rsidP="001F7636">
            <w:pPr>
              <w:tabs>
                <w:tab w:val="left" w:pos="720"/>
                <w:tab w:val="left" w:pos="1134"/>
              </w:tabs>
              <w:spacing w:after="240"/>
              <w:rPr>
                <w:szCs w:val="22"/>
              </w:rPr>
            </w:pPr>
            <w:r w:rsidRPr="00666BAC">
              <w:rPr>
                <w:szCs w:val="22"/>
              </w:rPr>
              <w:t xml:space="preserve">The following day, Dr C reviewed Mr A and declared that he was medically fit for discharge. Mr A was transferred to the mental health facility. Mr A was to be observed every 10 minutes while in the mental health facility. The next morning Mr A was found deceased in his room. The mental health facility confirmed that the 10-minute observations had been adhered to overnight. </w:t>
            </w:r>
          </w:p>
          <w:p w:rsidR="001F7636" w:rsidRPr="00666BAC" w:rsidRDefault="00CA4DDB" w:rsidP="001F7636">
            <w:pPr>
              <w:tabs>
                <w:tab w:val="left" w:pos="720"/>
                <w:tab w:val="left" w:pos="1134"/>
              </w:tabs>
              <w:spacing w:after="240"/>
              <w:rPr>
                <w:szCs w:val="22"/>
              </w:rPr>
            </w:pPr>
            <w:r w:rsidRPr="00666BAC">
              <w:rPr>
                <w:szCs w:val="22"/>
              </w:rPr>
              <w:t xml:space="preserve">The </w:t>
            </w:r>
            <w:r w:rsidR="001F7636" w:rsidRPr="00666BAC">
              <w:rPr>
                <w:szCs w:val="22"/>
              </w:rPr>
              <w:t xml:space="preserve">Coroner found that the direct cause of death was cardiac arrhythmia </w:t>
            </w:r>
            <w:r w:rsidR="004F4A2F">
              <w:rPr>
                <w:szCs w:val="22"/>
              </w:rPr>
              <w:t xml:space="preserve">precipitated by </w:t>
            </w:r>
            <w:r w:rsidR="001F7636" w:rsidRPr="00666BAC">
              <w:rPr>
                <w:szCs w:val="22"/>
              </w:rPr>
              <w:t xml:space="preserve">recent myocardial infarction. </w:t>
            </w:r>
          </w:p>
          <w:p w:rsidR="0025356A" w:rsidRPr="00666BAC" w:rsidRDefault="0025356A" w:rsidP="001F7636">
            <w:pPr>
              <w:tabs>
                <w:tab w:val="left" w:pos="720"/>
                <w:tab w:val="left" w:pos="1134"/>
              </w:tabs>
              <w:spacing w:after="240"/>
              <w:rPr>
                <w:szCs w:val="22"/>
              </w:rPr>
            </w:pPr>
            <w:r w:rsidRPr="00666BAC">
              <w:rPr>
                <w:szCs w:val="22"/>
              </w:rPr>
              <w:t>The Commissioner found that Mr A’s discharge from the ICCU was inappropriate in the circumstances. The severity of the damage to Mr A’s heart was not recognised and troponin T</w:t>
            </w:r>
            <w:r w:rsidR="00354124" w:rsidRPr="00666BAC">
              <w:rPr>
                <w:szCs w:val="22"/>
              </w:rPr>
              <w:t xml:space="preserve"> levels were not used to guide Mr A’s further management. Accordingly the DHB failed to provide Mr A with services with reasonable care and skill in breach of Right 4(1) of the Code.</w:t>
            </w:r>
            <w:r w:rsidR="002D7AF9" w:rsidRPr="00666BAC">
              <w:rPr>
                <w:szCs w:val="22"/>
              </w:rPr>
              <w:t xml:space="preserve"> The Commissioner also considered that the documentation in this case was suboptimal, in breach of Right 4(2) of the Code. </w:t>
            </w:r>
          </w:p>
          <w:p w:rsidR="00354124" w:rsidRPr="00666BAC" w:rsidRDefault="00E40223" w:rsidP="001F7636">
            <w:pPr>
              <w:tabs>
                <w:tab w:val="left" w:pos="720"/>
                <w:tab w:val="left" w:pos="1134"/>
              </w:tabs>
              <w:spacing w:after="240"/>
            </w:pPr>
            <w:r w:rsidRPr="00666BAC">
              <w:t>The Commissioner was critical that: the DHB process meant that Mr A needed to be declared fit for discharge from the ICCU before he could receive appropria</w:t>
            </w:r>
            <w:r w:rsidR="00666BAC" w:rsidRPr="00666BAC">
              <w:t xml:space="preserve">te mental health care; </w:t>
            </w:r>
            <w:r w:rsidRPr="00666BAC">
              <w:t xml:space="preserve"> DHB systems failed to alert Mr A’s treating clinicians to his repe</w:t>
            </w:r>
            <w:r w:rsidR="00666BAC" w:rsidRPr="00666BAC">
              <w:t>at troponin T test; and</w:t>
            </w:r>
            <w:r w:rsidRPr="00666BAC">
              <w:t xml:space="preserve"> mental health facility staff were not made aware of the seriousness of Mr A’s cardiac condition or risk of complications. He considered that the DHB processes meant that the providers involved in Mr A’s care did not cooperate appropriately to ensure quality and continuity of services, in breach of Right 4(5) of the Code. </w:t>
            </w:r>
          </w:p>
          <w:p w:rsidR="002D7AF9" w:rsidRPr="00666BAC" w:rsidRDefault="002D7AF9" w:rsidP="001F7636">
            <w:pPr>
              <w:tabs>
                <w:tab w:val="left" w:pos="720"/>
                <w:tab w:val="left" w:pos="1134"/>
              </w:tabs>
              <w:spacing w:after="240"/>
            </w:pPr>
            <w:r w:rsidRPr="00666BAC">
              <w:t>The Commissioner made a number of recommendations to the DHB, including that it:</w:t>
            </w:r>
          </w:p>
          <w:p w:rsidR="002D7AF9" w:rsidRPr="00666BAC" w:rsidRDefault="002D7AF9" w:rsidP="00E1701B">
            <w:pPr>
              <w:pStyle w:val="ListParagraph"/>
              <w:numPr>
                <w:ilvl w:val="0"/>
                <w:numId w:val="21"/>
              </w:numPr>
              <w:tabs>
                <w:tab w:val="left" w:pos="720"/>
                <w:tab w:val="left" w:pos="1134"/>
              </w:tabs>
              <w:spacing w:after="120"/>
              <w:ind w:left="714" w:hanging="357"/>
              <w:jc w:val="left"/>
              <w:rPr>
                <w:szCs w:val="22"/>
              </w:rPr>
            </w:pPr>
            <w:r w:rsidRPr="00666BAC">
              <w:rPr>
                <w:szCs w:val="22"/>
              </w:rPr>
              <w:t>provide HDC with a copy of the policy regarding the requirement of rise and satisfactory fall of troponin T levels prior to discharge from ICCU;</w:t>
            </w:r>
          </w:p>
          <w:p w:rsidR="002D7AF9" w:rsidRPr="00666BAC" w:rsidRDefault="002D7AF9" w:rsidP="00E1701B">
            <w:pPr>
              <w:pStyle w:val="ListParagraph"/>
              <w:numPr>
                <w:ilvl w:val="0"/>
                <w:numId w:val="21"/>
              </w:numPr>
              <w:tabs>
                <w:tab w:val="left" w:pos="720"/>
                <w:tab w:val="left" w:pos="1134"/>
              </w:tabs>
              <w:spacing w:after="120"/>
              <w:ind w:left="714" w:hanging="357"/>
              <w:jc w:val="left"/>
              <w:rPr>
                <w:szCs w:val="22"/>
              </w:rPr>
            </w:pPr>
            <w:r w:rsidRPr="00666BAC">
              <w:rPr>
                <w:szCs w:val="22"/>
              </w:rPr>
              <w:t>finalise the policy requiring electronic sign-off of blood results;</w:t>
            </w:r>
          </w:p>
          <w:p w:rsidR="002D7AF9" w:rsidRPr="00666BAC" w:rsidRDefault="002D7AF9" w:rsidP="00E1701B">
            <w:pPr>
              <w:pStyle w:val="ListParagraph"/>
              <w:numPr>
                <w:ilvl w:val="0"/>
                <w:numId w:val="21"/>
              </w:numPr>
              <w:tabs>
                <w:tab w:val="left" w:pos="720"/>
                <w:tab w:val="left" w:pos="1134"/>
              </w:tabs>
              <w:spacing w:after="120"/>
              <w:ind w:left="714" w:hanging="357"/>
              <w:jc w:val="left"/>
              <w:rPr>
                <w:szCs w:val="22"/>
              </w:rPr>
            </w:pPr>
            <w:r w:rsidRPr="00666BAC">
              <w:rPr>
                <w:szCs w:val="22"/>
              </w:rPr>
              <w:t>implement a system that requires the laboratory to alert the patient’s treating clinical urgently when troponin T levels are abnormally high;</w:t>
            </w:r>
            <w:r w:rsidR="00E1701B" w:rsidRPr="00666BAC">
              <w:rPr>
                <w:szCs w:val="22"/>
              </w:rPr>
              <w:t xml:space="preserve"> and</w:t>
            </w:r>
          </w:p>
          <w:p w:rsidR="00E1701B" w:rsidRPr="00666BAC" w:rsidRDefault="002D7AF9" w:rsidP="00E1701B">
            <w:pPr>
              <w:pStyle w:val="ListParagraph"/>
              <w:numPr>
                <w:ilvl w:val="0"/>
                <w:numId w:val="21"/>
              </w:numPr>
              <w:tabs>
                <w:tab w:val="left" w:pos="720"/>
                <w:tab w:val="left" w:pos="1134"/>
              </w:tabs>
              <w:spacing w:after="120"/>
              <w:ind w:left="714" w:hanging="357"/>
              <w:jc w:val="left"/>
              <w:rPr>
                <w:b/>
                <w:sz w:val="28"/>
                <w:szCs w:val="28"/>
              </w:rPr>
            </w:pPr>
            <w:r w:rsidRPr="00666BAC">
              <w:rPr>
                <w:szCs w:val="22"/>
              </w:rPr>
              <w:t>audit the rate of cross-referencing information about overnight observations in the mental health facility into the patient’s clinical records</w:t>
            </w:r>
            <w:r w:rsidR="00E1701B" w:rsidRPr="00666BAC">
              <w:rPr>
                <w:szCs w:val="22"/>
              </w:rPr>
              <w:t>;</w:t>
            </w:r>
          </w:p>
          <w:p w:rsidR="00AF239A" w:rsidRPr="00666BAC" w:rsidRDefault="00E1701B" w:rsidP="00E1701B">
            <w:pPr>
              <w:pStyle w:val="ListParagraph"/>
              <w:numPr>
                <w:ilvl w:val="0"/>
                <w:numId w:val="21"/>
              </w:numPr>
              <w:tabs>
                <w:tab w:val="left" w:pos="720"/>
                <w:tab w:val="left" w:pos="1134"/>
              </w:tabs>
              <w:spacing w:after="120"/>
              <w:ind w:left="714" w:hanging="357"/>
              <w:jc w:val="left"/>
              <w:rPr>
                <w:b/>
                <w:sz w:val="28"/>
                <w:szCs w:val="28"/>
              </w:rPr>
            </w:pPr>
            <w:r w:rsidRPr="00666BAC">
              <w:rPr>
                <w:szCs w:val="22"/>
              </w:rPr>
              <w:t>review ED polices regarding the management of at-risk patients; and</w:t>
            </w:r>
          </w:p>
          <w:p w:rsidR="00C365C0" w:rsidRPr="00666BAC" w:rsidRDefault="00E1701B" w:rsidP="00D45103">
            <w:pPr>
              <w:pStyle w:val="ListParagraph"/>
              <w:numPr>
                <w:ilvl w:val="0"/>
                <w:numId w:val="21"/>
              </w:numPr>
              <w:tabs>
                <w:tab w:val="left" w:pos="720"/>
                <w:tab w:val="left" w:pos="1134"/>
              </w:tabs>
              <w:spacing w:after="120"/>
              <w:ind w:left="714" w:hanging="357"/>
              <w:jc w:val="left"/>
              <w:rPr>
                <w:b/>
                <w:sz w:val="28"/>
                <w:szCs w:val="28"/>
              </w:rPr>
            </w:pPr>
            <w:r w:rsidRPr="00666BAC">
              <w:rPr>
                <w:szCs w:val="22"/>
              </w:rPr>
              <w:t xml:space="preserve">review the terms of reference and/or guidelines related to the extended capacity of the Liaison Psychiatry service, and provide quarterly statistics to HDC regarding the use of the service in other settings, such as on medical wards. </w:t>
            </w:r>
          </w:p>
        </w:tc>
      </w:tr>
    </w:tbl>
    <w:p w:rsidR="00C44F23" w:rsidRPr="00666BAC" w:rsidRDefault="00C44F23" w:rsidP="00094A1C">
      <w:bookmarkStart w:id="31" w:name="_Toc438024732"/>
    </w:p>
    <w:p w:rsidR="00E1701B" w:rsidRPr="00666BAC" w:rsidRDefault="00E1701B" w:rsidP="00094A1C"/>
    <w:p w:rsidR="00E1701B" w:rsidRPr="00666BAC" w:rsidRDefault="00E1701B" w:rsidP="00094A1C"/>
    <w:p w:rsidR="00E1701B" w:rsidRPr="00666BAC" w:rsidRDefault="00E1701B" w:rsidP="00094A1C"/>
    <w:p w:rsidR="00E1701B" w:rsidRPr="00666BAC" w:rsidRDefault="00E1701B" w:rsidP="00094A1C"/>
    <w:p w:rsidR="00E1701B" w:rsidRPr="00666BAC" w:rsidRDefault="00E1701B" w:rsidP="00094A1C"/>
    <w:p w:rsidR="00E1701B" w:rsidRPr="00666BAC" w:rsidRDefault="00E1701B" w:rsidP="00094A1C"/>
    <w:p w:rsidR="00E1701B" w:rsidRPr="00666BAC" w:rsidRDefault="00E1701B" w:rsidP="00094A1C"/>
    <w:p w:rsidR="00E1701B" w:rsidRPr="00666BAC" w:rsidRDefault="00E1701B" w:rsidP="00094A1C"/>
    <w:p w:rsidR="00E1701B" w:rsidRPr="00666BAC" w:rsidRDefault="00E1701B" w:rsidP="00094A1C"/>
    <w:p w:rsidR="00666BAC" w:rsidRPr="00666BAC" w:rsidRDefault="00666BAC" w:rsidP="00094A1C"/>
    <w:p w:rsidR="00666BAC" w:rsidRPr="00666BAC" w:rsidRDefault="00666BAC" w:rsidP="00094A1C"/>
    <w:p w:rsidR="00E1701B" w:rsidRPr="00666BAC" w:rsidRDefault="00E1701B" w:rsidP="00094A1C"/>
    <w:p w:rsidR="00E1701B" w:rsidRDefault="00E1701B" w:rsidP="00094A1C"/>
    <w:p w:rsidR="004F4A2F" w:rsidRPr="00666BAC" w:rsidRDefault="004F4A2F" w:rsidP="00094A1C"/>
    <w:p w:rsidR="00E1701B" w:rsidRPr="00666BAC" w:rsidRDefault="00E1701B" w:rsidP="00094A1C"/>
    <w:p w:rsidR="003E75BB" w:rsidRPr="00666BAC" w:rsidRDefault="003E75BB" w:rsidP="00FC4241">
      <w:pPr>
        <w:pStyle w:val="Heading3"/>
        <w:spacing w:after="120"/>
        <w:rPr>
          <w:b/>
          <w:i w:val="0"/>
          <w:sz w:val="28"/>
          <w:szCs w:val="28"/>
        </w:rPr>
      </w:pPr>
      <w:r w:rsidRPr="00666BAC">
        <w:rPr>
          <w:b/>
          <w:i w:val="0"/>
          <w:sz w:val="28"/>
          <w:szCs w:val="28"/>
        </w:rPr>
        <w:t>3.2</w:t>
      </w:r>
      <w:r w:rsidRPr="00666BAC">
        <w:rPr>
          <w:b/>
          <w:i w:val="0"/>
          <w:sz w:val="28"/>
          <w:szCs w:val="28"/>
        </w:rPr>
        <w:tab/>
        <w:t>Complaint issues by service type</w:t>
      </w:r>
      <w:bookmarkEnd w:id="31"/>
      <w:r w:rsidRPr="00666BAC">
        <w:rPr>
          <w:b/>
          <w:i w:val="0"/>
          <w:sz w:val="28"/>
          <w:szCs w:val="28"/>
        </w:rPr>
        <w:t xml:space="preserve"> </w:t>
      </w:r>
    </w:p>
    <w:p w:rsidR="003E75BB" w:rsidRPr="00666BAC" w:rsidRDefault="003E75BB" w:rsidP="003E75BB">
      <w:pPr>
        <w:spacing w:after="120"/>
      </w:pPr>
      <w:r w:rsidRPr="00666BAC">
        <w:t>Issues raised in complaints vary, at least to some degree, according to the DHB service type</w:t>
      </w:r>
      <w:r w:rsidR="007D54CA" w:rsidRPr="00666BAC">
        <w:t xml:space="preserve"> concerned.  As shown in Table 7</w:t>
      </w:r>
      <w:r w:rsidRPr="00666BAC">
        <w:t xml:space="preserve"> below, diagnostic issues were most prevalent in complaints about services with high diagnostic workl</w:t>
      </w:r>
      <w:r w:rsidR="00BA036B" w:rsidRPr="00666BAC">
        <w:t>oads, with 39</w:t>
      </w:r>
      <w:r w:rsidRPr="00666BAC">
        <w:t xml:space="preserve">% of </w:t>
      </w:r>
      <w:r w:rsidR="00F01B8D" w:rsidRPr="00666BAC">
        <w:t>emergency department</w:t>
      </w:r>
      <w:r w:rsidRPr="00666BAC">
        <w:t xml:space="preserve"> complaints</w:t>
      </w:r>
      <w:r w:rsidR="00BA036B" w:rsidRPr="00666BAC">
        <w:t xml:space="preserve"> and 18</w:t>
      </w:r>
      <w:r w:rsidR="00AB0229" w:rsidRPr="00666BAC">
        <w:t>% of general medicine complaints</w:t>
      </w:r>
      <w:r w:rsidRPr="00666BAC">
        <w:t xml:space="preserve"> being primarily about </w:t>
      </w:r>
      <w:r w:rsidR="00F01B8D" w:rsidRPr="00666BAC">
        <w:t xml:space="preserve">a </w:t>
      </w:r>
      <w:r w:rsidRPr="00666BAC">
        <w:t>miss</w:t>
      </w:r>
      <w:r w:rsidR="00860E78" w:rsidRPr="00666BAC">
        <w:t>ed/incorrect/delayed diagnosis. U</w:t>
      </w:r>
      <w:r w:rsidR="00BA036B" w:rsidRPr="00666BAC">
        <w:t>nexpected treatment outcome was prominent for surgical ser</w:t>
      </w:r>
      <w:r w:rsidR="00860E78" w:rsidRPr="00666BAC">
        <w:t>vices, as this issue most often</w:t>
      </w:r>
      <w:r w:rsidR="00BA036B" w:rsidRPr="00666BAC">
        <w:t xml:space="preserve"> relates to post-surgical </w:t>
      </w:r>
      <w:r w:rsidR="00860E78" w:rsidRPr="00666BAC">
        <w:t>complications</w:t>
      </w:r>
    </w:p>
    <w:p w:rsidR="00AB0229" w:rsidRPr="00666BAC" w:rsidRDefault="00860E78" w:rsidP="003E75BB">
      <w:pPr>
        <w:spacing w:after="120"/>
      </w:pPr>
      <w:r w:rsidRPr="00666BAC">
        <w:t>These issues are</w:t>
      </w:r>
      <w:r w:rsidR="00AB0229" w:rsidRPr="00666BAC">
        <w:t xml:space="preserve"> broadly similar to what was seen last year, with the exception of access/funding issues</w:t>
      </w:r>
      <w:r w:rsidRPr="00666BAC">
        <w:t xml:space="preserve"> which</w:t>
      </w:r>
      <w:r w:rsidR="00AB0229" w:rsidRPr="00666BAC">
        <w:t xml:space="preserve"> became more</w:t>
      </w:r>
      <w:r w:rsidRPr="00666BAC">
        <w:t xml:space="preserve"> prominent in 2015/16</w:t>
      </w:r>
      <w:r w:rsidR="00AB0229" w:rsidRPr="00666BAC">
        <w:t>, with 13% of surgical complaints being primarily about a waiting list/prioritisation</w:t>
      </w:r>
      <w:r w:rsidR="00F01B8D" w:rsidRPr="00666BAC">
        <w:t xml:space="preserve"> issue</w:t>
      </w:r>
      <w:r w:rsidRPr="00666BAC">
        <w:t xml:space="preserve"> and 7% of mental health and general medicine complaints being primarily about  a</w:t>
      </w:r>
      <w:r w:rsidR="00D77E06" w:rsidRPr="00666BAC">
        <w:t xml:space="preserve"> </w:t>
      </w:r>
      <w:r w:rsidRPr="00666BAC">
        <w:t>lack of access to services</w:t>
      </w:r>
    </w:p>
    <w:p w:rsidR="00860E78" w:rsidRPr="00666BAC" w:rsidRDefault="003E75BB" w:rsidP="003E75BB">
      <w:pPr>
        <w:spacing w:after="120"/>
      </w:pPr>
      <w:r w:rsidRPr="00666BAC">
        <w:t xml:space="preserve">Primary issues in complaints about mental health services were quite distinct, with issues relating to involuntary admission/treatment being </w:t>
      </w:r>
      <w:r w:rsidR="00AB0229" w:rsidRPr="00666BAC">
        <w:t>a</w:t>
      </w:r>
      <w:r w:rsidRPr="00666BAC">
        <w:t xml:space="preserve"> prevalent primary issue, and </w:t>
      </w:r>
      <w:r w:rsidR="00860E78" w:rsidRPr="00666BAC">
        <w:t>inadequate/inappropriate examination/assessment being the primary issue in 9</w:t>
      </w:r>
      <w:r w:rsidRPr="00666BAC">
        <w:t>% of complaints.</w:t>
      </w:r>
    </w:p>
    <w:p w:rsidR="003E75BB" w:rsidRPr="00666BAC" w:rsidRDefault="00AB0229" w:rsidP="003E75BB">
      <w:pPr>
        <w:spacing w:after="120"/>
        <w:rPr>
          <w:i/>
        </w:rPr>
      </w:pPr>
      <w:r w:rsidRPr="00666BAC">
        <w:rPr>
          <w:b/>
          <w:szCs w:val="22"/>
        </w:rPr>
        <w:t>Table 7</w:t>
      </w:r>
      <w:r w:rsidR="003E75BB" w:rsidRPr="00666BAC">
        <w:rPr>
          <w:b/>
          <w:szCs w:val="22"/>
        </w:rPr>
        <w:t xml:space="preserve">. </w:t>
      </w:r>
      <w:r w:rsidR="00094A1C" w:rsidRPr="00666BAC">
        <w:rPr>
          <w:szCs w:val="22"/>
        </w:rPr>
        <w:t>M</w:t>
      </w:r>
      <w:r w:rsidR="003E75BB" w:rsidRPr="00666BAC">
        <w:rPr>
          <w:szCs w:val="22"/>
        </w:rPr>
        <w:t xml:space="preserve">ost common </w:t>
      </w:r>
      <w:r w:rsidR="00094A1C" w:rsidRPr="00666BAC">
        <w:rPr>
          <w:szCs w:val="22"/>
        </w:rPr>
        <w:t xml:space="preserve">primary </w:t>
      </w:r>
      <w:r w:rsidR="003E75BB" w:rsidRPr="00666BAC">
        <w:rPr>
          <w:szCs w:val="22"/>
        </w:rPr>
        <w:t>issues in complaints by service type</w:t>
      </w:r>
    </w:p>
    <w:tbl>
      <w:tblPr>
        <w:tblStyle w:val="TableGrid"/>
        <w:tblW w:w="0" w:type="auto"/>
        <w:tblLook w:val="04A0" w:firstRow="1" w:lastRow="0" w:firstColumn="1" w:lastColumn="0" w:noHBand="0" w:noVBand="1"/>
      </w:tblPr>
      <w:tblGrid>
        <w:gridCol w:w="9298"/>
      </w:tblGrid>
      <w:tr w:rsidR="003E75BB" w:rsidRPr="00666BAC" w:rsidTr="003E75BB">
        <w:trPr>
          <w:hidden/>
        </w:trPr>
        <w:tc>
          <w:tcPr>
            <w:tcW w:w="9298" w:type="dxa"/>
          </w:tcPr>
          <w:p w:rsidR="003E75BB" w:rsidRPr="00666BAC" w:rsidRDefault="003E75BB" w:rsidP="003E75BB">
            <w:pPr>
              <w:spacing w:before="120" w:after="120"/>
              <w:rPr>
                <w:b/>
                <w:vanish/>
                <w:sz w:val="28"/>
                <w:szCs w:val="28"/>
              </w:rPr>
            </w:pPr>
            <w:r w:rsidRPr="00666BAC">
              <w:rPr>
                <w:b/>
                <w:vanish/>
                <w:sz w:val="28"/>
                <w:szCs w:val="28"/>
              </w:rPr>
              <w:t>What does this tell us?</w:t>
            </w:r>
          </w:p>
          <w:p w:rsidR="003E75BB" w:rsidRPr="00666BAC" w:rsidRDefault="003E75BB" w:rsidP="003E75BB">
            <w:pPr>
              <w:spacing w:before="120" w:after="120"/>
              <w:rPr>
                <w:vanish/>
                <w:szCs w:val="22"/>
              </w:rPr>
            </w:pPr>
          </w:p>
        </w:tc>
      </w:tr>
    </w:tbl>
    <w:tbl>
      <w:tblPr>
        <w:tblpPr w:leftFromText="180" w:rightFromText="180" w:vertAnchor="text" w:horzAnchor="margin" w:tblpY="99"/>
        <w:tblW w:w="5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71"/>
        <w:gridCol w:w="1559"/>
        <w:gridCol w:w="568"/>
        <w:gridCol w:w="1418"/>
        <w:gridCol w:w="566"/>
        <w:gridCol w:w="1561"/>
        <w:gridCol w:w="568"/>
        <w:gridCol w:w="1418"/>
        <w:gridCol w:w="568"/>
      </w:tblGrid>
      <w:tr w:rsidR="003E75BB" w:rsidRPr="00666BAC" w:rsidTr="003E75BB">
        <w:tc>
          <w:tcPr>
            <w:tcW w:w="957" w:type="pct"/>
            <w:gridSpan w:val="2"/>
            <w:shd w:val="clear" w:color="auto" w:fill="C00000"/>
            <w:vAlign w:val="center"/>
          </w:tcPr>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Surgery</w:t>
            </w:r>
          </w:p>
          <w:p w:rsidR="003E75BB" w:rsidRPr="00666BAC" w:rsidRDefault="003E75BB" w:rsidP="00AB0229">
            <w:pPr>
              <w:keepNext/>
              <w:keepLines/>
              <w:tabs>
                <w:tab w:val="left" w:pos="1440"/>
                <w:tab w:val="decimal" w:pos="4320"/>
              </w:tabs>
              <w:ind w:left="139" w:right="10" w:firstLine="13"/>
              <w:jc w:val="center"/>
              <w:outlineLvl w:val="0"/>
              <w:rPr>
                <w:b/>
                <w:sz w:val="20"/>
                <w:szCs w:val="20"/>
              </w:rPr>
            </w:pPr>
            <w:r w:rsidRPr="00666BAC">
              <w:rPr>
                <w:b/>
                <w:sz w:val="20"/>
                <w:szCs w:val="20"/>
              </w:rPr>
              <w:t>n=</w:t>
            </w:r>
            <w:r w:rsidR="00AB0229" w:rsidRPr="00666BAC">
              <w:rPr>
                <w:b/>
                <w:sz w:val="20"/>
                <w:szCs w:val="20"/>
              </w:rPr>
              <w:t>2</w:t>
            </w:r>
            <w:r w:rsidR="00094A1C" w:rsidRPr="00666BAC">
              <w:rPr>
                <w:b/>
                <w:sz w:val="20"/>
                <w:szCs w:val="20"/>
              </w:rPr>
              <w:t>62</w:t>
            </w:r>
          </w:p>
        </w:tc>
        <w:tc>
          <w:tcPr>
            <w:tcW w:w="1045" w:type="pct"/>
            <w:gridSpan w:val="2"/>
            <w:shd w:val="clear" w:color="auto" w:fill="C00000"/>
            <w:vAlign w:val="center"/>
          </w:tcPr>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Mental health</w:t>
            </w:r>
          </w:p>
          <w:p w:rsidR="003E75BB" w:rsidRPr="00666BAC" w:rsidRDefault="00094A1C" w:rsidP="003E75BB">
            <w:pPr>
              <w:keepNext/>
              <w:keepLines/>
              <w:tabs>
                <w:tab w:val="left" w:pos="1440"/>
                <w:tab w:val="decimal" w:pos="4320"/>
              </w:tabs>
              <w:ind w:left="139" w:right="10" w:firstLine="13"/>
              <w:jc w:val="center"/>
              <w:outlineLvl w:val="0"/>
              <w:rPr>
                <w:b/>
                <w:sz w:val="20"/>
                <w:szCs w:val="20"/>
              </w:rPr>
            </w:pPr>
            <w:r w:rsidRPr="00666BAC">
              <w:rPr>
                <w:b/>
                <w:sz w:val="20"/>
                <w:szCs w:val="20"/>
              </w:rPr>
              <w:t>n=180</w:t>
            </w:r>
          </w:p>
        </w:tc>
        <w:tc>
          <w:tcPr>
            <w:tcW w:w="975" w:type="pct"/>
            <w:gridSpan w:val="2"/>
            <w:shd w:val="clear" w:color="auto" w:fill="C00000"/>
            <w:vAlign w:val="center"/>
          </w:tcPr>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General medicine</w:t>
            </w:r>
          </w:p>
          <w:p w:rsidR="003E75BB" w:rsidRPr="00666BAC" w:rsidRDefault="007D54CA" w:rsidP="003E75BB">
            <w:pPr>
              <w:keepNext/>
              <w:keepLines/>
              <w:tabs>
                <w:tab w:val="left" w:pos="1440"/>
                <w:tab w:val="decimal" w:pos="4320"/>
              </w:tabs>
              <w:ind w:left="139" w:right="10" w:firstLine="13"/>
              <w:jc w:val="center"/>
              <w:outlineLvl w:val="0"/>
              <w:rPr>
                <w:b/>
                <w:sz w:val="20"/>
                <w:szCs w:val="20"/>
              </w:rPr>
            </w:pPr>
            <w:r w:rsidRPr="00666BAC">
              <w:rPr>
                <w:b/>
                <w:sz w:val="20"/>
                <w:szCs w:val="20"/>
              </w:rPr>
              <w:t>n=13</w:t>
            </w:r>
            <w:r w:rsidR="00094A1C" w:rsidRPr="00666BAC">
              <w:rPr>
                <w:b/>
                <w:sz w:val="20"/>
                <w:szCs w:val="20"/>
              </w:rPr>
              <w:t>8</w:t>
            </w:r>
          </w:p>
        </w:tc>
        <w:tc>
          <w:tcPr>
            <w:tcW w:w="1046" w:type="pct"/>
            <w:gridSpan w:val="2"/>
            <w:shd w:val="clear" w:color="auto" w:fill="C00000"/>
            <w:vAlign w:val="center"/>
          </w:tcPr>
          <w:p w:rsidR="003E75BB" w:rsidRPr="00666BAC" w:rsidRDefault="0017767C" w:rsidP="003E75BB">
            <w:pPr>
              <w:keepNext/>
              <w:keepLines/>
              <w:tabs>
                <w:tab w:val="left" w:pos="1440"/>
                <w:tab w:val="decimal" w:pos="4320"/>
              </w:tabs>
              <w:ind w:left="139" w:right="10" w:firstLine="13"/>
              <w:jc w:val="center"/>
              <w:outlineLvl w:val="0"/>
              <w:rPr>
                <w:b/>
                <w:sz w:val="20"/>
                <w:szCs w:val="20"/>
              </w:rPr>
            </w:pPr>
            <w:r w:rsidRPr="00666BAC">
              <w:rPr>
                <w:b/>
                <w:sz w:val="20"/>
                <w:szCs w:val="20"/>
              </w:rPr>
              <w:t>Emergency department</w:t>
            </w:r>
          </w:p>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n=</w:t>
            </w:r>
            <w:r w:rsidR="007D54CA" w:rsidRPr="00666BAC">
              <w:rPr>
                <w:b/>
                <w:sz w:val="20"/>
                <w:szCs w:val="20"/>
              </w:rPr>
              <w:t>10</w:t>
            </w:r>
            <w:r w:rsidR="00094A1C" w:rsidRPr="00666BAC">
              <w:rPr>
                <w:b/>
                <w:sz w:val="20"/>
                <w:szCs w:val="20"/>
              </w:rPr>
              <w:t>3</w:t>
            </w:r>
          </w:p>
        </w:tc>
        <w:tc>
          <w:tcPr>
            <w:tcW w:w="976" w:type="pct"/>
            <w:gridSpan w:val="2"/>
            <w:shd w:val="clear" w:color="auto" w:fill="C00000"/>
            <w:vAlign w:val="center"/>
          </w:tcPr>
          <w:p w:rsidR="003E75BB" w:rsidRPr="00666BAC" w:rsidRDefault="003E75BB" w:rsidP="003E75BB">
            <w:pPr>
              <w:keepNext/>
              <w:keepLines/>
              <w:jc w:val="center"/>
              <w:rPr>
                <w:b/>
                <w:sz w:val="20"/>
                <w:szCs w:val="20"/>
              </w:rPr>
            </w:pPr>
            <w:r w:rsidRPr="00666BAC">
              <w:rPr>
                <w:b/>
                <w:sz w:val="20"/>
                <w:szCs w:val="20"/>
              </w:rPr>
              <w:t>Maternity</w:t>
            </w:r>
          </w:p>
          <w:p w:rsidR="003E75BB" w:rsidRPr="00666BAC" w:rsidRDefault="007D54CA" w:rsidP="003E75BB">
            <w:pPr>
              <w:keepNext/>
              <w:keepLines/>
              <w:jc w:val="center"/>
              <w:rPr>
                <w:b/>
                <w:sz w:val="20"/>
                <w:szCs w:val="20"/>
              </w:rPr>
            </w:pPr>
            <w:r w:rsidRPr="00666BAC">
              <w:rPr>
                <w:b/>
                <w:sz w:val="20"/>
                <w:szCs w:val="20"/>
              </w:rPr>
              <w:t>n=5</w:t>
            </w:r>
            <w:r w:rsidR="00094A1C" w:rsidRPr="00666BAC">
              <w:rPr>
                <w:b/>
                <w:sz w:val="20"/>
                <w:szCs w:val="20"/>
              </w:rPr>
              <w:t>3</w:t>
            </w:r>
          </w:p>
        </w:tc>
      </w:tr>
      <w:tr w:rsidR="003E75BB" w:rsidRPr="00666BAC" w:rsidTr="003E75BB">
        <w:tc>
          <w:tcPr>
            <w:tcW w:w="677" w:type="pct"/>
            <w:vAlign w:val="center"/>
          </w:tcPr>
          <w:p w:rsidR="003E75BB" w:rsidRPr="00666BAC" w:rsidRDefault="00BA036B" w:rsidP="00AB0229">
            <w:pPr>
              <w:keepNext/>
              <w:keepLines/>
              <w:tabs>
                <w:tab w:val="left" w:pos="1440"/>
                <w:tab w:val="decimal" w:pos="4320"/>
              </w:tabs>
              <w:jc w:val="left"/>
              <w:outlineLvl w:val="0"/>
              <w:rPr>
                <w:sz w:val="20"/>
                <w:szCs w:val="20"/>
              </w:rPr>
            </w:pPr>
            <w:r w:rsidRPr="00666BAC">
              <w:rPr>
                <w:sz w:val="20"/>
                <w:szCs w:val="20"/>
              </w:rPr>
              <w:t>Unexpected treatment outcome</w:t>
            </w:r>
          </w:p>
        </w:tc>
        <w:tc>
          <w:tcPr>
            <w:tcW w:w="281" w:type="pct"/>
            <w:vAlign w:val="center"/>
          </w:tcPr>
          <w:p w:rsidR="003E75BB" w:rsidRPr="00666BAC" w:rsidRDefault="00BA036B" w:rsidP="003E75BB">
            <w:pPr>
              <w:keepNext/>
              <w:keepLines/>
              <w:tabs>
                <w:tab w:val="left" w:pos="1440"/>
                <w:tab w:val="decimal" w:pos="4320"/>
              </w:tabs>
              <w:jc w:val="center"/>
              <w:outlineLvl w:val="0"/>
              <w:rPr>
                <w:sz w:val="20"/>
                <w:szCs w:val="20"/>
              </w:rPr>
            </w:pPr>
            <w:r w:rsidRPr="00666BAC">
              <w:rPr>
                <w:sz w:val="20"/>
                <w:szCs w:val="20"/>
              </w:rPr>
              <w:t>26</w:t>
            </w:r>
            <w:r w:rsidR="003E75BB" w:rsidRPr="00666BAC">
              <w:rPr>
                <w:sz w:val="20"/>
                <w:szCs w:val="20"/>
              </w:rPr>
              <w:t>%</w:t>
            </w:r>
          </w:p>
        </w:tc>
        <w:tc>
          <w:tcPr>
            <w:tcW w:w="766" w:type="pct"/>
            <w:vAlign w:val="center"/>
          </w:tcPr>
          <w:p w:rsidR="00BA036B" w:rsidRPr="00666BAC" w:rsidRDefault="00BA036B" w:rsidP="00BA036B">
            <w:pPr>
              <w:keepNext/>
              <w:keepLines/>
              <w:tabs>
                <w:tab w:val="left" w:pos="1440"/>
                <w:tab w:val="decimal" w:pos="4320"/>
              </w:tabs>
              <w:jc w:val="left"/>
              <w:outlineLvl w:val="0"/>
              <w:rPr>
                <w:sz w:val="20"/>
                <w:szCs w:val="20"/>
              </w:rPr>
            </w:pPr>
            <w:r w:rsidRPr="00666BAC">
              <w:rPr>
                <w:sz w:val="20"/>
                <w:szCs w:val="20"/>
              </w:rPr>
              <w:t>Issues with involuntary admission/</w:t>
            </w:r>
          </w:p>
          <w:p w:rsidR="003E75BB" w:rsidRPr="00666BAC" w:rsidRDefault="00BA036B" w:rsidP="00BA036B">
            <w:pPr>
              <w:keepNext/>
              <w:keepLines/>
              <w:tabs>
                <w:tab w:val="left" w:pos="1440"/>
                <w:tab w:val="decimal" w:pos="4320"/>
              </w:tabs>
              <w:jc w:val="left"/>
              <w:outlineLvl w:val="0"/>
              <w:rPr>
                <w:sz w:val="20"/>
                <w:szCs w:val="20"/>
              </w:rPr>
            </w:pPr>
            <w:r w:rsidRPr="00666BAC">
              <w:rPr>
                <w:sz w:val="20"/>
                <w:szCs w:val="20"/>
              </w:rPr>
              <w:t>treatment</w:t>
            </w:r>
          </w:p>
        </w:tc>
        <w:tc>
          <w:tcPr>
            <w:tcW w:w="279" w:type="pct"/>
            <w:vAlign w:val="center"/>
          </w:tcPr>
          <w:p w:rsidR="003E75BB" w:rsidRPr="00666BAC" w:rsidRDefault="00BA036B" w:rsidP="003E75BB">
            <w:pPr>
              <w:keepNext/>
              <w:keepLines/>
              <w:tabs>
                <w:tab w:val="left" w:pos="1440"/>
                <w:tab w:val="decimal" w:pos="4320"/>
              </w:tabs>
              <w:jc w:val="center"/>
              <w:outlineLvl w:val="0"/>
              <w:rPr>
                <w:sz w:val="20"/>
                <w:szCs w:val="20"/>
              </w:rPr>
            </w:pPr>
            <w:r w:rsidRPr="00666BAC">
              <w:rPr>
                <w:sz w:val="20"/>
                <w:szCs w:val="20"/>
              </w:rPr>
              <w:t>18</w:t>
            </w:r>
            <w:r w:rsidR="003E75BB" w:rsidRPr="00666BAC">
              <w:rPr>
                <w:sz w:val="20"/>
                <w:szCs w:val="20"/>
              </w:rPr>
              <w:t>%</w:t>
            </w:r>
          </w:p>
        </w:tc>
        <w:tc>
          <w:tcPr>
            <w:tcW w:w="697" w:type="pct"/>
            <w:vAlign w:val="center"/>
          </w:tcPr>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Missed/</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incorrect/</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delayed diagnosis</w:t>
            </w:r>
          </w:p>
        </w:tc>
        <w:tc>
          <w:tcPr>
            <w:tcW w:w="278" w:type="pct"/>
            <w:vAlign w:val="center"/>
          </w:tcPr>
          <w:p w:rsidR="003E75BB" w:rsidRPr="00666BAC" w:rsidRDefault="00A16253" w:rsidP="003E75BB">
            <w:pPr>
              <w:keepNext/>
              <w:keepLines/>
              <w:tabs>
                <w:tab w:val="left" w:pos="1440"/>
                <w:tab w:val="decimal" w:pos="4320"/>
              </w:tabs>
              <w:jc w:val="center"/>
              <w:outlineLvl w:val="0"/>
              <w:rPr>
                <w:sz w:val="20"/>
                <w:szCs w:val="20"/>
              </w:rPr>
            </w:pPr>
            <w:r w:rsidRPr="00666BAC">
              <w:rPr>
                <w:sz w:val="20"/>
                <w:szCs w:val="20"/>
              </w:rPr>
              <w:t>18</w:t>
            </w:r>
            <w:r w:rsidR="003E75BB" w:rsidRPr="00666BAC">
              <w:rPr>
                <w:sz w:val="20"/>
                <w:szCs w:val="20"/>
              </w:rPr>
              <w:t>%</w:t>
            </w:r>
          </w:p>
        </w:tc>
        <w:tc>
          <w:tcPr>
            <w:tcW w:w="767" w:type="pct"/>
            <w:vAlign w:val="center"/>
          </w:tcPr>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Missed/</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incorrect/</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delayed diagnosis</w:t>
            </w:r>
          </w:p>
        </w:tc>
        <w:tc>
          <w:tcPr>
            <w:tcW w:w="279" w:type="pct"/>
            <w:vAlign w:val="center"/>
          </w:tcPr>
          <w:p w:rsidR="003E75BB" w:rsidRPr="00666BAC" w:rsidRDefault="00A16253" w:rsidP="003E75BB">
            <w:pPr>
              <w:keepNext/>
              <w:keepLines/>
              <w:tabs>
                <w:tab w:val="left" w:pos="1440"/>
                <w:tab w:val="decimal" w:pos="4320"/>
              </w:tabs>
              <w:jc w:val="center"/>
              <w:outlineLvl w:val="0"/>
              <w:rPr>
                <w:sz w:val="20"/>
                <w:szCs w:val="20"/>
              </w:rPr>
            </w:pPr>
            <w:r w:rsidRPr="00666BAC">
              <w:rPr>
                <w:sz w:val="20"/>
                <w:szCs w:val="20"/>
              </w:rPr>
              <w:t>39</w:t>
            </w:r>
            <w:r w:rsidR="003E75BB" w:rsidRPr="00666BAC">
              <w:rPr>
                <w:sz w:val="20"/>
                <w:szCs w:val="20"/>
              </w:rPr>
              <w:t>%</w:t>
            </w:r>
          </w:p>
        </w:tc>
        <w:tc>
          <w:tcPr>
            <w:tcW w:w="697" w:type="pct"/>
            <w:shd w:val="clear" w:color="auto" w:fill="auto"/>
            <w:vAlign w:val="center"/>
          </w:tcPr>
          <w:p w:rsidR="00BA036B" w:rsidRPr="00666BAC" w:rsidRDefault="00BA036B" w:rsidP="00BA036B">
            <w:pPr>
              <w:keepNext/>
              <w:keepLines/>
              <w:jc w:val="left"/>
              <w:rPr>
                <w:sz w:val="20"/>
                <w:szCs w:val="20"/>
              </w:rPr>
            </w:pPr>
            <w:r w:rsidRPr="00666BAC">
              <w:rPr>
                <w:sz w:val="20"/>
                <w:szCs w:val="20"/>
              </w:rPr>
              <w:t>Missed/</w:t>
            </w:r>
          </w:p>
          <w:p w:rsidR="00BA036B" w:rsidRPr="00666BAC" w:rsidRDefault="00BA036B" w:rsidP="00BA036B">
            <w:pPr>
              <w:keepNext/>
              <w:keepLines/>
              <w:jc w:val="left"/>
              <w:rPr>
                <w:sz w:val="20"/>
                <w:szCs w:val="20"/>
              </w:rPr>
            </w:pPr>
            <w:r w:rsidRPr="00666BAC">
              <w:rPr>
                <w:sz w:val="20"/>
                <w:szCs w:val="20"/>
              </w:rPr>
              <w:t>incorrect/</w:t>
            </w:r>
          </w:p>
          <w:p w:rsidR="006C3F34" w:rsidRPr="00666BAC" w:rsidRDefault="00BA036B" w:rsidP="00BA036B">
            <w:pPr>
              <w:keepNext/>
              <w:keepLines/>
              <w:jc w:val="left"/>
              <w:rPr>
                <w:sz w:val="20"/>
                <w:szCs w:val="20"/>
              </w:rPr>
            </w:pPr>
            <w:r w:rsidRPr="00666BAC">
              <w:rPr>
                <w:sz w:val="20"/>
                <w:szCs w:val="20"/>
              </w:rPr>
              <w:t>delayed diagnosis</w:t>
            </w:r>
          </w:p>
        </w:tc>
        <w:tc>
          <w:tcPr>
            <w:tcW w:w="279" w:type="pct"/>
            <w:shd w:val="clear" w:color="auto" w:fill="auto"/>
            <w:vAlign w:val="center"/>
          </w:tcPr>
          <w:p w:rsidR="003E75BB" w:rsidRPr="00666BAC" w:rsidRDefault="00BA036B" w:rsidP="00BA036B">
            <w:pPr>
              <w:keepNext/>
              <w:keepLines/>
              <w:rPr>
                <w:sz w:val="20"/>
                <w:szCs w:val="20"/>
              </w:rPr>
            </w:pPr>
            <w:r w:rsidRPr="00666BAC">
              <w:rPr>
                <w:sz w:val="20"/>
                <w:szCs w:val="20"/>
              </w:rPr>
              <w:t>20</w:t>
            </w:r>
            <w:r w:rsidR="003E75BB" w:rsidRPr="00666BAC">
              <w:rPr>
                <w:sz w:val="20"/>
                <w:szCs w:val="20"/>
              </w:rPr>
              <w:t>%</w:t>
            </w:r>
          </w:p>
        </w:tc>
      </w:tr>
      <w:tr w:rsidR="003E75BB" w:rsidRPr="00666BAC" w:rsidTr="003E75BB">
        <w:tc>
          <w:tcPr>
            <w:tcW w:w="677" w:type="pct"/>
            <w:vAlign w:val="center"/>
          </w:tcPr>
          <w:p w:rsidR="00BA036B" w:rsidRPr="00666BAC" w:rsidRDefault="00BA036B" w:rsidP="00BA036B">
            <w:pPr>
              <w:keepNext/>
              <w:keepLines/>
              <w:tabs>
                <w:tab w:val="left" w:pos="1440"/>
                <w:tab w:val="decimal" w:pos="4320"/>
              </w:tabs>
              <w:jc w:val="left"/>
              <w:outlineLvl w:val="0"/>
              <w:rPr>
                <w:sz w:val="20"/>
                <w:szCs w:val="20"/>
              </w:rPr>
            </w:pPr>
            <w:r w:rsidRPr="00666BAC">
              <w:rPr>
                <w:sz w:val="20"/>
                <w:szCs w:val="20"/>
              </w:rPr>
              <w:t>Missed/</w:t>
            </w:r>
          </w:p>
          <w:p w:rsidR="00BA036B" w:rsidRPr="00666BAC" w:rsidRDefault="00BA036B" w:rsidP="00BA036B">
            <w:pPr>
              <w:keepNext/>
              <w:keepLines/>
              <w:tabs>
                <w:tab w:val="left" w:pos="1440"/>
                <w:tab w:val="decimal" w:pos="4320"/>
              </w:tabs>
              <w:jc w:val="left"/>
              <w:outlineLvl w:val="0"/>
              <w:rPr>
                <w:sz w:val="20"/>
                <w:szCs w:val="20"/>
              </w:rPr>
            </w:pPr>
            <w:r w:rsidRPr="00666BAC">
              <w:rPr>
                <w:sz w:val="20"/>
                <w:szCs w:val="20"/>
              </w:rPr>
              <w:t>incorrect/</w:t>
            </w:r>
          </w:p>
          <w:p w:rsidR="00AB0229" w:rsidRPr="00666BAC" w:rsidRDefault="00BA036B" w:rsidP="00BA036B">
            <w:pPr>
              <w:keepNext/>
              <w:keepLines/>
              <w:tabs>
                <w:tab w:val="left" w:pos="1440"/>
                <w:tab w:val="decimal" w:pos="4320"/>
              </w:tabs>
              <w:jc w:val="left"/>
              <w:outlineLvl w:val="0"/>
              <w:rPr>
                <w:sz w:val="20"/>
                <w:szCs w:val="20"/>
              </w:rPr>
            </w:pPr>
            <w:r w:rsidRPr="00666BAC">
              <w:rPr>
                <w:sz w:val="20"/>
                <w:szCs w:val="20"/>
              </w:rPr>
              <w:t>delayed diagnosis</w:t>
            </w:r>
          </w:p>
        </w:tc>
        <w:tc>
          <w:tcPr>
            <w:tcW w:w="281" w:type="pct"/>
            <w:vAlign w:val="center"/>
          </w:tcPr>
          <w:p w:rsidR="003E75BB" w:rsidRPr="00666BAC" w:rsidRDefault="00AB0229" w:rsidP="003E75BB">
            <w:pPr>
              <w:keepNext/>
              <w:keepLines/>
              <w:tabs>
                <w:tab w:val="left" w:pos="1440"/>
                <w:tab w:val="decimal" w:pos="4320"/>
              </w:tabs>
              <w:jc w:val="center"/>
              <w:outlineLvl w:val="0"/>
              <w:rPr>
                <w:sz w:val="20"/>
                <w:szCs w:val="20"/>
              </w:rPr>
            </w:pPr>
            <w:r w:rsidRPr="00666BAC">
              <w:rPr>
                <w:sz w:val="20"/>
                <w:szCs w:val="20"/>
              </w:rPr>
              <w:t>13</w:t>
            </w:r>
            <w:r w:rsidR="003E75BB" w:rsidRPr="00666BAC">
              <w:rPr>
                <w:sz w:val="20"/>
                <w:szCs w:val="20"/>
              </w:rPr>
              <w:t>%</w:t>
            </w:r>
          </w:p>
        </w:tc>
        <w:tc>
          <w:tcPr>
            <w:tcW w:w="766" w:type="pct"/>
            <w:vAlign w:val="center"/>
          </w:tcPr>
          <w:p w:rsidR="003E75BB" w:rsidRPr="00666BAC" w:rsidRDefault="00BA036B" w:rsidP="006C3F34">
            <w:pPr>
              <w:keepNext/>
              <w:keepLines/>
              <w:tabs>
                <w:tab w:val="left" w:pos="1440"/>
                <w:tab w:val="decimal" w:pos="4320"/>
              </w:tabs>
              <w:jc w:val="left"/>
              <w:outlineLvl w:val="0"/>
              <w:rPr>
                <w:sz w:val="20"/>
                <w:szCs w:val="20"/>
              </w:rPr>
            </w:pPr>
            <w:r w:rsidRPr="00666BAC">
              <w:rPr>
                <w:sz w:val="20"/>
                <w:szCs w:val="20"/>
              </w:rPr>
              <w:t>Inadequate/</w:t>
            </w:r>
          </w:p>
          <w:p w:rsidR="00BA036B" w:rsidRPr="00666BAC" w:rsidRDefault="00BA036B" w:rsidP="006C3F34">
            <w:pPr>
              <w:keepNext/>
              <w:keepLines/>
              <w:tabs>
                <w:tab w:val="left" w:pos="1440"/>
                <w:tab w:val="decimal" w:pos="4320"/>
              </w:tabs>
              <w:jc w:val="left"/>
              <w:outlineLvl w:val="0"/>
              <w:rPr>
                <w:sz w:val="20"/>
                <w:szCs w:val="20"/>
              </w:rPr>
            </w:pPr>
            <w:r w:rsidRPr="00666BAC">
              <w:rPr>
                <w:sz w:val="20"/>
                <w:szCs w:val="20"/>
              </w:rPr>
              <w:t xml:space="preserve">inappropriate </w:t>
            </w:r>
          </w:p>
          <w:p w:rsidR="00BA036B" w:rsidRPr="00666BAC" w:rsidRDefault="00BA036B" w:rsidP="006C3F34">
            <w:pPr>
              <w:keepNext/>
              <w:keepLines/>
              <w:tabs>
                <w:tab w:val="left" w:pos="1440"/>
                <w:tab w:val="decimal" w:pos="4320"/>
              </w:tabs>
              <w:jc w:val="left"/>
              <w:outlineLvl w:val="0"/>
              <w:rPr>
                <w:sz w:val="20"/>
                <w:szCs w:val="20"/>
              </w:rPr>
            </w:pPr>
            <w:r w:rsidRPr="00666BAC">
              <w:rPr>
                <w:sz w:val="20"/>
                <w:szCs w:val="20"/>
              </w:rPr>
              <w:t>examination/</w:t>
            </w:r>
          </w:p>
          <w:p w:rsidR="00BA036B" w:rsidRPr="00666BAC" w:rsidRDefault="00BA036B" w:rsidP="006C3F34">
            <w:pPr>
              <w:keepNext/>
              <w:keepLines/>
              <w:tabs>
                <w:tab w:val="left" w:pos="1440"/>
                <w:tab w:val="decimal" w:pos="4320"/>
              </w:tabs>
              <w:jc w:val="left"/>
              <w:outlineLvl w:val="0"/>
              <w:rPr>
                <w:sz w:val="20"/>
                <w:szCs w:val="20"/>
              </w:rPr>
            </w:pPr>
            <w:r w:rsidRPr="00666BAC">
              <w:rPr>
                <w:sz w:val="20"/>
                <w:szCs w:val="20"/>
              </w:rPr>
              <w:t>assessment</w:t>
            </w:r>
          </w:p>
        </w:tc>
        <w:tc>
          <w:tcPr>
            <w:tcW w:w="279" w:type="pct"/>
            <w:vAlign w:val="center"/>
          </w:tcPr>
          <w:p w:rsidR="003E75BB" w:rsidRPr="00666BAC" w:rsidRDefault="00BA036B" w:rsidP="003E75BB">
            <w:pPr>
              <w:keepNext/>
              <w:keepLines/>
              <w:tabs>
                <w:tab w:val="left" w:pos="1440"/>
                <w:tab w:val="decimal" w:pos="4320"/>
              </w:tabs>
              <w:jc w:val="center"/>
              <w:outlineLvl w:val="0"/>
              <w:rPr>
                <w:sz w:val="20"/>
                <w:szCs w:val="20"/>
              </w:rPr>
            </w:pPr>
            <w:r w:rsidRPr="00666BAC">
              <w:rPr>
                <w:sz w:val="20"/>
                <w:szCs w:val="20"/>
              </w:rPr>
              <w:t>9</w:t>
            </w:r>
            <w:r w:rsidR="003E75BB" w:rsidRPr="00666BAC">
              <w:rPr>
                <w:sz w:val="20"/>
                <w:szCs w:val="20"/>
              </w:rPr>
              <w:t>%</w:t>
            </w:r>
          </w:p>
        </w:tc>
        <w:tc>
          <w:tcPr>
            <w:tcW w:w="697" w:type="pct"/>
            <w:vAlign w:val="center"/>
          </w:tcPr>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Inadequate/</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inappropriate treatment</w:t>
            </w:r>
          </w:p>
        </w:tc>
        <w:tc>
          <w:tcPr>
            <w:tcW w:w="278" w:type="pct"/>
            <w:vAlign w:val="center"/>
          </w:tcPr>
          <w:p w:rsidR="003E75BB" w:rsidRPr="00666BAC" w:rsidRDefault="00A16253" w:rsidP="003E75BB">
            <w:pPr>
              <w:keepNext/>
              <w:keepLines/>
              <w:tabs>
                <w:tab w:val="left" w:pos="1440"/>
                <w:tab w:val="decimal" w:pos="4320"/>
              </w:tabs>
              <w:jc w:val="center"/>
              <w:outlineLvl w:val="0"/>
              <w:rPr>
                <w:sz w:val="20"/>
                <w:szCs w:val="20"/>
              </w:rPr>
            </w:pPr>
            <w:r w:rsidRPr="00666BAC">
              <w:rPr>
                <w:sz w:val="20"/>
                <w:szCs w:val="20"/>
              </w:rPr>
              <w:t>11</w:t>
            </w:r>
            <w:r w:rsidR="003E75BB" w:rsidRPr="00666BAC">
              <w:rPr>
                <w:sz w:val="20"/>
                <w:szCs w:val="20"/>
              </w:rPr>
              <w:t>%</w:t>
            </w:r>
          </w:p>
        </w:tc>
        <w:tc>
          <w:tcPr>
            <w:tcW w:w="767" w:type="pct"/>
            <w:vAlign w:val="center"/>
          </w:tcPr>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Inadequate/</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inappropriate treatment</w:t>
            </w:r>
          </w:p>
        </w:tc>
        <w:tc>
          <w:tcPr>
            <w:tcW w:w="279" w:type="pct"/>
            <w:vAlign w:val="center"/>
          </w:tcPr>
          <w:p w:rsidR="003E75BB" w:rsidRPr="00666BAC" w:rsidRDefault="00A16253" w:rsidP="003E75BB">
            <w:pPr>
              <w:keepNext/>
              <w:keepLines/>
              <w:tabs>
                <w:tab w:val="left" w:pos="1440"/>
                <w:tab w:val="decimal" w:pos="4320"/>
              </w:tabs>
              <w:jc w:val="center"/>
              <w:outlineLvl w:val="0"/>
              <w:rPr>
                <w:sz w:val="20"/>
                <w:szCs w:val="20"/>
              </w:rPr>
            </w:pPr>
            <w:r w:rsidRPr="00666BAC">
              <w:rPr>
                <w:sz w:val="20"/>
                <w:szCs w:val="20"/>
              </w:rPr>
              <w:t>8</w:t>
            </w:r>
            <w:r w:rsidR="003E75BB" w:rsidRPr="00666BAC">
              <w:rPr>
                <w:sz w:val="20"/>
                <w:szCs w:val="20"/>
              </w:rPr>
              <w:t>%</w:t>
            </w:r>
          </w:p>
        </w:tc>
        <w:tc>
          <w:tcPr>
            <w:tcW w:w="697" w:type="pct"/>
            <w:shd w:val="clear" w:color="auto" w:fill="auto"/>
            <w:vAlign w:val="center"/>
          </w:tcPr>
          <w:p w:rsidR="00BA036B" w:rsidRPr="00666BAC" w:rsidRDefault="00BA036B" w:rsidP="00BA036B">
            <w:pPr>
              <w:keepNext/>
              <w:keepLines/>
              <w:tabs>
                <w:tab w:val="left" w:pos="1440"/>
                <w:tab w:val="decimal" w:pos="4320"/>
              </w:tabs>
              <w:jc w:val="left"/>
              <w:outlineLvl w:val="0"/>
              <w:rPr>
                <w:sz w:val="20"/>
                <w:szCs w:val="20"/>
              </w:rPr>
            </w:pPr>
            <w:r w:rsidRPr="00666BAC">
              <w:rPr>
                <w:sz w:val="20"/>
                <w:szCs w:val="20"/>
              </w:rPr>
              <w:t>Inadequate/</w:t>
            </w:r>
          </w:p>
          <w:p w:rsidR="006C3F34" w:rsidRPr="00666BAC" w:rsidRDefault="00BA036B" w:rsidP="00BA036B">
            <w:pPr>
              <w:keepNext/>
              <w:keepLines/>
              <w:jc w:val="left"/>
            </w:pPr>
            <w:r w:rsidRPr="00666BAC">
              <w:rPr>
                <w:sz w:val="20"/>
                <w:szCs w:val="20"/>
              </w:rPr>
              <w:t>inappropriate treatment</w:t>
            </w:r>
          </w:p>
        </w:tc>
        <w:tc>
          <w:tcPr>
            <w:tcW w:w="279" w:type="pct"/>
            <w:shd w:val="clear" w:color="auto" w:fill="auto"/>
            <w:vAlign w:val="center"/>
          </w:tcPr>
          <w:p w:rsidR="003E75BB" w:rsidRPr="00666BAC" w:rsidRDefault="00BA036B" w:rsidP="003E75BB">
            <w:pPr>
              <w:keepNext/>
              <w:keepLines/>
              <w:rPr>
                <w:sz w:val="20"/>
                <w:szCs w:val="20"/>
              </w:rPr>
            </w:pPr>
            <w:r w:rsidRPr="00666BAC">
              <w:rPr>
                <w:sz w:val="20"/>
                <w:szCs w:val="20"/>
              </w:rPr>
              <w:t>19</w:t>
            </w:r>
            <w:r w:rsidR="003E75BB" w:rsidRPr="00666BAC">
              <w:rPr>
                <w:sz w:val="20"/>
                <w:szCs w:val="20"/>
              </w:rPr>
              <w:t>%</w:t>
            </w:r>
          </w:p>
        </w:tc>
      </w:tr>
      <w:tr w:rsidR="003E75BB" w:rsidRPr="00666BAC" w:rsidTr="007D54CA">
        <w:trPr>
          <w:trHeight w:val="958"/>
        </w:trPr>
        <w:tc>
          <w:tcPr>
            <w:tcW w:w="677" w:type="pct"/>
            <w:vAlign w:val="center"/>
          </w:tcPr>
          <w:p w:rsidR="00BA036B" w:rsidRPr="00666BAC" w:rsidRDefault="00BA036B" w:rsidP="00BA036B">
            <w:pPr>
              <w:keepNext/>
              <w:keepLines/>
              <w:tabs>
                <w:tab w:val="left" w:pos="1440"/>
                <w:tab w:val="decimal" w:pos="4320"/>
              </w:tabs>
              <w:jc w:val="left"/>
              <w:outlineLvl w:val="0"/>
              <w:rPr>
                <w:sz w:val="20"/>
                <w:szCs w:val="20"/>
              </w:rPr>
            </w:pPr>
            <w:r w:rsidRPr="00666BAC">
              <w:rPr>
                <w:sz w:val="20"/>
                <w:szCs w:val="20"/>
              </w:rPr>
              <w:t>Waiting list/</w:t>
            </w:r>
          </w:p>
          <w:p w:rsidR="00BA036B" w:rsidRPr="00666BAC" w:rsidRDefault="00BA036B" w:rsidP="00BA036B">
            <w:pPr>
              <w:keepNext/>
              <w:keepLines/>
              <w:tabs>
                <w:tab w:val="left" w:pos="1440"/>
                <w:tab w:val="decimal" w:pos="4320"/>
              </w:tabs>
              <w:jc w:val="left"/>
              <w:outlineLvl w:val="0"/>
              <w:rPr>
                <w:sz w:val="20"/>
                <w:szCs w:val="20"/>
              </w:rPr>
            </w:pPr>
            <w:r w:rsidRPr="00666BAC">
              <w:rPr>
                <w:sz w:val="20"/>
                <w:szCs w:val="20"/>
              </w:rPr>
              <w:t>prioritisation</w:t>
            </w:r>
          </w:p>
          <w:p w:rsidR="003E75BB" w:rsidRPr="00666BAC" w:rsidRDefault="00BA036B" w:rsidP="00BA036B">
            <w:pPr>
              <w:keepNext/>
              <w:keepLines/>
              <w:tabs>
                <w:tab w:val="left" w:pos="1440"/>
                <w:tab w:val="decimal" w:pos="4320"/>
              </w:tabs>
              <w:jc w:val="left"/>
              <w:outlineLvl w:val="0"/>
              <w:rPr>
                <w:sz w:val="20"/>
                <w:szCs w:val="20"/>
              </w:rPr>
            </w:pPr>
            <w:r w:rsidRPr="00666BAC">
              <w:rPr>
                <w:sz w:val="20"/>
                <w:szCs w:val="20"/>
              </w:rPr>
              <w:t>issue</w:t>
            </w:r>
          </w:p>
        </w:tc>
        <w:tc>
          <w:tcPr>
            <w:tcW w:w="281" w:type="pct"/>
            <w:vAlign w:val="center"/>
          </w:tcPr>
          <w:p w:rsidR="003E75BB" w:rsidRPr="00666BAC" w:rsidRDefault="00AB0229" w:rsidP="00AB0229">
            <w:pPr>
              <w:keepNext/>
              <w:keepLines/>
              <w:tabs>
                <w:tab w:val="left" w:pos="1440"/>
                <w:tab w:val="decimal" w:pos="4320"/>
              </w:tabs>
              <w:jc w:val="center"/>
              <w:outlineLvl w:val="0"/>
              <w:rPr>
                <w:sz w:val="20"/>
                <w:szCs w:val="20"/>
              </w:rPr>
            </w:pPr>
            <w:r w:rsidRPr="00666BAC">
              <w:rPr>
                <w:sz w:val="20"/>
                <w:szCs w:val="20"/>
              </w:rPr>
              <w:t>13</w:t>
            </w:r>
            <w:r w:rsidR="003E75BB" w:rsidRPr="00666BAC">
              <w:rPr>
                <w:sz w:val="20"/>
                <w:szCs w:val="20"/>
              </w:rPr>
              <w:t>%</w:t>
            </w:r>
          </w:p>
        </w:tc>
        <w:tc>
          <w:tcPr>
            <w:tcW w:w="766" w:type="pct"/>
            <w:vAlign w:val="center"/>
          </w:tcPr>
          <w:p w:rsidR="003E75BB" w:rsidRPr="00666BAC" w:rsidRDefault="00BA036B" w:rsidP="003E75BB">
            <w:pPr>
              <w:keepNext/>
              <w:keepLines/>
              <w:tabs>
                <w:tab w:val="left" w:pos="1440"/>
                <w:tab w:val="decimal" w:pos="4320"/>
              </w:tabs>
              <w:jc w:val="left"/>
              <w:outlineLvl w:val="0"/>
              <w:rPr>
                <w:sz w:val="20"/>
                <w:szCs w:val="20"/>
              </w:rPr>
            </w:pPr>
            <w:r w:rsidRPr="00666BAC">
              <w:rPr>
                <w:sz w:val="20"/>
                <w:szCs w:val="20"/>
              </w:rPr>
              <w:t>Lack of access to services</w:t>
            </w:r>
          </w:p>
        </w:tc>
        <w:tc>
          <w:tcPr>
            <w:tcW w:w="279" w:type="pct"/>
            <w:vAlign w:val="center"/>
          </w:tcPr>
          <w:p w:rsidR="003E75BB" w:rsidRPr="00666BAC" w:rsidRDefault="00BA036B" w:rsidP="003E75BB">
            <w:pPr>
              <w:keepNext/>
              <w:keepLines/>
              <w:tabs>
                <w:tab w:val="left" w:pos="1440"/>
                <w:tab w:val="decimal" w:pos="4320"/>
              </w:tabs>
              <w:jc w:val="center"/>
              <w:outlineLvl w:val="0"/>
              <w:rPr>
                <w:sz w:val="20"/>
                <w:szCs w:val="20"/>
              </w:rPr>
            </w:pPr>
            <w:r w:rsidRPr="00666BAC">
              <w:rPr>
                <w:sz w:val="20"/>
                <w:szCs w:val="20"/>
              </w:rPr>
              <w:t>7%</w:t>
            </w:r>
          </w:p>
        </w:tc>
        <w:tc>
          <w:tcPr>
            <w:tcW w:w="697" w:type="pct"/>
            <w:vAlign w:val="center"/>
          </w:tcPr>
          <w:p w:rsidR="003E75BB" w:rsidRPr="00666BAC" w:rsidRDefault="00A16253" w:rsidP="003E75BB">
            <w:pPr>
              <w:keepNext/>
              <w:keepLines/>
              <w:tabs>
                <w:tab w:val="left" w:pos="1440"/>
                <w:tab w:val="decimal" w:pos="4320"/>
              </w:tabs>
              <w:jc w:val="left"/>
              <w:outlineLvl w:val="0"/>
              <w:rPr>
                <w:sz w:val="20"/>
                <w:szCs w:val="20"/>
              </w:rPr>
            </w:pPr>
            <w:r w:rsidRPr="00666BAC">
              <w:rPr>
                <w:sz w:val="20"/>
                <w:szCs w:val="20"/>
              </w:rPr>
              <w:t>Lack of access to services</w:t>
            </w:r>
          </w:p>
        </w:tc>
        <w:tc>
          <w:tcPr>
            <w:tcW w:w="278" w:type="pct"/>
            <w:vAlign w:val="center"/>
          </w:tcPr>
          <w:p w:rsidR="003E75BB" w:rsidRPr="00666BAC" w:rsidRDefault="00A16253" w:rsidP="003E75BB">
            <w:pPr>
              <w:keepNext/>
              <w:keepLines/>
              <w:tabs>
                <w:tab w:val="left" w:pos="1440"/>
                <w:tab w:val="decimal" w:pos="4320"/>
              </w:tabs>
              <w:jc w:val="center"/>
              <w:outlineLvl w:val="0"/>
              <w:rPr>
                <w:sz w:val="20"/>
                <w:szCs w:val="20"/>
              </w:rPr>
            </w:pPr>
            <w:r w:rsidRPr="00666BAC">
              <w:rPr>
                <w:sz w:val="20"/>
                <w:szCs w:val="20"/>
              </w:rPr>
              <w:t>7%</w:t>
            </w:r>
          </w:p>
        </w:tc>
        <w:tc>
          <w:tcPr>
            <w:tcW w:w="767" w:type="pct"/>
            <w:vAlign w:val="center"/>
          </w:tcPr>
          <w:p w:rsidR="007D54CA" w:rsidRPr="00666BAC" w:rsidRDefault="007D54CA" w:rsidP="007D54CA">
            <w:pPr>
              <w:keepNext/>
              <w:keepLines/>
              <w:tabs>
                <w:tab w:val="left" w:pos="1440"/>
                <w:tab w:val="decimal" w:pos="4320"/>
              </w:tabs>
              <w:jc w:val="left"/>
              <w:outlineLvl w:val="0"/>
              <w:rPr>
                <w:sz w:val="20"/>
                <w:szCs w:val="20"/>
              </w:rPr>
            </w:pPr>
            <w:r w:rsidRPr="00666BAC">
              <w:rPr>
                <w:sz w:val="20"/>
                <w:szCs w:val="20"/>
              </w:rPr>
              <w:t>Disrespectful manner/</w:t>
            </w:r>
          </w:p>
          <w:p w:rsidR="003E75BB" w:rsidRPr="00666BAC" w:rsidRDefault="007D54CA" w:rsidP="007D54CA">
            <w:pPr>
              <w:keepNext/>
              <w:keepLines/>
              <w:tabs>
                <w:tab w:val="left" w:pos="1440"/>
                <w:tab w:val="decimal" w:pos="4320"/>
              </w:tabs>
              <w:jc w:val="left"/>
              <w:outlineLvl w:val="0"/>
              <w:rPr>
                <w:sz w:val="20"/>
                <w:szCs w:val="20"/>
              </w:rPr>
            </w:pPr>
            <w:r w:rsidRPr="00666BAC">
              <w:rPr>
                <w:sz w:val="20"/>
                <w:szCs w:val="20"/>
              </w:rPr>
              <w:t>attitude</w:t>
            </w:r>
          </w:p>
        </w:tc>
        <w:tc>
          <w:tcPr>
            <w:tcW w:w="279" w:type="pct"/>
            <w:vAlign w:val="center"/>
          </w:tcPr>
          <w:p w:rsidR="003E75BB" w:rsidRPr="00666BAC" w:rsidRDefault="00A16253" w:rsidP="003E75BB">
            <w:pPr>
              <w:keepNext/>
              <w:keepLines/>
              <w:tabs>
                <w:tab w:val="left" w:pos="1440"/>
                <w:tab w:val="decimal" w:pos="4320"/>
              </w:tabs>
              <w:jc w:val="center"/>
              <w:outlineLvl w:val="0"/>
              <w:rPr>
                <w:sz w:val="20"/>
                <w:szCs w:val="20"/>
              </w:rPr>
            </w:pPr>
            <w:r w:rsidRPr="00666BAC">
              <w:rPr>
                <w:sz w:val="20"/>
                <w:szCs w:val="20"/>
              </w:rPr>
              <w:t>8</w:t>
            </w:r>
            <w:r w:rsidR="003E75BB" w:rsidRPr="00666BAC">
              <w:rPr>
                <w:sz w:val="20"/>
                <w:szCs w:val="20"/>
              </w:rPr>
              <w:t>%</w:t>
            </w:r>
          </w:p>
        </w:tc>
        <w:tc>
          <w:tcPr>
            <w:tcW w:w="697" w:type="pct"/>
            <w:shd w:val="clear" w:color="auto" w:fill="auto"/>
            <w:vAlign w:val="center"/>
          </w:tcPr>
          <w:p w:rsidR="003E75BB" w:rsidRPr="00666BAC" w:rsidRDefault="006C3F34" w:rsidP="003E75BB">
            <w:pPr>
              <w:keepNext/>
              <w:keepLines/>
              <w:jc w:val="left"/>
            </w:pPr>
            <w:r w:rsidRPr="00666BAC">
              <w:rPr>
                <w:sz w:val="20"/>
                <w:szCs w:val="20"/>
              </w:rPr>
              <w:t>Unexpected treatment outcome</w:t>
            </w:r>
          </w:p>
        </w:tc>
        <w:tc>
          <w:tcPr>
            <w:tcW w:w="279" w:type="pct"/>
            <w:shd w:val="clear" w:color="auto" w:fill="auto"/>
            <w:vAlign w:val="center"/>
          </w:tcPr>
          <w:p w:rsidR="003E75BB" w:rsidRPr="00666BAC" w:rsidRDefault="00BA036B" w:rsidP="003E75BB">
            <w:pPr>
              <w:keepNext/>
              <w:keepLines/>
              <w:rPr>
                <w:sz w:val="20"/>
                <w:szCs w:val="20"/>
              </w:rPr>
            </w:pPr>
            <w:r w:rsidRPr="00666BAC">
              <w:rPr>
                <w:sz w:val="20"/>
                <w:szCs w:val="20"/>
              </w:rPr>
              <w:t>11</w:t>
            </w:r>
            <w:r w:rsidR="003E75BB" w:rsidRPr="00666BAC">
              <w:rPr>
                <w:sz w:val="20"/>
                <w:szCs w:val="20"/>
              </w:rPr>
              <w:t>%</w:t>
            </w:r>
          </w:p>
        </w:tc>
      </w:tr>
    </w:tbl>
    <w:p w:rsidR="00C31C5D" w:rsidRPr="00666BAC" w:rsidRDefault="00C31C5D" w:rsidP="00E905EF"/>
    <w:p w:rsidR="00C31C5D" w:rsidRPr="00666BAC" w:rsidRDefault="00F370CD" w:rsidP="00E905EF">
      <w:r w:rsidRPr="00666BAC">
        <w:t>As mentioned above, many complaints to HDC contain multiple issues of concern to the complainant. Table 8 below shows an analysis of the common complaint issues raised about each service type when all issues complained about are considered (rather than just the primary issue as in Table 7</w:t>
      </w:r>
      <w:r w:rsidR="00556009" w:rsidRPr="00666BAC">
        <w:t>)</w:t>
      </w:r>
      <w:r w:rsidRPr="00666BAC">
        <w:t>.</w:t>
      </w:r>
    </w:p>
    <w:p w:rsidR="00F370CD" w:rsidRPr="00666BAC" w:rsidRDefault="00F370CD" w:rsidP="00E905EF"/>
    <w:p w:rsidR="00F370CD" w:rsidRPr="00666BAC" w:rsidRDefault="00F370CD" w:rsidP="00E905EF">
      <w:r w:rsidRPr="00666BAC">
        <w:t>When all issues raised in complaints about each service type are analysed, it can be seen that communication issues feature prominently</w:t>
      </w:r>
      <w:r w:rsidR="00556009" w:rsidRPr="00666BAC">
        <w:t xml:space="preserve"> for all service types. However, again complaint issues do vary according to the service type complained about, with general medicine and surgical services receiving a greater proportion of complaints involving inadequate coordination of care/treatment than other service types, while </w:t>
      </w:r>
      <w:r w:rsidR="0017767C" w:rsidRPr="00666BAC">
        <w:t>emergency department services</w:t>
      </w:r>
      <w:r w:rsidR="00556009" w:rsidRPr="00666BAC">
        <w:t xml:space="preserve"> received a greater proportion of complains involving inadequate testing and maternity received a greater proportion of complaints regarding a delay in treatment. Mental health services saw a greater proportion of complaints regarding communication </w:t>
      </w:r>
      <w:r w:rsidR="00666BAC" w:rsidRPr="00666BAC">
        <w:t xml:space="preserve">issues </w:t>
      </w:r>
      <w:r w:rsidR="00556009" w:rsidRPr="00666BAC">
        <w:t xml:space="preserve">than did other service types. </w:t>
      </w:r>
    </w:p>
    <w:p w:rsidR="00E1701B" w:rsidRPr="00666BAC" w:rsidRDefault="00E1701B" w:rsidP="00E905EF"/>
    <w:p w:rsidR="00E1701B" w:rsidRPr="00666BAC" w:rsidRDefault="00E1701B" w:rsidP="00E905EF"/>
    <w:p w:rsidR="00E1701B" w:rsidRPr="00666BAC" w:rsidRDefault="00E1701B" w:rsidP="00E905EF"/>
    <w:p w:rsidR="00E1701B" w:rsidRPr="00666BAC" w:rsidRDefault="00E1701B" w:rsidP="00E905EF"/>
    <w:p w:rsidR="00E1701B" w:rsidRPr="00666BAC" w:rsidRDefault="00E1701B" w:rsidP="00E905EF"/>
    <w:p w:rsidR="00E1701B" w:rsidRPr="00666BAC" w:rsidRDefault="00E1701B" w:rsidP="00E905EF"/>
    <w:p w:rsidR="00E1701B" w:rsidRPr="00666BAC" w:rsidRDefault="00E1701B" w:rsidP="00E905EF"/>
    <w:p w:rsidR="00E1701B" w:rsidRPr="00666BAC" w:rsidRDefault="00E1701B" w:rsidP="00E905EF"/>
    <w:p w:rsidR="00C31C5D" w:rsidRPr="00666BAC" w:rsidRDefault="00C31C5D" w:rsidP="00E905EF"/>
    <w:p w:rsidR="00C31C5D" w:rsidRPr="00666BAC" w:rsidRDefault="00C31C5D" w:rsidP="00E905EF"/>
    <w:p w:rsidR="00860E78" w:rsidRPr="00666BAC" w:rsidRDefault="00556009" w:rsidP="00860E78">
      <w:pPr>
        <w:spacing w:after="120"/>
        <w:rPr>
          <w:i/>
        </w:rPr>
      </w:pPr>
      <w:r w:rsidRPr="00666BAC">
        <w:rPr>
          <w:b/>
          <w:szCs w:val="22"/>
        </w:rPr>
        <w:t>Table 8</w:t>
      </w:r>
      <w:r w:rsidR="00860E78" w:rsidRPr="00666BAC">
        <w:rPr>
          <w:b/>
          <w:szCs w:val="22"/>
        </w:rPr>
        <w:t xml:space="preserve">. </w:t>
      </w:r>
      <w:r w:rsidR="00860E78" w:rsidRPr="00666BAC">
        <w:rPr>
          <w:szCs w:val="22"/>
        </w:rPr>
        <w:t>Most common issues in complaints by service type</w:t>
      </w:r>
    </w:p>
    <w:tbl>
      <w:tblPr>
        <w:tblStyle w:val="TableGrid"/>
        <w:tblW w:w="0" w:type="auto"/>
        <w:tblLook w:val="04A0" w:firstRow="1" w:lastRow="0" w:firstColumn="1" w:lastColumn="0" w:noHBand="0" w:noVBand="1"/>
      </w:tblPr>
      <w:tblGrid>
        <w:gridCol w:w="9298"/>
      </w:tblGrid>
      <w:tr w:rsidR="00860E78" w:rsidRPr="00666BAC" w:rsidTr="00860E78">
        <w:trPr>
          <w:hidden/>
        </w:trPr>
        <w:tc>
          <w:tcPr>
            <w:tcW w:w="9298" w:type="dxa"/>
          </w:tcPr>
          <w:p w:rsidR="00860E78" w:rsidRPr="00666BAC" w:rsidRDefault="00860E78" w:rsidP="00860E78">
            <w:pPr>
              <w:spacing w:before="120" w:after="120"/>
              <w:rPr>
                <w:b/>
                <w:vanish/>
                <w:sz w:val="28"/>
                <w:szCs w:val="28"/>
              </w:rPr>
            </w:pPr>
            <w:r w:rsidRPr="00666BAC">
              <w:rPr>
                <w:b/>
                <w:vanish/>
                <w:sz w:val="28"/>
                <w:szCs w:val="28"/>
              </w:rPr>
              <w:t>What does this tell us?</w:t>
            </w:r>
          </w:p>
          <w:p w:rsidR="00860E78" w:rsidRPr="00666BAC" w:rsidRDefault="00860E78" w:rsidP="00860E78">
            <w:pPr>
              <w:spacing w:before="120" w:after="120"/>
              <w:rPr>
                <w:vanish/>
                <w:szCs w:val="22"/>
              </w:rPr>
            </w:pPr>
          </w:p>
        </w:tc>
      </w:tr>
    </w:tbl>
    <w:tbl>
      <w:tblPr>
        <w:tblpPr w:leftFromText="180" w:rightFromText="180" w:vertAnchor="text" w:horzAnchor="margin" w:tblpY="99"/>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0"/>
        <w:gridCol w:w="1433"/>
        <w:gridCol w:w="618"/>
        <w:gridCol w:w="1433"/>
        <w:gridCol w:w="611"/>
        <w:gridCol w:w="1433"/>
        <w:gridCol w:w="618"/>
        <w:gridCol w:w="1433"/>
        <w:gridCol w:w="601"/>
      </w:tblGrid>
      <w:tr w:rsidR="00860E78" w:rsidRPr="00666BAC" w:rsidTr="00CD60EB">
        <w:tc>
          <w:tcPr>
            <w:tcW w:w="999" w:type="pct"/>
            <w:gridSpan w:val="2"/>
            <w:shd w:val="clear" w:color="auto" w:fill="C00000"/>
            <w:vAlign w:val="center"/>
          </w:tcPr>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Surgery</w:t>
            </w:r>
          </w:p>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n=262</w:t>
            </w:r>
          </w:p>
        </w:tc>
        <w:tc>
          <w:tcPr>
            <w:tcW w:w="1003" w:type="pct"/>
            <w:gridSpan w:val="2"/>
            <w:shd w:val="clear" w:color="auto" w:fill="C00000"/>
            <w:vAlign w:val="center"/>
          </w:tcPr>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Mental health</w:t>
            </w:r>
          </w:p>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n=180</w:t>
            </w:r>
          </w:p>
        </w:tc>
        <w:tc>
          <w:tcPr>
            <w:tcW w:w="1000" w:type="pct"/>
            <w:gridSpan w:val="2"/>
            <w:shd w:val="clear" w:color="auto" w:fill="C00000"/>
            <w:vAlign w:val="center"/>
          </w:tcPr>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General medicine</w:t>
            </w:r>
          </w:p>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n=138</w:t>
            </w:r>
          </w:p>
        </w:tc>
        <w:tc>
          <w:tcPr>
            <w:tcW w:w="1003" w:type="pct"/>
            <w:gridSpan w:val="2"/>
            <w:shd w:val="clear" w:color="auto" w:fill="C00000"/>
            <w:vAlign w:val="center"/>
          </w:tcPr>
          <w:p w:rsidR="00860E78" w:rsidRPr="00666BAC" w:rsidRDefault="00666BAC" w:rsidP="00860E78">
            <w:pPr>
              <w:keepNext/>
              <w:keepLines/>
              <w:tabs>
                <w:tab w:val="left" w:pos="1440"/>
                <w:tab w:val="decimal" w:pos="4320"/>
              </w:tabs>
              <w:ind w:left="139" w:right="10" w:firstLine="13"/>
              <w:jc w:val="center"/>
              <w:outlineLvl w:val="0"/>
              <w:rPr>
                <w:b/>
                <w:sz w:val="20"/>
                <w:szCs w:val="20"/>
              </w:rPr>
            </w:pPr>
            <w:r w:rsidRPr="00666BAC">
              <w:rPr>
                <w:b/>
                <w:sz w:val="20"/>
                <w:szCs w:val="20"/>
              </w:rPr>
              <w:t>Emergency department</w:t>
            </w:r>
          </w:p>
          <w:p w:rsidR="00860E78" w:rsidRPr="00666BAC" w:rsidRDefault="00860E78" w:rsidP="00860E78">
            <w:pPr>
              <w:keepNext/>
              <w:keepLines/>
              <w:tabs>
                <w:tab w:val="left" w:pos="1440"/>
                <w:tab w:val="decimal" w:pos="4320"/>
              </w:tabs>
              <w:ind w:left="139" w:right="10" w:firstLine="13"/>
              <w:jc w:val="center"/>
              <w:outlineLvl w:val="0"/>
              <w:rPr>
                <w:b/>
                <w:sz w:val="20"/>
                <w:szCs w:val="20"/>
              </w:rPr>
            </w:pPr>
            <w:r w:rsidRPr="00666BAC">
              <w:rPr>
                <w:b/>
                <w:sz w:val="20"/>
                <w:szCs w:val="20"/>
              </w:rPr>
              <w:t>n=103</w:t>
            </w:r>
          </w:p>
        </w:tc>
        <w:tc>
          <w:tcPr>
            <w:tcW w:w="997" w:type="pct"/>
            <w:gridSpan w:val="2"/>
            <w:shd w:val="clear" w:color="auto" w:fill="C00000"/>
            <w:vAlign w:val="center"/>
          </w:tcPr>
          <w:p w:rsidR="00860E78" w:rsidRPr="00666BAC" w:rsidRDefault="00860E78" w:rsidP="00860E78">
            <w:pPr>
              <w:keepNext/>
              <w:keepLines/>
              <w:jc w:val="center"/>
              <w:rPr>
                <w:b/>
                <w:sz w:val="20"/>
                <w:szCs w:val="20"/>
              </w:rPr>
            </w:pPr>
            <w:r w:rsidRPr="00666BAC">
              <w:rPr>
                <w:b/>
                <w:sz w:val="20"/>
                <w:szCs w:val="20"/>
              </w:rPr>
              <w:t>Maternity</w:t>
            </w:r>
          </w:p>
          <w:p w:rsidR="00860E78" w:rsidRPr="00666BAC" w:rsidRDefault="00860E78" w:rsidP="00860E78">
            <w:pPr>
              <w:keepNext/>
              <w:keepLines/>
              <w:jc w:val="center"/>
              <w:rPr>
                <w:b/>
                <w:sz w:val="20"/>
                <w:szCs w:val="20"/>
              </w:rPr>
            </w:pPr>
            <w:r w:rsidRPr="00666BAC">
              <w:rPr>
                <w:b/>
                <w:sz w:val="20"/>
                <w:szCs w:val="20"/>
              </w:rPr>
              <w:t>n=53</w:t>
            </w:r>
          </w:p>
        </w:tc>
      </w:tr>
      <w:tr w:rsidR="00414A58" w:rsidRPr="00666BAC" w:rsidTr="00CD60EB">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inappropriate</w:t>
            </w:r>
          </w:p>
          <w:p w:rsidR="00860E78" w:rsidRPr="00666BAC" w:rsidRDefault="00CD60EB" w:rsidP="00CD60EB">
            <w:pPr>
              <w:keepNext/>
              <w:keepLines/>
              <w:tabs>
                <w:tab w:val="left" w:pos="1440"/>
                <w:tab w:val="decimal" w:pos="4320"/>
              </w:tabs>
              <w:jc w:val="left"/>
              <w:outlineLvl w:val="0"/>
              <w:rPr>
                <w:sz w:val="20"/>
                <w:szCs w:val="20"/>
              </w:rPr>
            </w:pPr>
            <w:r w:rsidRPr="00666BAC">
              <w:rPr>
                <w:sz w:val="20"/>
                <w:szCs w:val="20"/>
              </w:rPr>
              <w:t>treatment</w:t>
            </w:r>
          </w:p>
        </w:tc>
        <w:tc>
          <w:tcPr>
            <w:tcW w:w="297" w:type="pct"/>
            <w:vAlign w:val="center"/>
          </w:tcPr>
          <w:p w:rsidR="00860E78" w:rsidRPr="00666BAC" w:rsidRDefault="00CD60EB" w:rsidP="00860E78">
            <w:pPr>
              <w:keepNext/>
              <w:keepLines/>
              <w:tabs>
                <w:tab w:val="left" w:pos="1440"/>
                <w:tab w:val="decimal" w:pos="4320"/>
              </w:tabs>
              <w:jc w:val="center"/>
              <w:outlineLvl w:val="0"/>
              <w:rPr>
                <w:sz w:val="20"/>
                <w:szCs w:val="20"/>
              </w:rPr>
            </w:pPr>
            <w:r w:rsidRPr="00666BAC">
              <w:rPr>
                <w:sz w:val="20"/>
                <w:szCs w:val="20"/>
              </w:rPr>
              <w:t>50%</w:t>
            </w:r>
          </w:p>
        </w:tc>
        <w:tc>
          <w:tcPr>
            <w:tcW w:w="701" w:type="pct"/>
            <w:vAlign w:val="center"/>
          </w:tcPr>
          <w:p w:rsidR="00860E78" w:rsidRPr="00666BAC" w:rsidRDefault="00665F86" w:rsidP="00665F86">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301" w:type="pct"/>
            <w:vAlign w:val="center"/>
          </w:tcPr>
          <w:p w:rsidR="00860E78" w:rsidRPr="00666BAC" w:rsidRDefault="00665F86" w:rsidP="00860E78">
            <w:pPr>
              <w:keepNext/>
              <w:keepLines/>
              <w:tabs>
                <w:tab w:val="left" w:pos="1440"/>
                <w:tab w:val="decimal" w:pos="4320"/>
              </w:tabs>
              <w:jc w:val="center"/>
              <w:outlineLvl w:val="0"/>
              <w:rPr>
                <w:sz w:val="20"/>
                <w:szCs w:val="20"/>
              </w:rPr>
            </w:pPr>
            <w:r w:rsidRPr="00666BAC">
              <w:rPr>
                <w:sz w:val="20"/>
                <w:szCs w:val="20"/>
              </w:rPr>
              <w:t>41%</w:t>
            </w:r>
          </w:p>
        </w:tc>
        <w:tc>
          <w:tcPr>
            <w:tcW w:w="701" w:type="pct"/>
            <w:vAlign w:val="center"/>
          </w:tcPr>
          <w:p w:rsidR="00860E78" w:rsidRPr="00666BAC" w:rsidRDefault="0000680B" w:rsidP="00860E78">
            <w:pPr>
              <w:keepNext/>
              <w:keepLines/>
              <w:tabs>
                <w:tab w:val="left" w:pos="1440"/>
                <w:tab w:val="decimal" w:pos="4320"/>
              </w:tabs>
              <w:jc w:val="left"/>
              <w:outlineLvl w:val="0"/>
              <w:rPr>
                <w:sz w:val="20"/>
                <w:szCs w:val="20"/>
              </w:rPr>
            </w:pPr>
            <w:r w:rsidRPr="00666BAC">
              <w:rPr>
                <w:sz w:val="20"/>
                <w:szCs w:val="20"/>
              </w:rPr>
              <w:t>Inadequate coordination of care/</w:t>
            </w:r>
          </w:p>
          <w:p w:rsidR="0000680B" w:rsidRPr="00666BAC" w:rsidRDefault="0000680B" w:rsidP="00860E78">
            <w:pPr>
              <w:keepNext/>
              <w:keepLines/>
              <w:tabs>
                <w:tab w:val="left" w:pos="1440"/>
                <w:tab w:val="decimal" w:pos="4320"/>
              </w:tabs>
              <w:jc w:val="left"/>
              <w:outlineLvl w:val="0"/>
              <w:rPr>
                <w:sz w:val="20"/>
                <w:szCs w:val="20"/>
              </w:rPr>
            </w:pPr>
            <w:r w:rsidRPr="00666BAC">
              <w:rPr>
                <w:sz w:val="20"/>
                <w:szCs w:val="20"/>
              </w:rPr>
              <w:t>treatment</w:t>
            </w:r>
          </w:p>
        </w:tc>
        <w:tc>
          <w:tcPr>
            <w:tcW w:w="298" w:type="pct"/>
            <w:vAlign w:val="center"/>
          </w:tcPr>
          <w:p w:rsidR="00860E78" w:rsidRPr="00666BAC" w:rsidRDefault="0000680B" w:rsidP="00860E78">
            <w:pPr>
              <w:keepNext/>
              <w:keepLines/>
              <w:tabs>
                <w:tab w:val="left" w:pos="1440"/>
                <w:tab w:val="decimal" w:pos="4320"/>
              </w:tabs>
              <w:jc w:val="center"/>
              <w:outlineLvl w:val="0"/>
              <w:rPr>
                <w:sz w:val="20"/>
                <w:szCs w:val="20"/>
              </w:rPr>
            </w:pPr>
            <w:r w:rsidRPr="00666BAC">
              <w:rPr>
                <w:sz w:val="20"/>
                <w:szCs w:val="20"/>
              </w:rPr>
              <w:t>38%</w:t>
            </w:r>
          </w:p>
        </w:tc>
        <w:tc>
          <w:tcPr>
            <w:tcW w:w="701" w:type="pct"/>
            <w:vAlign w:val="center"/>
          </w:tcPr>
          <w:p w:rsidR="00C31C5D" w:rsidRPr="00666BAC" w:rsidRDefault="00C31C5D" w:rsidP="00C31C5D">
            <w:pPr>
              <w:keepNext/>
              <w:keepLines/>
              <w:tabs>
                <w:tab w:val="left" w:pos="1440"/>
                <w:tab w:val="decimal" w:pos="4320"/>
              </w:tabs>
              <w:jc w:val="left"/>
              <w:outlineLvl w:val="0"/>
              <w:rPr>
                <w:sz w:val="20"/>
                <w:szCs w:val="20"/>
              </w:rPr>
            </w:pPr>
            <w:r w:rsidRPr="00666BAC">
              <w:rPr>
                <w:sz w:val="20"/>
                <w:szCs w:val="20"/>
              </w:rPr>
              <w:t>Inadequate/</w:t>
            </w:r>
          </w:p>
          <w:p w:rsidR="00C31C5D" w:rsidRPr="00666BAC" w:rsidRDefault="00C31C5D" w:rsidP="00C31C5D">
            <w:pPr>
              <w:keepNext/>
              <w:keepLines/>
              <w:tabs>
                <w:tab w:val="left" w:pos="1440"/>
                <w:tab w:val="decimal" w:pos="4320"/>
              </w:tabs>
              <w:jc w:val="left"/>
              <w:outlineLvl w:val="0"/>
              <w:rPr>
                <w:sz w:val="20"/>
                <w:szCs w:val="20"/>
              </w:rPr>
            </w:pPr>
            <w:r w:rsidRPr="00666BAC">
              <w:rPr>
                <w:sz w:val="20"/>
                <w:szCs w:val="20"/>
              </w:rPr>
              <w:t xml:space="preserve">inappropriate </w:t>
            </w:r>
          </w:p>
          <w:p w:rsidR="00C31C5D" w:rsidRPr="00666BAC" w:rsidRDefault="00C31C5D" w:rsidP="00C31C5D">
            <w:pPr>
              <w:keepNext/>
              <w:keepLines/>
              <w:tabs>
                <w:tab w:val="left" w:pos="1440"/>
                <w:tab w:val="decimal" w:pos="4320"/>
              </w:tabs>
              <w:jc w:val="left"/>
              <w:outlineLvl w:val="0"/>
              <w:rPr>
                <w:sz w:val="20"/>
                <w:szCs w:val="20"/>
              </w:rPr>
            </w:pPr>
            <w:r w:rsidRPr="00666BAC">
              <w:rPr>
                <w:sz w:val="20"/>
                <w:szCs w:val="20"/>
              </w:rPr>
              <w:t>examination/</w:t>
            </w:r>
          </w:p>
          <w:p w:rsidR="00860E78" w:rsidRPr="00666BAC" w:rsidRDefault="00C31C5D" w:rsidP="00C31C5D">
            <w:pPr>
              <w:keepNext/>
              <w:keepLines/>
              <w:tabs>
                <w:tab w:val="left" w:pos="1440"/>
                <w:tab w:val="decimal" w:pos="4320"/>
              </w:tabs>
              <w:jc w:val="left"/>
              <w:outlineLvl w:val="0"/>
              <w:rPr>
                <w:sz w:val="20"/>
                <w:szCs w:val="20"/>
              </w:rPr>
            </w:pPr>
            <w:r w:rsidRPr="00666BAC">
              <w:rPr>
                <w:sz w:val="20"/>
                <w:szCs w:val="20"/>
              </w:rPr>
              <w:t>assessment</w:t>
            </w:r>
          </w:p>
        </w:tc>
        <w:tc>
          <w:tcPr>
            <w:tcW w:w="301" w:type="pct"/>
            <w:vAlign w:val="center"/>
          </w:tcPr>
          <w:p w:rsidR="00860E78" w:rsidRPr="00666BAC" w:rsidRDefault="00C31C5D" w:rsidP="00860E78">
            <w:pPr>
              <w:keepNext/>
              <w:keepLines/>
              <w:tabs>
                <w:tab w:val="left" w:pos="1440"/>
                <w:tab w:val="decimal" w:pos="4320"/>
              </w:tabs>
              <w:jc w:val="center"/>
              <w:outlineLvl w:val="0"/>
              <w:rPr>
                <w:sz w:val="20"/>
                <w:szCs w:val="20"/>
              </w:rPr>
            </w:pPr>
            <w:r w:rsidRPr="00666BAC">
              <w:rPr>
                <w:sz w:val="20"/>
                <w:szCs w:val="20"/>
              </w:rPr>
              <w:t>48%</w:t>
            </w:r>
          </w:p>
        </w:tc>
        <w:tc>
          <w:tcPr>
            <w:tcW w:w="701" w:type="pct"/>
            <w:shd w:val="clear" w:color="auto" w:fill="auto"/>
            <w:vAlign w:val="center"/>
          </w:tcPr>
          <w:p w:rsidR="00414A58" w:rsidRPr="00666BAC" w:rsidRDefault="00414A58" w:rsidP="00414A58">
            <w:pPr>
              <w:keepNext/>
              <w:keepLines/>
              <w:tabs>
                <w:tab w:val="left" w:pos="1440"/>
                <w:tab w:val="decimal" w:pos="4320"/>
              </w:tabs>
              <w:jc w:val="left"/>
              <w:outlineLvl w:val="0"/>
              <w:rPr>
                <w:sz w:val="20"/>
                <w:szCs w:val="20"/>
              </w:rPr>
            </w:pPr>
            <w:r w:rsidRPr="00666BAC">
              <w:rPr>
                <w:sz w:val="20"/>
                <w:szCs w:val="20"/>
              </w:rPr>
              <w:t>Inadequate/</w:t>
            </w:r>
          </w:p>
          <w:p w:rsidR="00414A58" w:rsidRPr="00666BAC" w:rsidRDefault="00414A58" w:rsidP="00414A58">
            <w:pPr>
              <w:keepNext/>
              <w:keepLines/>
              <w:tabs>
                <w:tab w:val="left" w:pos="1440"/>
                <w:tab w:val="decimal" w:pos="4320"/>
              </w:tabs>
              <w:jc w:val="left"/>
              <w:outlineLvl w:val="0"/>
              <w:rPr>
                <w:sz w:val="20"/>
                <w:szCs w:val="20"/>
              </w:rPr>
            </w:pPr>
            <w:r w:rsidRPr="00666BAC">
              <w:rPr>
                <w:sz w:val="20"/>
                <w:szCs w:val="20"/>
              </w:rPr>
              <w:t>inappropriate</w:t>
            </w:r>
          </w:p>
          <w:p w:rsidR="00860E78" w:rsidRPr="00666BAC" w:rsidRDefault="00414A58" w:rsidP="00414A58">
            <w:pPr>
              <w:keepNext/>
              <w:keepLines/>
              <w:jc w:val="left"/>
              <w:rPr>
                <w:sz w:val="20"/>
                <w:szCs w:val="20"/>
              </w:rPr>
            </w:pPr>
            <w:r w:rsidRPr="00666BAC">
              <w:rPr>
                <w:sz w:val="20"/>
                <w:szCs w:val="20"/>
              </w:rPr>
              <w:t>treatment</w:t>
            </w:r>
          </w:p>
        </w:tc>
        <w:tc>
          <w:tcPr>
            <w:tcW w:w="295" w:type="pct"/>
            <w:shd w:val="clear" w:color="auto" w:fill="auto"/>
            <w:vAlign w:val="center"/>
          </w:tcPr>
          <w:p w:rsidR="00860E78" w:rsidRPr="00666BAC" w:rsidRDefault="00414A58" w:rsidP="00860E78">
            <w:pPr>
              <w:keepNext/>
              <w:keepLines/>
              <w:rPr>
                <w:sz w:val="20"/>
                <w:szCs w:val="20"/>
              </w:rPr>
            </w:pPr>
            <w:r w:rsidRPr="00666BAC">
              <w:rPr>
                <w:sz w:val="20"/>
                <w:szCs w:val="20"/>
              </w:rPr>
              <w:t>57%</w:t>
            </w:r>
          </w:p>
        </w:tc>
      </w:tr>
      <w:tr w:rsidR="00414A58" w:rsidRPr="00666BAC" w:rsidTr="00CD60EB">
        <w:tc>
          <w:tcPr>
            <w:tcW w:w="701" w:type="pct"/>
            <w:vAlign w:val="center"/>
          </w:tcPr>
          <w:p w:rsidR="00860E78" w:rsidRPr="00666BAC" w:rsidRDefault="00F370CD" w:rsidP="00860E78">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297" w:type="pct"/>
            <w:vAlign w:val="center"/>
          </w:tcPr>
          <w:p w:rsidR="00860E78" w:rsidRPr="00666BAC" w:rsidRDefault="00F370CD" w:rsidP="00860E78">
            <w:pPr>
              <w:keepNext/>
              <w:keepLines/>
              <w:tabs>
                <w:tab w:val="left" w:pos="1440"/>
                <w:tab w:val="decimal" w:pos="4320"/>
              </w:tabs>
              <w:jc w:val="center"/>
              <w:outlineLvl w:val="0"/>
              <w:rPr>
                <w:sz w:val="20"/>
                <w:szCs w:val="20"/>
              </w:rPr>
            </w:pPr>
            <w:r w:rsidRPr="00666BAC">
              <w:rPr>
                <w:sz w:val="20"/>
                <w:szCs w:val="20"/>
              </w:rPr>
              <w:t>43%</w:t>
            </w:r>
          </w:p>
        </w:tc>
        <w:tc>
          <w:tcPr>
            <w:tcW w:w="701" w:type="pct"/>
            <w:vAlign w:val="center"/>
          </w:tcPr>
          <w:p w:rsidR="00665F86" w:rsidRPr="00666BAC" w:rsidRDefault="00665F86" w:rsidP="00665F86">
            <w:pPr>
              <w:keepNext/>
              <w:keepLines/>
              <w:tabs>
                <w:tab w:val="left" w:pos="1440"/>
                <w:tab w:val="decimal" w:pos="4320"/>
              </w:tabs>
              <w:jc w:val="left"/>
              <w:outlineLvl w:val="0"/>
              <w:rPr>
                <w:sz w:val="20"/>
                <w:szCs w:val="20"/>
              </w:rPr>
            </w:pPr>
            <w:r w:rsidRPr="00666BAC">
              <w:rPr>
                <w:sz w:val="20"/>
                <w:szCs w:val="20"/>
              </w:rPr>
              <w:t>Inadequate/</w:t>
            </w:r>
          </w:p>
          <w:p w:rsidR="00665F86" w:rsidRPr="00666BAC" w:rsidRDefault="00665F86" w:rsidP="00665F86">
            <w:pPr>
              <w:keepNext/>
              <w:keepLines/>
              <w:tabs>
                <w:tab w:val="left" w:pos="1440"/>
                <w:tab w:val="decimal" w:pos="4320"/>
              </w:tabs>
              <w:jc w:val="left"/>
              <w:outlineLvl w:val="0"/>
              <w:rPr>
                <w:sz w:val="20"/>
                <w:szCs w:val="20"/>
              </w:rPr>
            </w:pPr>
            <w:r w:rsidRPr="00666BAC">
              <w:rPr>
                <w:sz w:val="20"/>
                <w:szCs w:val="20"/>
              </w:rPr>
              <w:t>inappropriate</w:t>
            </w:r>
          </w:p>
          <w:p w:rsidR="00860E78" w:rsidRPr="00666BAC" w:rsidRDefault="00665F86" w:rsidP="00665F86">
            <w:pPr>
              <w:keepNext/>
              <w:keepLines/>
              <w:tabs>
                <w:tab w:val="left" w:pos="1440"/>
                <w:tab w:val="decimal" w:pos="4320"/>
              </w:tabs>
              <w:jc w:val="left"/>
              <w:outlineLvl w:val="0"/>
              <w:rPr>
                <w:sz w:val="20"/>
                <w:szCs w:val="20"/>
              </w:rPr>
            </w:pPr>
            <w:r w:rsidRPr="00666BAC">
              <w:rPr>
                <w:sz w:val="20"/>
                <w:szCs w:val="20"/>
              </w:rPr>
              <w:t>treatment</w:t>
            </w:r>
          </w:p>
        </w:tc>
        <w:tc>
          <w:tcPr>
            <w:tcW w:w="301" w:type="pct"/>
            <w:vAlign w:val="center"/>
          </w:tcPr>
          <w:p w:rsidR="00860E78" w:rsidRPr="00666BAC" w:rsidRDefault="00665F86" w:rsidP="00860E78">
            <w:pPr>
              <w:keepNext/>
              <w:keepLines/>
              <w:tabs>
                <w:tab w:val="left" w:pos="1440"/>
                <w:tab w:val="decimal" w:pos="4320"/>
              </w:tabs>
              <w:jc w:val="center"/>
              <w:outlineLvl w:val="0"/>
              <w:rPr>
                <w:sz w:val="20"/>
                <w:szCs w:val="20"/>
              </w:rPr>
            </w:pPr>
            <w:r w:rsidRPr="00666BAC">
              <w:rPr>
                <w:sz w:val="20"/>
                <w:szCs w:val="20"/>
              </w:rPr>
              <w:t>40%</w:t>
            </w:r>
          </w:p>
        </w:tc>
        <w:tc>
          <w:tcPr>
            <w:tcW w:w="701" w:type="pct"/>
            <w:vAlign w:val="center"/>
          </w:tcPr>
          <w:p w:rsidR="00860E78" w:rsidRPr="00666BAC" w:rsidRDefault="0000680B" w:rsidP="00860E78">
            <w:pPr>
              <w:keepNext/>
              <w:keepLines/>
              <w:tabs>
                <w:tab w:val="left" w:pos="1440"/>
                <w:tab w:val="decimal" w:pos="4320"/>
              </w:tabs>
              <w:jc w:val="left"/>
              <w:outlineLvl w:val="0"/>
              <w:rPr>
                <w:sz w:val="20"/>
                <w:szCs w:val="20"/>
              </w:rPr>
            </w:pPr>
            <w:r w:rsidRPr="00666BAC">
              <w:rPr>
                <w:sz w:val="20"/>
                <w:szCs w:val="20"/>
              </w:rPr>
              <w:t>Failure to communicate effectively with family</w:t>
            </w:r>
          </w:p>
        </w:tc>
        <w:tc>
          <w:tcPr>
            <w:tcW w:w="298" w:type="pct"/>
            <w:vAlign w:val="center"/>
          </w:tcPr>
          <w:p w:rsidR="00860E78" w:rsidRPr="00666BAC" w:rsidRDefault="0000680B" w:rsidP="00860E78">
            <w:pPr>
              <w:keepNext/>
              <w:keepLines/>
              <w:tabs>
                <w:tab w:val="left" w:pos="1440"/>
                <w:tab w:val="decimal" w:pos="4320"/>
              </w:tabs>
              <w:jc w:val="center"/>
              <w:outlineLvl w:val="0"/>
              <w:rPr>
                <w:sz w:val="20"/>
                <w:szCs w:val="20"/>
              </w:rPr>
            </w:pPr>
            <w:r w:rsidRPr="00666BAC">
              <w:rPr>
                <w:sz w:val="20"/>
                <w:szCs w:val="20"/>
              </w:rPr>
              <w:t>38%</w:t>
            </w:r>
          </w:p>
        </w:tc>
        <w:tc>
          <w:tcPr>
            <w:tcW w:w="701" w:type="pct"/>
            <w:vAlign w:val="center"/>
          </w:tcPr>
          <w:p w:rsidR="00C31C5D" w:rsidRPr="00666BAC" w:rsidRDefault="00C31C5D" w:rsidP="00C31C5D">
            <w:pPr>
              <w:keepNext/>
              <w:keepLines/>
              <w:tabs>
                <w:tab w:val="left" w:pos="1440"/>
                <w:tab w:val="decimal" w:pos="4320"/>
              </w:tabs>
              <w:jc w:val="left"/>
              <w:outlineLvl w:val="0"/>
              <w:rPr>
                <w:sz w:val="20"/>
                <w:szCs w:val="20"/>
              </w:rPr>
            </w:pPr>
            <w:r w:rsidRPr="00666BAC">
              <w:rPr>
                <w:sz w:val="20"/>
                <w:szCs w:val="20"/>
              </w:rPr>
              <w:t>Missed/</w:t>
            </w:r>
          </w:p>
          <w:p w:rsidR="00C31C5D" w:rsidRPr="00666BAC" w:rsidRDefault="00C31C5D" w:rsidP="00C31C5D">
            <w:pPr>
              <w:keepNext/>
              <w:keepLines/>
              <w:tabs>
                <w:tab w:val="left" w:pos="1440"/>
                <w:tab w:val="decimal" w:pos="4320"/>
              </w:tabs>
              <w:jc w:val="left"/>
              <w:outlineLvl w:val="0"/>
              <w:rPr>
                <w:sz w:val="20"/>
                <w:szCs w:val="20"/>
              </w:rPr>
            </w:pPr>
            <w:r w:rsidRPr="00666BAC">
              <w:rPr>
                <w:sz w:val="20"/>
                <w:szCs w:val="20"/>
              </w:rPr>
              <w:t>incorrect/</w:t>
            </w:r>
          </w:p>
          <w:p w:rsidR="00860E78" w:rsidRPr="00666BAC" w:rsidRDefault="00C31C5D" w:rsidP="00C31C5D">
            <w:pPr>
              <w:keepNext/>
              <w:keepLines/>
              <w:tabs>
                <w:tab w:val="left" w:pos="1440"/>
                <w:tab w:val="decimal" w:pos="4320"/>
              </w:tabs>
              <w:jc w:val="left"/>
              <w:outlineLvl w:val="0"/>
              <w:rPr>
                <w:sz w:val="20"/>
                <w:szCs w:val="20"/>
              </w:rPr>
            </w:pPr>
            <w:r w:rsidRPr="00666BAC">
              <w:rPr>
                <w:sz w:val="20"/>
                <w:szCs w:val="20"/>
              </w:rPr>
              <w:t>delayed diagnosis</w:t>
            </w:r>
          </w:p>
        </w:tc>
        <w:tc>
          <w:tcPr>
            <w:tcW w:w="301" w:type="pct"/>
            <w:vAlign w:val="center"/>
          </w:tcPr>
          <w:p w:rsidR="00860E78" w:rsidRPr="00666BAC" w:rsidRDefault="00C31C5D" w:rsidP="00860E78">
            <w:pPr>
              <w:keepNext/>
              <w:keepLines/>
              <w:tabs>
                <w:tab w:val="left" w:pos="1440"/>
                <w:tab w:val="decimal" w:pos="4320"/>
              </w:tabs>
              <w:jc w:val="center"/>
              <w:outlineLvl w:val="0"/>
              <w:rPr>
                <w:sz w:val="20"/>
                <w:szCs w:val="20"/>
              </w:rPr>
            </w:pPr>
            <w:r w:rsidRPr="00666BAC">
              <w:rPr>
                <w:sz w:val="20"/>
                <w:szCs w:val="20"/>
              </w:rPr>
              <w:t>42%</w:t>
            </w:r>
          </w:p>
        </w:tc>
        <w:tc>
          <w:tcPr>
            <w:tcW w:w="701" w:type="pct"/>
            <w:shd w:val="clear" w:color="auto" w:fill="auto"/>
            <w:vAlign w:val="center"/>
          </w:tcPr>
          <w:p w:rsidR="00665F86" w:rsidRPr="00666BAC" w:rsidRDefault="00414A58" w:rsidP="00860E78">
            <w:pPr>
              <w:keepNext/>
              <w:keepLines/>
              <w:jc w:val="left"/>
              <w:rPr>
                <w:sz w:val="20"/>
                <w:szCs w:val="20"/>
              </w:rPr>
            </w:pPr>
            <w:r w:rsidRPr="00666BAC">
              <w:rPr>
                <w:sz w:val="20"/>
                <w:szCs w:val="20"/>
              </w:rPr>
              <w:t xml:space="preserve">Failure </w:t>
            </w:r>
            <w:r w:rsidR="00665F86" w:rsidRPr="00666BAC">
              <w:rPr>
                <w:sz w:val="20"/>
                <w:szCs w:val="20"/>
              </w:rPr>
              <w:t>to communicate effectively with</w:t>
            </w:r>
          </w:p>
          <w:p w:rsidR="00860E78" w:rsidRPr="00666BAC" w:rsidRDefault="00414A58" w:rsidP="00860E78">
            <w:pPr>
              <w:keepNext/>
              <w:keepLines/>
              <w:jc w:val="left"/>
            </w:pPr>
            <w:r w:rsidRPr="00666BAC">
              <w:rPr>
                <w:sz w:val="20"/>
                <w:szCs w:val="20"/>
              </w:rPr>
              <w:t>consumer</w:t>
            </w:r>
          </w:p>
        </w:tc>
        <w:tc>
          <w:tcPr>
            <w:tcW w:w="295" w:type="pct"/>
            <w:shd w:val="clear" w:color="auto" w:fill="auto"/>
            <w:vAlign w:val="center"/>
          </w:tcPr>
          <w:p w:rsidR="00860E78" w:rsidRPr="00666BAC" w:rsidRDefault="00414A58" w:rsidP="00860E78">
            <w:pPr>
              <w:keepNext/>
              <w:keepLines/>
              <w:rPr>
                <w:sz w:val="20"/>
                <w:szCs w:val="20"/>
              </w:rPr>
            </w:pPr>
            <w:r w:rsidRPr="00666BAC">
              <w:rPr>
                <w:sz w:val="20"/>
                <w:szCs w:val="20"/>
              </w:rPr>
              <w:t>51%</w:t>
            </w:r>
          </w:p>
        </w:tc>
      </w:tr>
      <w:tr w:rsidR="00CD60EB" w:rsidRPr="00666BAC" w:rsidTr="00CD60EB">
        <w:trPr>
          <w:trHeight w:val="958"/>
        </w:trPr>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Unexpected treatment outcome</w:t>
            </w:r>
          </w:p>
        </w:tc>
        <w:tc>
          <w:tcPr>
            <w:tcW w:w="297"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42%</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 xml:space="preserve">inappropriate </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examination/</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assessment</w:t>
            </w:r>
          </w:p>
        </w:tc>
        <w:tc>
          <w:tcPr>
            <w:tcW w:w="301"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30%</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treatment</w:t>
            </w:r>
          </w:p>
        </w:tc>
        <w:tc>
          <w:tcPr>
            <w:tcW w:w="298"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37%</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treatment</w:t>
            </w:r>
          </w:p>
        </w:tc>
        <w:tc>
          <w:tcPr>
            <w:tcW w:w="301"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40%</w:t>
            </w:r>
          </w:p>
        </w:tc>
        <w:tc>
          <w:tcPr>
            <w:tcW w:w="701" w:type="pct"/>
            <w:shd w:val="clear" w:color="auto" w:fill="auto"/>
            <w:vAlign w:val="center"/>
          </w:tcPr>
          <w:p w:rsidR="00CD60EB" w:rsidRPr="00666BAC" w:rsidRDefault="00CD60EB" w:rsidP="00CD60EB">
            <w:pPr>
              <w:keepNext/>
              <w:keepLines/>
              <w:jc w:val="left"/>
              <w:rPr>
                <w:sz w:val="20"/>
                <w:szCs w:val="20"/>
              </w:rPr>
            </w:pPr>
            <w:r w:rsidRPr="00666BAC">
              <w:rPr>
                <w:sz w:val="20"/>
                <w:szCs w:val="20"/>
              </w:rPr>
              <w:t>Unexpected treatment outcome</w:t>
            </w:r>
          </w:p>
        </w:tc>
        <w:tc>
          <w:tcPr>
            <w:tcW w:w="295" w:type="pct"/>
            <w:shd w:val="clear" w:color="auto" w:fill="auto"/>
            <w:vAlign w:val="center"/>
          </w:tcPr>
          <w:p w:rsidR="00CD60EB" w:rsidRPr="00666BAC" w:rsidRDefault="00CD60EB" w:rsidP="00CD60EB">
            <w:pPr>
              <w:keepNext/>
              <w:keepLines/>
              <w:rPr>
                <w:sz w:val="20"/>
                <w:szCs w:val="20"/>
              </w:rPr>
            </w:pPr>
            <w:r w:rsidRPr="00666BAC">
              <w:rPr>
                <w:sz w:val="20"/>
                <w:szCs w:val="20"/>
              </w:rPr>
              <w:t>36%</w:t>
            </w:r>
          </w:p>
        </w:tc>
      </w:tr>
      <w:tr w:rsidR="00CD60EB" w:rsidRPr="00666BAC" w:rsidTr="00CD60EB">
        <w:trPr>
          <w:trHeight w:val="958"/>
        </w:trPr>
        <w:tc>
          <w:tcPr>
            <w:tcW w:w="701" w:type="pct"/>
            <w:vAlign w:val="center"/>
          </w:tcPr>
          <w:p w:rsidR="00F370CD" w:rsidRPr="00666BAC" w:rsidRDefault="00F370CD" w:rsidP="00F370CD">
            <w:pPr>
              <w:keepNext/>
              <w:keepLines/>
              <w:tabs>
                <w:tab w:val="left" w:pos="1440"/>
                <w:tab w:val="decimal" w:pos="4320"/>
              </w:tabs>
              <w:jc w:val="left"/>
              <w:outlineLvl w:val="0"/>
              <w:rPr>
                <w:sz w:val="20"/>
                <w:szCs w:val="20"/>
              </w:rPr>
            </w:pPr>
            <w:r w:rsidRPr="00666BAC">
              <w:rPr>
                <w:sz w:val="20"/>
                <w:szCs w:val="20"/>
              </w:rPr>
              <w:t>Inadequate/</w:t>
            </w:r>
          </w:p>
          <w:p w:rsidR="00F370CD" w:rsidRPr="00666BAC" w:rsidRDefault="00F370CD" w:rsidP="00F370CD">
            <w:pPr>
              <w:keepNext/>
              <w:keepLines/>
              <w:tabs>
                <w:tab w:val="left" w:pos="1440"/>
                <w:tab w:val="decimal" w:pos="4320"/>
              </w:tabs>
              <w:jc w:val="left"/>
              <w:outlineLvl w:val="0"/>
              <w:rPr>
                <w:sz w:val="20"/>
                <w:szCs w:val="20"/>
              </w:rPr>
            </w:pPr>
            <w:r w:rsidRPr="00666BAC">
              <w:rPr>
                <w:sz w:val="20"/>
                <w:szCs w:val="20"/>
              </w:rPr>
              <w:t xml:space="preserve">inappropriate </w:t>
            </w:r>
          </w:p>
          <w:p w:rsidR="00F370CD" w:rsidRPr="00666BAC" w:rsidRDefault="00F370CD" w:rsidP="00F370CD">
            <w:pPr>
              <w:keepNext/>
              <w:keepLines/>
              <w:tabs>
                <w:tab w:val="left" w:pos="1440"/>
                <w:tab w:val="decimal" w:pos="4320"/>
              </w:tabs>
              <w:jc w:val="left"/>
              <w:outlineLvl w:val="0"/>
              <w:rPr>
                <w:sz w:val="20"/>
                <w:szCs w:val="20"/>
              </w:rPr>
            </w:pPr>
            <w:r w:rsidRPr="00666BAC">
              <w:rPr>
                <w:sz w:val="20"/>
                <w:szCs w:val="20"/>
              </w:rPr>
              <w:t>examination/</w:t>
            </w:r>
          </w:p>
          <w:p w:rsidR="00CD60EB" w:rsidRPr="00666BAC" w:rsidRDefault="00F370CD" w:rsidP="00F370CD">
            <w:pPr>
              <w:keepNext/>
              <w:keepLines/>
              <w:tabs>
                <w:tab w:val="left" w:pos="1440"/>
                <w:tab w:val="decimal" w:pos="4320"/>
              </w:tabs>
              <w:jc w:val="left"/>
              <w:outlineLvl w:val="0"/>
              <w:rPr>
                <w:sz w:val="20"/>
                <w:szCs w:val="20"/>
              </w:rPr>
            </w:pPr>
            <w:r w:rsidRPr="00666BAC">
              <w:rPr>
                <w:sz w:val="20"/>
                <w:szCs w:val="20"/>
              </w:rPr>
              <w:t>assessment</w:t>
            </w:r>
          </w:p>
        </w:tc>
        <w:tc>
          <w:tcPr>
            <w:tcW w:w="297" w:type="pct"/>
            <w:vAlign w:val="center"/>
          </w:tcPr>
          <w:p w:rsidR="00CD60EB" w:rsidRPr="00666BAC" w:rsidRDefault="00F370CD" w:rsidP="00CD60EB">
            <w:pPr>
              <w:keepNext/>
              <w:keepLines/>
              <w:tabs>
                <w:tab w:val="left" w:pos="1440"/>
                <w:tab w:val="decimal" w:pos="4320"/>
              </w:tabs>
              <w:jc w:val="center"/>
              <w:outlineLvl w:val="0"/>
              <w:rPr>
                <w:sz w:val="20"/>
                <w:szCs w:val="20"/>
              </w:rPr>
            </w:pPr>
            <w:r w:rsidRPr="00666BAC">
              <w:rPr>
                <w:sz w:val="20"/>
                <w:szCs w:val="20"/>
              </w:rPr>
              <w:t>29%</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Failure to communicate effectively with family</w:t>
            </w:r>
          </w:p>
        </w:tc>
        <w:tc>
          <w:tcPr>
            <w:tcW w:w="301"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27%</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Missed/</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incorrect/</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delayed diagnosis</w:t>
            </w:r>
          </w:p>
        </w:tc>
        <w:tc>
          <w:tcPr>
            <w:tcW w:w="298"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27%</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testing</w:t>
            </w:r>
          </w:p>
        </w:tc>
        <w:tc>
          <w:tcPr>
            <w:tcW w:w="301"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35%</w:t>
            </w:r>
          </w:p>
        </w:tc>
        <w:tc>
          <w:tcPr>
            <w:tcW w:w="701" w:type="pct"/>
            <w:shd w:val="clear" w:color="auto" w:fill="auto"/>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 xml:space="preserve">inappropriate </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examination/</w:t>
            </w:r>
          </w:p>
          <w:p w:rsidR="00CD60EB" w:rsidRPr="00666BAC" w:rsidRDefault="00CD60EB" w:rsidP="00CD60EB">
            <w:pPr>
              <w:keepNext/>
              <w:keepLines/>
              <w:jc w:val="left"/>
              <w:rPr>
                <w:sz w:val="20"/>
                <w:szCs w:val="20"/>
              </w:rPr>
            </w:pPr>
            <w:r w:rsidRPr="00666BAC">
              <w:rPr>
                <w:sz w:val="20"/>
                <w:szCs w:val="20"/>
              </w:rPr>
              <w:t>assessment</w:t>
            </w:r>
          </w:p>
        </w:tc>
        <w:tc>
          <w:tcPr>
            <w:tcW w:w="295" w:type="pct"/>
            <w:shd w:val="clear" w:color="auto" w:fill="auto"/>
            <w:vAlign w:val="center"/>
          </w:tcPr>
          <w:p w:rsidR="00CD60EB" w:rsidRPr="00666BAC" w:rsidRDefault="00CD60EB" w:rsidP="00CD60EB">
            <w:pPr>
              <w:keepNext/>
              <w:keepLines/>
              <w:rPr>
                <w:sz w:val="20"/>
                <w:szCs w:val="20"/>
              </w:rPr>
            </w:pPr>
            <w:r w:rsidRPr="00666BAC">
              <w:rPr>
                <w:sz w:val="20"/>
                <w:szCs w:val="20"/>
              </w:rPr>
              <w:t>32%</w:t>
            </w:r>
          </w:p>
        </w:tc>
      </w:tr>
      <w:tr w:rsidR="00CD60EB" w:rsidRPr="00666BAC" w:rsidTr="00CD60EB">
        <w:trPr>
          <w:trHeight w:val="958"/>
        </w:trPr>
        <w:tc>
          <w:tcPr>
            <w:tcW w:w="701" w:type="pct"/>
            <w:vAlign w:val="center"/>
          </w:tcPr>
          <w:p w:rsidR="00F370CD" w:rsidRPr="00666BAC" w:rsidRDefault="00F370CD" w:rsidP="00F370CD">
            <w:pPr>
              <w:keepNext/>
              <w:keepLines/>
              <w:tabs>
                <w:tab w:val="left" w:pos="1440"/>
                <w:tab w:val="decimal" w:pos="4320"/>
              </w:tabs>
              <w:jc w:val="left"/>
              <w:outlineLvl w:val="0"/>
              <w:rPr>
                <w:sz w:val="20"/>
                <w:szCs w:val="20"/>
              </w:rPr>
            </w:pPr>
            <w:r w:rsidRPr="00666BAC">
              <w:rPr>
                <w:sz w:val="20"/>
                <w:szCs w:val="20"/>
              </w:rPr>
              <w:t>Inadequate coordination of care/</w:t>
            </w:r>
          </w:p>
          <w:p w:rsidR="00CD60EB" w:rsidRPr="00666BAC" w:rsidRDefault="00F370CD" w:rsidP="00F370CD">
            <w:pPr>
              <w:keepNext/>
              <w:keepLines/>
              <w:tabs>
                <w:tab w:val="left" w:pos="1440"/>
                <w:tab w:val="decimal" w:pos="4320"/>
              </w:tabs>
              <w:jc w:val="left"/>
              <w:outlineLvl w:val="0"/>
              <w:rPr>
                <w:sz w:val="20"/>
                <w:szCs w:val="20"/>
              </w:rPr>
            </w:pPr>
            <w:r w:rsidRPr="00666BAC">
              <w:rPr>
                <w:sz w:val="20"/>
                <w:szCs w:val="20"/>
              </w:rPr>
              <w:t>treatment</w:t>
            </w:r>
          </w:p>
        </w:tc>
        <w:tc>
          <w:tcPr>
            <w:tcW w:w="297" w:type="pct"/>
            <w:vAlign w:val="center"/>
          </w:tcPr>
          <w:p w:rsidR="00CD60EB" w:rsidRPr="00666BAC" w:rsidRDefault="00F370CD" w:rsidP="00CD60EB">
            <w:pPr>
              <w:keepNext/>
              <w:keepLines/>
              <w:tabs>
                <w:tab w:val="left" w:pos="1440"/>
                <w:tab w:val="decimal" w:pos="4320"/>
              </w:tabs>
              <w:jc w:val="center"/>
              <w:outlineLvl w:val="0"/>
              <w:rPr>
                <w:sz w:val="20"/>
                <w:szCs w:val="20"/>
              </w:rPr>
            </w:pPr>
            <w:r w:rsidRPr="00666BAC">
              <w:rPr>
                <w:sz w:val="20"/>
                <w:szCs w:val="20"/>
              </w:rPr>
              <w:t>26%</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Disrespectful manner/</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attitude</w:t>
            </w:r>
          </w:p>
        </w:tc>
        <w:tc>
          <w:tcPr>
            <w:tcW w:w="301"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23%</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298"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25%</w:t>
            </w:r>
          </w:p>
        </w:tc>
        <w:tc>
          <w:tcPr>
            <w:tcW w:w="701"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301" w:type="pct"/>
            <w:vAlign w:val="center"/>
          </w:tcPr>
          <w:p w:rsidR="00CD60EB" w:rsidRPr="00666BAC" w:rsidRDefault="00CD60EB" w:rsidP="00CD60EB">
            <w:pPr>
              <w:keepNext/>
              <w:keepLines/>
              <w:tabs>
                <w:tab w:val="left" w:pos="1440"/>
                <w:tab w:val="decimal" w:pos="4320"/>
              </w:tabs>
              <w:jc w:val="center"/>
              <w:outlineLvl w:val="0"/>
              <w:rPr>
                <w:sz w:val="20"/>
                <w:szCs w:val="20"/>
              </w:rPr>
            </w:pPr>
            <w:r w:rsidRPr="00666BAC">
              <w:rPr>
                <w:sz w:val="20"/>
                <w:szCs w:val="20"/>
              </w:rPr>
              <w:t>34%</w:t>
            </w:r>
          </w:p>
        </w:tc>
        <w:tc>
          <w:tcPr>
            <w:tcW w:w="701" w:type="pct"/>
            <w:shd w:val="clear" w:color="auto" w:fill="auto"/>
            <w:vAlign w:val="center"/>
          </w:tcPr>
          <w:p w:rsidR="00CD60EB" w:rsidRPr="00666BAC" w:rsidRDefault="00CD60EB" w:rsidP="00CD60EB">
            <w:pPr>
              <w:keepNext/>
              <w:keepLines/>
              <w:jc w:val="left"/>
              <w:rPr>
                <w:sz w:val="20"/>
                <w:szCs w:val="20"/>
              </w:rPr>
            </w:pPr>
            <w:r w:rsidRPr="00666BAC">
              <w:rPr>
                <w:sz w:val="20"/>
                <w:szCs w:val="20"/>
              </w:rPr>
              <w:t>Delay in treatment</w:t>
            </w:r>
          </w:p>
        </w:tc>
        <w:tc>
          <w:tcPr>
            <w:tcW w:w="295" w:type="pct"/>
            <w:shd w:val="clear" w:color="auto" w:fill="auto"/>
            <w:vAlign w:val="center"/>
          </w:tcPr>
          <w:p w:rsidR="00CD60EB" w:rsidRPr="00666BAC" w:rsidRDefault="00CD60EB" w:rsidP="00CD60EB">
            <w:pPr>
              <w:keepNext/>
              <w:keepLines/>
              <w:rPr>
                <w:sz w:val="20"/>
                <w:szCs w:val="20"/>
              </w:rPr>
            </w:pPr>
            <w:r w:rsidRPr="00666BAC">
              <w:rPr>
                <w:sz w:val="20"/>
                <w:szCs w:val="20"/>
              </w:rPr>
              <w:t>32%</w:t>
            </w:r>
          </w:p>
        </w:tc>
      </w:tr>
    </w:tbl>
    <w:p w:rsidR="00860E78" w:rsidRPr="00666BAC" w:rsidRDefault="00860E78" w:rsidP="00860E78"/>
    <w:p w:rsidR="00AC33D1" w:rsidRPr="00666BAC" w:rsidRDefault="00AC33D1" w:rsidP="000D5D72">
      <w:pPr>
        <w:rPr>
          <w:b/>
          <w:szCs w:val="22"/>
        </w:rPr>
      </w:pPr>
    </w:p>
    <w:p w:rsidR="00AC33D1" w:rsidRPr="00666BAC" w:rsidRDefault="00AC33D1"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Default="001A01EA" w:rsidP="000D5D72"/>
    <w:p w:rsidR="00D2280E" w:rsidRPr="00666BAC" w:rsidRDefault="00D2280E"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p w:rsidR="001A01EA" w:rsidRPr="00666BAC" w:rsidRDefault="001A01EA" w:rsidP="000D5D72"/>
    <w:tbl>
      <w:tblPr>
        <w:tblStyle w:val="TableGrid"/>
        <w:tblW w:w="0" w:type="auto"/>
        <w:tblLook w:val="04A0" w:firstRow="1" w:lastRow="0" w:firstColumn="1" w:lastColumn="0" w:noHBand="0" w:noVBand="1"/>
      </w:tblPr>
      <w:tblGrid>
        <w:gridCol w:w="9298"/>
      </w:tblGrid>
      <w:tr w:rsidR="000801BA" w:rsidRPr="00666BAC" w:rsidTr="00E5458A">
        <w:tc>
          <w:tcPr>
            <w:tcW w:w="9298" w:type="dxa"/>
            <w:tcBorders>
              <w:top w:val="single" w:sz="24" w:space="0" w:color="C00000"/>
              <w:left w:val="single" w:sz="24" w:space="0" w:color="C00000"/>
              <w:bottom w:val="single" w:sz="24" w:space="0" w:color="C00000"/>
              <w:right w:val="single" w:sz="24" w:space="0" w:color="C00000"/>
            </w:tcBorders>
          </w:tcPr>
          <w:p w:rsidR="00E1701B" w:rsidRPr="00666BAC" w:rsidRDefault="00E1701B" w:rsidP="00E1701B">
            <w:pPr>
              <w:tabs>
                <w:tab w:val="left" w:pos="1440"/>
                <w:tab w:val="left" w:pos="2610"/>
              </w:tabs>
              <w:spacing w:before="120"/>
              <w:jc w:val="center"/>
              <w:outlineLvl w:val="0"/>
              <w:rPr>
                <w:b/>
                <w:szCs w:val="22"/>
              </w:rPr>
            </w:pPr>
            <w:r w:rsidRPr="00666BAC">
              <w:rPr>
                <w:b/>
                <w:sz w:val="28"/>
                <w:szCs w:val="28"/>
              </w:rPr>
              <w:t>Case study: Emergency department and a</w:t>
            </w:r>
            <w:r w:rsidR="00666BAC" w:rsidRPr="00666BAC">
              <w:rPr>
                <w:b/>
                <w:sz w:val="28"/>
                <w:szCs w:val="28"/>
              </w:rPr>
              <w:t>n</w:t>
            </w:r>
            <w:r w:rsidRPr="00666BAC">
              <w:rPr>
                <w:b/>
                <w:sz w:val="28"/>
                <w:szCs w:val="28"/>
              </w:rPr>
              <w:t xml:space="preserve"> </w:t>
            </w:r>
            <w:r w:rsidR="00934256" w:rsidRPr="00666BAC">
              <w:rPr>
                <w:b/>
                <w:sz w:val="28"/>
                <w:szCs w:val="28"/>
              </w:rPr>
              <w:t>inadequate/inappropriate examination/assessment</w:t>
            </w:r>
            <w:r w:rsidRPr="00666BAC">
              <w:rPr>
                <w:b/>
                <w:sz w:val="28"/>
                <w:szCs w:val="28"/>
              </w:rPr>
              <w:t xml:space="preserve"> </w:t>
            </w:r>
            <w:r w:rsidRPr="00666BAC">
              <w:rPr>
                <w:b/>
                <w:szCs w:val="22"/>
              </w:rPr>
              <w:t>(14HDC01187)</w:t>
            </w:r>
          </w:p>
          <w:p w:rsidR="00E1701B" w:rsidRPr="00666BAC" w:rsidRDefault="00E1701B" w:rsidP="00E1701B">
            <w:pPr>
              <w:tabs>
                <w:tab w:val="left" w:pos="720"/>
                <w:tab w:val="left" w:pos="1134"/>
              </w:tabs>
              <w:spacing w:after="240"/>
              <w:rPr>
                <w:szCs w:val="22"/>
              </w:rPr>
            </w:pPr>
          </w:p>
          <w:p w:rsidR="000753FC" w:rsidRPr="00666BAC" w:rsidRDefault="000753FC" w:rsidP="00E1701B">
            <w:pPr>
              <w:spacing w:after="120"/>
              <w:rPr>
                <w:szCs w:val="22"/>
              </w:rPr>
            </w:pPr>
            <w:r w:rsidRPr="00666BAC">
              <w:rPr>
                <w:szCs w:val="22"/>
              </w:rPr>
              <w:t>Miss A, a nearly three year old child, had a cough and a runny nose. Her condition worsened over the next few days. On the fifth day, Miss A awoke with a fever shortly after midnight and her mother took her to the Emergency Department (ED) at a public hospital.</w:t>
            </w:r>
          </w:p>
          <w:p w:rsidR="000801BA" w:rsidRPr="00666BAC" w:rsidRDefault="000753FC" w:rsidP="00E1701B">
            <w:pPr>
              <w:spacing w:after="120"/>
            </w:pPr>
            <w:r w:rsidRPr="00666BAC">
              <w:rPr>
                <w:szCs w:val="22"/>
              </w:rPr>
              <w:t xml:space="preserve">On arrival, Miss A had a cough, </w:t>
            </w:r>
            <w:r w:rsidRPr="00666BAC">
              <w:t>a temperature of 38.5°C (which soon increased to 39.3°C), and an increased heart rate. She was assessed by two doctors, and following cooling techniques and the administration of paracetamol and ibuprofen, her temperature reduced to 37.4°C and her heart rate also reduced. She was discharged home with the instruction to return if there were any concerns. The dischar</w:t>
            </w:r>
            <w:r w:rsidR="00666BAC" w:rsidRPr="00666BAC">
              <w:t>ging doctor requested that the P</w:t>
            </w:r>
            <w:r w:rsidRPr="00666BAC">
              <w:t xml:space="preserve">aediatric Department call the family to follow-up but this did not occur. </w:t>
            </w:r>
          </w:p>
          <w:p w:rsidR="000753FC" w:rsidRPr="00666BAC" w:rsidRDefault="000753FC" w:rsidP="000753FC">
            <w:pPr>
              <w:spacing w:after="120"/>
              <w:rPr>
                <w:szCs w:val="22"/>
              </w:rPr>
            </w:pPr>
            <w:r w:rsidRPr="00666BAC">
              <w:rPr>
                <w:szCs w:val="22"/>
              </w:rPr>
              <w:t>Throughout the next two days Miss A was lethargic, slept frequently, refused food bu</w:t>
            </w:r>
            <w:r w:rsidR="00666BAC" w:rsidRPr="00666BAC">
              <w:rPr>
                <w:szCs w:val="22"/>
              </w:rPr>
              <w:t>t continued to drink water. Her</w:t>
            </w:r>
            <w:r w:rsidRPr="00666BAC">
              <w:rPr>
                <w:szCs w:val="22"/>
              </w:rPr>
              <w:t xml:space="preserve"> fever was managed with paracetamol and ibuprofen. On the second day, Miss A began to make a wheezing noise when exhaling. Her wheezing worsened and her mother took her back to the ED where they arrived at 9.14pm.</w:t>
            </w:r>
          </w:p>
          <w:p w:rsidR="00934256" w:rsidRPr="00666BAC" w:rsidRDefault="000753FC" w:rsidP="00934256">
            <w:pPr>
              <w:tabs>
                <w:tab w:val="left" w:pos="720"/>
                <w:tab w:val="left" w:pos="1134"/>
              </w:tabs>
              <w:spacing w:before="120" w:after="120"/>
            </w:pPr>
            <w:r w:rsidRPr="00666BAC">
              <w:rPr>
                <w:szCs w:val="22"/>
              </w:rPr>
              <w:t xml:space="preserve">On arrival, Miss A was triaged as category 2 (to be seen within 10 minutes). </w:t>
            </w:r>
            <w:r w:rsidR="004F4A2F">
              <w:t>Her</w:t>
            </w:r>
            <w:r w:rsidRPr="00666BAC">
              <w:t xml:space="preserve"> temperature was 37.3°C, her heart rate was 170-175 beats per minute, and her respiratory rate was 44 breaths per minute.</w:t>
            </w:r>
            <w:r w:rsidR="00934256" w:rsidRPr="00666BAC">
              <w:t xml:space="preserve"> </w:t>
            </w:r>
            <w:r w:rsidR="004F4A2F">
              <w:t>She</w:t>
            </w:r>
            <w:r w:rsidR="00934256" w:rsidRPr="00666BAC">
              <w:t xml:space="preserve"> was assessed by a house officer, Dr C, who discussed her presentation with </w:t>
            </w:r>
            <w:r w:rsidR="00666BAC" w:rsidRPr="00666BAC">
              <w:t>the supervising consultant (Dr B). Dr B</w:t>
            </w:r>
            <w:r w:rsidR="00934256" w:rsidRPr="00666BAC">
              <w:t xml:space="preserve"> did not assess Miss A personally. Dr C recorded an impression of a viral illness, and Miss A was discharged home at 10:07pm. Dr C did not document any discharge information provided to Miss A’s parents, and he did not request a follow-up telephone call from the Paediatric Department.</w:t>
            </w:r>
          </w:p>
          <w:p w:rsidR="00934256" w:rsidRPr="00666BAC" w:rsidRDefault="00934256" w:rsidP="00934256">
            <w:pPr>
              <w:tabs>
                <w:tab w:val="left" w:pos="720"/>
                <w:tab w:val="left" w:pos="1134"/>
              </w:tabs>
              <w:spacing w:before="120" w:after="120"/>
            </w:pPr>
            <w:r w:rsidRPr="00666BAC">
              <w:t>At 7am the following day, Miss A’s temperature had increased to 40.2°C and her mother called the ED for advice. She was</w:t>
            </w:r>
            <w:r w:rsidR="004F4A2F">
              <w:t xml:space="preserve"> instead</w:t>
            </w:r>
            <w:r w:rsidRPr="00666BAC">
              <w:t xml:space="preserve"> trans</w:t>
            </w:r>
            <w:r w:rsidR="004F4A2F">
              <w:t xml:space="preserve">ferred to a telehealth service and </w:t>
            </w:r>
            <w:r w:rsidRPr="00666BAC">
              <w:t>spoke with a registered nurse (RN). Miss A’s mother t</w:t>
            </w:r>
            <w:r w:rsidR="00666BAC" w:rsidRPr="00666BAC">
              <w:t>old the RN Miss A’s temperature</w:t>
            </w:r>
            <w:r w:rsidRPr="00666BAC">
              <w:t xml:space="preserve"> and that they had been to ED twice in two days. Miss A’s breathing was audible to the RN throughout the call. The mother ended the call after 3 minutes and 12 seconds, before the RN had completed triage, telling the RN that she was “going to go”. The RN did not call her back or contact the telehealth service’s resource nurse for advice. At approximately 1pm Miss A stopped breathing. Her mother called an ambulance and Miss A was taken to the ED. Attempts to resuscitate her were unsuccessful.  </w:t>
            </w:r>
          </w:p>
          <w:p w:rsidR="00934256" w:rsidRPr="00666BAC" w:rsidRDefault="00934256" w:rsidP="00934256">
            <w:pPr>
              <w:tabs>
                <w:tab w:val="left" w:pos="720"/>
                <w:tab w:val="left" w:pos="1134"/>
              </w:tabs>
              <w:spacing w:before="120" w:after="120"/>
              <w:rPr>
                <w:szCs w:val="22"/>
              </w:rPr>
            </w:pPr>
            <w:r w:rsidRPr="00666BAC">
              <w:t>The telehealt</w:t>
            </w:r>
            <w:r w:rsidR="000128B9">
              <w:t>h RN</w:t>
            </w:r>
            <w:r w:rsidRPr="00666BAC">
              <w:t xml:space="preserve"> did not rule out all of the girl’s relevant emergent symptoms, nor did he triage her clinical presentation within an acceptable timeframe, and therefore did not provide appropriate advice to her mother. Furthermore, he did not advise Miss A’s mother to take Miss A back to ED or verify that she intended to do so, and he failed to take appropriate steps when Miss A’s mother ended the call. For these reasons the Commissioner considered that the </w:t>
            </w:r>
            <w:r w:rsidR="000128B9">
              <w:t>RN</w:t>
            </w:r>
            <w:r w:rsidRPr="00666BAC">
              <w:t xml:space="preserve"> failed to provide services to Miss A with appropriate care and skill</w:t>
            </w:r>
            <w:r w:rsidRPr="00666BAC">
              <w:rPr>
                <w:szCs w:val="22"/>
              </w:rPr>
              <w:t xml:space="preserve"> in breach of Right 4(1) of the Code.</w:t>
            </w:r>
          </w:p>
          <w:p w:rsidR="00934256" w:rsidRPr="00666BAC" w:rsidRDefault="00934256" w:rsidP="00934256">
            <w:pPr>
              <w:tabs>
                <w:tab w:val="left" w:pos="720"/>
                <w:tab w:val="left" w:pos="1134"/>
              </w:tabs>
              <w:spacing w:before="120" w:after="120"/>
              <w:rPr>
                <w:szCs w:val="22"/>
              </w:rPr>
            </w:pPr>
            <w:r w:rsidRPr="00666BAC">
              <w:rPr>
                <w:szCs w:val="22"/>
              </w:rPr>
              <w:t>The Commissioner considered that as the senior doctor supervising a house officer, and as the clinician with overall responsibility for Miss A’s care, it was Dr B’s duty to ensure that he had the relevant information about Miss A’s condition before agreeing with the decision to discharge her. By approving Miss A’s discharge home following her second presentation to ED without first taking sufficient steps to investigate the cause of her presenting symptoms, Dr B failed to provide Miss A with services with appropriate care and skill</w:t>
            </w:r>
            <w:r w:rsidR="00666BAC" w:rsidRPr="00666BAC">
              <w:rPr>
                <w:szCs w:val="22"/>
              </w:rPr>
              <w:t>,</w:t>
            </w:r>
            <w:r w:rsidRPr="00666BAC">
              <w:rPr>
                <w:szCs w:val="22"/>
              </w:rPr>
              <w:t xml:space="preserve"> in breach of Right 4(1) of the Code.  The Commissioner was also critical of Dr C for discharging Miss A home without further investigation and for the quality of his documentation.</w:t>
            </w:r>
          </w:p>
          <w:p w:rsidR="00934256" w:rsidRPr="00666BAC" w:rsidRDefault="00934256" w:rsidP="00934256">
            <w:pPr>
              <w:tabs>
                <w:tab w:val="left" w:pos="720"/>
                <w:tab w:val="left" w:pos="1134"/>
              </w:tabs>
              <w:spacing w:after="240"/>
            </w:pPr>
            <w:r w:rsidRPr="00666BAC">
              <w:rPr>
                <w:szCs w:val="22"/>
              </w:rPr>
              <w:t xml:space="preserve">The Commissioner considered that there were service failures in the care provided to Miss A that were directly attributable to the DHB as the service operator, and that the failures exhibited a pattern of suboptimal care. DHB staff inappropriately discharged Miss A home following her second presentation to ED without first taking steps to consider her history and investigate the cause of her </w:t>
            </w:r>
            <w:r w:rsidR="004F4A2F">
              <w:rPr>
                <w:szCs w:val="22"/>
              </w:rPr>
              <w:t>presenting symptoms. S</w:t>
            </w:r>
            <w:r w:rsidRPr="00666BAC">
              <w:rPr>
                <w:szCs w:val="22"/>
              </w:rPr>
              <w:t>taff also failed, on two occasions, to provide adequate discharge information to Miss A’s family. The Commissioner also considered that the DHB’s system for paediatric follow-up was not sufficiently robust to ensure that follow-up would occur when requested.</w:t>
            </w:r>
            <w:r w:rsidR="00666BAC" w:rsidRPr="00666BAC">
              <w:rPr>
                <w:szCs w:val="22"/>
              </w:rPr>
              <w:t xml:space="preserve"> Additionally, the DHB</w:t>
            </w:r>
            <w:r w:rsidRPr="00666BAC">
              <w:rPr>
                <w:szCs w:val="22"/>
              </w:rPr>
              <w:t xml:space="preserve"> failed to encourage a culture where staff</w:t>
            </w:r>
            <w:r w:rsidR="004F4A2F">
              <w:rPr>
                <w:szCs w:val="22"/>
              </w:rPr>
              <w:t xml:space="preserve"> felt comfortable questioning or</w:t>
            </w:r>
            <w:r w:rsidRPr="00666BAC">
              <w:rPr>
                <w:szCs w:val="22"/>
              </w:rPr>
              <w:t xml:space="preserve"> challenging decisions and lacked a multi-disciplinary approach to Miss A’s care. </w:t>
            </w:r>
            <w:r w:rsidRPr="00666BAC">
              <w:t>The Commissioner considered that the DHB team had sufficient information to provide Miss A with appropriate care, however, a series of judgement and communication failures meant that it did not do so. Accordingly, the Commissioner found that the DHB failed to provide services to the girl with reasonable care and skill</w:t>
            </w:r>
            <w:r w:rsidR="00666BAC" w:rsidRPr="00666BAC">
              <w:t>,</w:t>
            </w:r>
            <w:r w:rsidRPr="00666BAC">
              <w:t xml:space="preserve"> in breach of Right 4(1) of the Code. </w:t>
            </w:r>
          </w:p>
          <w:p w:rsidR="00934256" w:rsidRPr="00666BAC" w:rsidRDefault="00934256" w:rsidP="00934256">
            <w:pPr>
              <w:tabs>
                <w:tab w:val="left" w:pos="720"/>
                <w:tab w:val="left" w:pos="1134"/>
              </w:tabs>
              <w:spacing w:before="120" w:after="120"/>
              <w:rPr>
                <w:szCs w:val="22"/>
              </w:rPr>
            </w:pPr>
            <w:r w:rsidRPr="00666BAC">
              <w:rPr>
                <w:szCs w:val="22"/>
              </w:rPr>
              <w:t>In response to this case, the Commissioner commented that “</w:t>
            </w:r>
            <w:r w:rsidRPr="00666BAC">
              <w:t>Any individual in the clinical team should be able to ask questions or challenge decisions at any time, and it is important that employers such as DHBs encourage such a culture. Good support systems (including the safety net of vigilant senior nurses and readily available consultants) are also crucial”</w:t>
            </w:r>
          </w:p>
          <w:p w:rsidR="00934256" w:rsidRPr="00666BAC" w:rsidRDefault="00934256" w:rsidP="00934256">
            <w:pPr>
              <w:pStyle w:val="NoSpacing"/>
              <w:spacing w:before="120" w:after="120"/>
              <w:rPr>
                <w:rFonts w:cs="Times New Roman"/>
                <w:lang w:val="en-NZ"/>
              </w:rPr>
            </w:pPr>
            <w:r w:rsidRPr="00666BAC">
              <w:rPr>
                <w:rFonts w:cs="Times New Roman"/>
                <w:lang w:val="en-NZ"/>
              </w:rPr>
              <w:t>The Commissioner made a number of recommendations to the DHB, including that it:</w:t>
            </w:r>
          </w:p>
          <w:p w:rsidR="00934256" w:rsidRPr="00666BAC" w:rsidRDefault="00934256" w:rsidP="00934256">
            <w:pPr>
              <w:pStyle w:val="NoSpacing"/>
              <w:numPr>
                <w:ilvl w:val="0"/>
                <w:numId w:val="22"/>
              </w:numPr>
              <w:spacing w:before="120" w:after="120"/>
              <w:rPr>
                <w:rFonts w:cs="Times New Roman"/>
                <w:lang w:val="en-NZ"/>
              </w:rPr>
            </w:pPr>
            <w:r w:rsidRPr="00666BAC">
              <w:rPr>
                <w:rFonts w:cs="Times New Roman"/>
                <w:lang w:val="en-NZ"/>
              </w:rPr>
              <w:t>conduct an audit of all unplanned re-presentations to ED, by patients under 5 years of age, within 48 hours of discharge, to measure compliance with: the requirement for assessment by a consultant or senior registrar prior to discharge, the requirement for nursing/medical consultation prior to discharge, and the requirement for a follow-up phone call from paediatric staff to families following referral;</w:t>
            </w:r>
          </w:p>
          <w:p w:rsidR="00934256" w:rsidRPr="00666BAC" w:rsidRDefault="00934256" w:rsidP="00934256">
            <w:pPr>
              <w:pStyle w:val="NoSpacing"/>
              <w:numPr>
                <w:ilvl w:val="0"/>
                <w:numId w:val="22"/>
              </w:numPr>
              <w:spacing w:before="120" w:after="120"/>
              <w:rPr>
                <w:rFonts w:cs="Times New Roman"/>
                <w:lang w:val="en-NZ"/>
              </w:rPr>
            </w:pPr>
            <w:r w:rsidRPr="00666BAC">
              <w:rPr>
                <w:rFonts w:cs="Times New Roman"/>
                <w:lang w:val="en-NZ"/>
              </w:rPr>
              <w:t>commission an independent review of senior/junior staff rostering to establish whether sufficient levels of supervision are available for junior staff working in ED;</w:t>
            </w:r>
          </w:p>
          <w:p w:rsidR="00934256" w:rsidRPr="00666BAC" w:rsidRDefault="00934256" w:rsidP="00934256">
            <w:pPr>
              <w:pStyle w:val="NoSpacing"/>
              <w:numPr>
                <w:ilvl w:val="0"/>
                <w:numId w:val="22"/>
              </w:numPr>
              <w:spacing w:before="120" w:after="120"/>
              <w:rPr>
                <w:rFonts w:cs="Times New Roman"/>
                <w:lang w:val="en-NZ"/>
              </w:rPr>
            </w:pPr>
            <w:r w:rsidRPr="00666BAC">
              <w:rPr>
                <w:rFonts w:cs="Times New Roman"/>
                <w:lang w:val="en-NZ"/>
              </w:rPr>
              <w:t>include in its training and induction for all staff, information that the practice at the DHB is that of asking questions and reporting of concerns is expected and accepted from all members of the multidisciplinary team;</w:t>
            </w:r>
          </w:p>
          <w:p w:rsidR="00934256" w:rsidRPr="00666BAC" w:rsidRDefault="00934256" w:rsidP="00934256">
            <w:pPr>
              <w:pStyle w:val="NoSpacing"/>
              <w:numPr>
                <w:ilvl w:val="0"/>
                <w:numId w:val="22"/>
              </w:numPr>
              <w:spacing w:before="120" w:after="120"/>
              <w:rPr>
                <w:rFonts w:cs="Times New Roman"/>
                <w:lang w:val="en-NZ"/>
              </w:rPr>
            </w:pPr>
            <w:r w:rsidRPr="00666BAC">
              <w:rPr>
                <w:rFonts w:cs="Times New Roman"/>
                <w:lang w:val="en-NZ"/>
              </w:rPr>
              <w:t>update HDC on the completion of outstanding recommendations from its Serious Adverse Event Review, and monitoring of ongoing changes made; and</w:t>
            </w:r>
          </w:p>
          <w:p w:rsidR="000753FC" w:rsidRPr="00666BAC" w:rsidRDefault="00934256" w:rsidP="00E1701B">
            <w:pPr>
              <w:pStyle w:val="NoSpacing"/>
              <w:numPr>
                <w:ilvl w:val="0"/>
                <w:numId w:val="22"/>
              </w:numPr>
              <w:spacing w:before="120" w:after="120"/>
              <w:rPr>
                <w:rFonts w:cs="Times New Roman"/>
                <w:lang w:val="en-NZ"/>
              </w:rPr>
            </w:pPr>
            <w:r w:rsidRPr="00666BAC">
              <w:rPr>
                <w:rFonts w:cs="Times New Roman"/>
                <w:lang w:val="en-NZ"/>
              </w:rPr>
              <w:t xml:space="preserve">review its Memorandum of Understanding between the Emergency Department and Paediatric Department and its policy for transfer to the telehealth service (particularly whether specific instructions should be included to cover the circumstance where a person has been discharged from ED and advised to return if symptoms persist). </w:t>
            </w:r>
          </w:p>
        </w:tc>
      </w:tr>
    </w:tbl>
    <w:p w:rsidR="000801BA" w:rsidRPr="00666BAC" w:rsidRDefault="000801BA" w:rsidP="000801BA"/>
    <w:p w:rsidR="00AC33D1" w:rsidRPr="00666BAC" w:rsidRDefault="00AC33D1" w:rsidP="0079294B"/>
    <w:p w:rsidR="00AB0229" w:rsidRPr="00666BAC" w:rsidRDefault="00AC33D1" w:rsidP="00AB0229">
      <w:pPr>
        <w:pStyle w:val="Heading1"/>
        <w:rPr>
          <w:color w:val="C00000"/>
          <w:sz w:val="40"/>
          <w:szCs w:val="40"/>
        </w:rPr>
      </w:pPr>
      <w:r w:rsidRPr="00666BAC">
        <w:rPr>
          <w:lang w:val="en-NZ"/>
        </w:rPr>
        <w:br w:type="page"/>
      </w:r>
      <w:bookmarkStart w:id="32" w:name="_Toc438024733"/>
      <w:r w:rsidR="00AB0229" w:rsidRPr="00666BAC">
        <w:rPr>
          <w:color w:val="C00000"/>
          <w:sz w:val="40"/>
          <w:szCs w:val="40"/>
        </w:rPr>
        <w:t>COMPLAINTS CLOSED</w:t>
      </w:r>
      <w:bookmarkEnd w:id="32"/>
    </w:p>
    <w:p w:rsidR="00AB0229" w:rsidRPr="00666BAC" w:rsidRDefault="00AB0229" w:rsidP="00AB0229">
      <w:pPr>
        <w:pStyle w:val="Heading2"/>
        <w:numPr>
          <w:ilvl w:val="0"/>
          <w:numId w:val="11"/>
        </w:numPr>
        <w:spacing w:after="240"/>
        <w:ind w:hanging="720"/>
        <w:rPr>
          <w:sz w:val="36"/>
          <w:szCs w:val="36"/>
        </w:rPr>
      </w:pPr>
      <w:bookmarkStart w:id="33" w:name="_Toc404344434"/>
      <w:bookmarkStart w:id="34" w:name="_Toc438024734"/>
      <w:r w:rsidRPr="00666BAC">
        <w:rPr>
          <w:sz w:val="36"/>
          <w:szCs w:val="36"/>
        </w:rPr>
        <w:t>How many complaints were closed?</w:t>
      </w:r>
      <w:bookmarkEnd w:id="33"/>
      <w:bookmarkEnd w:id="34"/>
    </w:p>
    <w:p w:rsidR="00AB0229" w:rsidRPr="00666BAC" w:rsidRDefault="00AB0229" w:rsidP="00AB0229">
      <w:r w:rsidRPr="00666BAC">
        <w:t xml:space="preserve">HDC closed </w:t>
      </w:r>
      <w:r w:rsidR="00556009" w:rsidRPr="00666BAC">
        <w:rPr>
          <w:b/>
        </w:rPr>
        <w:t>847</w:t>
      </w:r>
      <w:r w:rsidRPr="00666BAC">
        <w:rPr>
          <w:b/>
        </w:rPr>
        <w:t xml:space="preserve"> </w:t>
      </w:r>
      <w:r w:rsidRPr="00666BAC">
        <w:t>complaint</w:t>
      </w:r>
      <w:r w:rsidR="00556009" w:rsidRPr="00666BAC">
        <w:t>s involving DHBs in the 2015/16</w:t>
      </w:r>
      <w:r w:rsidRPr="00666BAC">
        <w:t xml:space="preserve"> </w:t>
      </w:r>
      <w:r w:rsidR="00556009" w:rsidRPr="00666BAC">
        <w:t>year. This was an increase of 12</w:t>
      </w:r>
      <w:r w:rsidRPr="00666BAC">
        <w:t xml:space="preserve">% on the </w:t>
      </w:r>
      <w:r w:rsidR="00556009" w:rsidRPr="00666BAC">
        <w:t>754 complaints closed in 2014/15</w:t>
      </w:r>
      <w:r w:rsidR="000C2191" w:rsidRPr="00666BAC">
        <w:t xml:space="preserve">. </w:t>
      </w:r>
      <w:r w:rsidRPr="00666BAC">
        <w:t>As with complaints received, the number of complaints closed has been</w:t>
      </w:r>
      <w:r w:rsidR="00881B6A" w:rsidRPr="00666BAC">
        <w:t xml:space="preserve"> steadily</w:t>
      </w:r>
      <w:r w:rsidRPr="00666BAC">
        <w:t xml:space="preserve"> increasing year on year for the last fi</w:t>
      </w:r>
      <w:r w:rsidR="000801BA" w:rsidRPr="00666BAC">
        <w:t>ve financial years (see Figure 5 below</w:t>
      </w:r>
      <w:r w:rsidRPr="00666BAC">
        <w:t>).</w:t>
      </w:r>
    </w:p>
    <w:p w:rsidR="00AB0229" w:rsidRPr="00666BAC" w:rsidRDefault="00AB0229" w:rsidP="00AB0229"/>
    <w:p w:rsidR="00AB0229" w:rsidRPr="00666BAC" w:rsidRDefault="00AB0229" w:rsidP="00AB0229">
      <w:pPr>
        <w:spacing w:after="120"/>
        <w:rPr>
          <w:b/>
        </w:rPr>
      </w:pPr>
      <w:r w:rsidRPr="00666BAC">
        <w:rPr>
          <w:b/>
        </w:rPr>
        <w:t xml:space="preserve">Figure 5. </w:t>
      </w:r>
      <w:r w:rsidRPr="00666BAC">
        <w:t>Number of complaints closed</w:t>
      </w:r>
      <w:r w:rsidR="00556009" w:rsidRPr="00666BAC">
        <w:t xml:space="preserve"> about DHBs</w:t>
      </w:r>
      <w:r w:rsidRPr="00666BAC">
        <w:t xml:space="preserve"> in last five financial years</w:t>
      </w:r>
    </w:p>
    <w:p w:rsidR="00AB0229" w:rsidRPr="00666BAC" w:rsidRDefault="00556009" w:rsidP="000801BA">
      <w:pPr>
        <w:jc w:val="center"/>
      </w:pPr>
      <w:r w:rsidRPr="00666BAC">
        <w:rPr>
          <w:noProof/>
          <w:lang w:eastAsia="en-NZ" w:bidi="ar-SA"/>
        </w:rPr>
        <w:drawing>
          <wp:inline distT="0" distB="0" distL="0" distR="0" wp14:anchorId="462F39B4" wp14:editId="1CC595CB">
            <wp:extent cx="5120640" cy="3258589"/>
            <wp:effectExtent l="0" t="0" r="22860" b="184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0229" w:rsidRPr="00666BAC" w:rsidRDefault="00AB0229" w:rsidP="00AB0229"/>
    <w:p w:rsidR="00AB0229" w:rsidRPr="00666BAC" w:rsidRDefault="00AB0229" w:rsidP="00AB0229">
      <w:r w:rsidRPr="00666BAC">
        <w:t>It should be noted that complaints may be received in one financial year and closed in the following fi</w:t>
      </w:r>
      <w:r w:rsidR="00A91F8E" w:rsidRPr="00666BAC">
        <w:t xml:space="preserve">nancial year. </w:t>
      </w:r>
      <w:r w:rsidRPr="00666BAC">
        <w:t>This means that the number of complaints received will not correlate with the number of complaints closed.</w:t>
      </w:r>
    </w:p>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AB0229"/>
    <w:p w:rsidR="00611906" w:rsidRPr="00666BAC" w:rsidRDefault="00611906" w:rsidP="00611906">
      <w:pPr>
        <w:pStyle w:val="Heading2"/>
        <w:spacing w:after="240"/>
        <w:rPr>
          <w:sz w:val="36"/>
          <w:szCs w:val="36"/>
        </w:rPr>
      </w:pPr>
      <w:bookmarkStart w:id="35" w:name="_Toc398125965"/>
      <w:bookmarkStart w:id="36" w:name="_Toc404344435"/>
      <w:bookmarkStart w:id="37" w:name="_Toc438024735"/>
      <w:bookmarkStart w:id="38" w:name="_Toc384044167"/>
      <w:r w:rsidRPr="00666BAC">
        <w:rPr>
          <w:sz w:val="36"/>
          <w:szCs w:val="36"/>
        </w:rPr>
        <w:t>2.</w:t>
      </w:r>
      <w:bookmarkEnd w:id="35"/>
      <w:bookmarkEnd w:id="36"/>
      <w:bookmarkEnd w:id="37"/>
      <w:r w:rsidR="008A48D8" w:rsidRPr="00666BAC">
        <w:rPr>
          <w:sz w:val="36"/>
          <w:szCs w:val="36"/>
        </w:rPr>
        <w:t xml:space="preserve"> What were the outcomes of the complaints closed?</w:t>
      </w:r>
    </w:p>
    <w:p w:rsidR="00611906" w:rsidRPr="00666BAC" w:rsidRDefault="00611906" w:rsidP="00611906">
      <w:pPr>
        <w:pStyle w:val="Heading3"/>
        <w:rPr>
          <w:b/>
          <w:i w:val="0"/>
          <w:sz w:val="28"/>
          <w:szCs w:val="28"/>
          <w:lang w:val="en-AU" w:bidi="ar-SA"/>
        </w:rPr>
      </w:pPr>
      <w:bookmarkStart w:id="39" w:name="_Toc404344436"/>
      <w:bookmarkStart w:id="40" w:name="_Toc438024736"/>
      <w:r w:rsidRPr="00666BAC">
        <w:rPr>
          <w:b/>
          <w:i w:val="0"/>
          <w:sz w:val="28"/>
          <w:szCs w:val="28"/>
          <w:lang w:val="en-AU" w:bidi="ar-SA"/>
        </w:rPr>
        <w:t xml:space="preserve">2.1 </w:t>
      </w:r>
      <w:r w:rsidRPr="00666BAC">
        <w:rPr>
          <w:b/>
          <w:i w:val="0"/>
          <w:sz w:val="28"/>
          <w:szCs w:val="28"/>
          <w:lang w:val="en-AU" w:bidi="ar-SA"/>
        </w:rPr>
        <w:tab/>
        <w:t>Available resolution options</w:t>
      </w:r>
      <w:bookmarkEnd w:id="39"/>
      <w:bookmarkEnd w:id="40"/>
    </w:p>
    <w:p w:rsidR="00611906" w:rsidRPr="00666BAC" w:rsidRDefault="00611906" w:rsidP="00611906">
      <w:pPr>
        <w:rPr>
          <w:b/>
          <w:lang w:val="en-AU" w:bidi="ar-SA"/>
        </w:rPr>
      </w:pPr>
    </w:p>
    <w:p w:rsidR="00611906" w:rsidRPr="00666BAC" w:rsidRDefault="00611906" w:rsidP="00611906">
      <w:pPr>
        <w:rPr>
          <w:lang w:val="en-AU" w:bidi="ar-SA"/>
        </w:rPr>
      </w:pPr>
      <w:r w:rsidRPr="00666BAC">
        <w:rPr>
          <w:lang w:val="en-AU" w:bidi="ar-SA"/>
        </w:rPr>
        <w:t>HDC has a number of options available for the resolution of complaints.  These include referring the complaint to the Advocacy Service, to a professional body, or to another agency.</w:t>
      </w:r>
      <w:r w:rsidR="0078386C">
        <w:rPr>
          <w:lang w:val="en-AU" w:bidi="ar-SA"/>
        </w:rPr>
        <w:t xml:space="preserve"> </w:t>
      </w:r>
      <w:r w:rsidRPr="00666BAC">
        <w:rPr>
          <w:lang w:val="en-AU" w:bidi="ar-SA"/>
        </w:rPr>
        <w:t>HDC may also refer a complaint back to the provider to resolve directly.  In line with their responsibilities under the Code, DHBs have increasingly developed good systems to address complaints in a timely and appropriate way. It is often appropriate for HDC to refer a complaint to the DHB to resolve, with a requirement that the DHB report back to HDC on the outcome of its handling of the complaint.</w:t>
      </w:r>
    </w:p>
    <w:p w:rsidR="007764A3" w:rsidRPr="00666BAC" w:rsidRDefault="007764A3" w:rsidP="00611906">
      <w:pPr>
        <w:rPr>
          <w:lang w:val="en-AU" w:bidi="ar-SA"/>
        </w:rPr>
      </w:pPr>
    </w:p>
    <w:p w:rsidR="00611906" w:rsidRPr="00666BAC" w:rsidRDefault="00611906" w:rsidP="00611906">
      <w:pPr>
        <w:rPr>
          <w:lang w:val="en-US"/>
        </w:rPr>
      </w:pPr>
      <w:r w:rsidRPr="00666BAC">
        <w:rPr>
          <w:lang w:val="en-AU" w:bidi="ar-SA"/>
        </w:rPr>
        <w:t>The Commissioner also has a wide discretion to take no further actio</w:t>
      </w:r>
      <w:r w:rsidR="0078386C">
        <w:rPr>
          <w:lang w:val="en-AU" w:bidi="ar-SA"/>
        </w:rPr>
        <w:t xml:space="preserve">n on a complaint. </w:t>
      </w:r>
      <w:r w:rsidRPr="00666BAC">
        <w:rPr>
          <w:lang w:val="en-AU" w:bidi="ar-SA"/>
        </w:rPr>
        <w:t xml:space="preserve"> </w:t>
      </w:r>
      <w:r w:rsidRPr="00666BAC">
        <w:rPr>
          <w:lang w:val="en-US"/>
        </w:rPr>
        <w:t xml:space="preserve">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the District Inspector).  </w:t>
      </w:r>
    </w:p>
    <w:p w:rsidR="00611906" w:rsidRPr="00666BAC" w:rsidRDefault="00611906" w:rsidP="00611906">
      <w:pPr>
        <w:rPr>
          <w:lang w:val="en-US"/>
        </w:rPr>
      </w:pPr>
    </w:p>
    <w:p w:rsidR="00611906" w:rsidRPr="00666BAC" w:rsidRDefault="00611906" w:rsidP="00611906">
      <w:pPr>
        <w:rPr>
          <w:lang w:val="en-AU" w:bidi="ar-SA"/>
        </w:rPr>
      </w:pPr>
      <w:r w:rsidRPr="00666BAC">
        <w:rPr>
          <w:lang w:val="en-US"/>
        </w:rPr>
        <w:t>Assessment of a complaint prior to a decision to take no further action will usually involve obtaining and reviewing a response from the provider and, in many</w:t>
      </w:r>
      <w:r w:rsidR="0078386C">
        <w:rPr>
          <w:lang w:val="en-US"/>
        </w:rPr>
        <w:t xml:space="preserve"> cases, expert clinical advice.</w:t>
      </w:r>
      <w:r w:rsidRPr="00666BAC">
        <w:rPr>
          <w:lang w:val="en-US"/>
        </w:rPr>
        <w:t xml:space="preserve"> </w:t>
      </w:r>
      <w:r w:rsidRPr="00666BAC">
        <w:rPr>
          <w:lang w:val="en-AU" w:bidi="ar-SA"/>
        </w:rPr>
        <w:t>Often a decision to take no further action will be accompanied by an educational comment or recommendations designed to assist the provider in improving future services.</w:t>
      </w:r>
    </w:p>
    <w:p w:rsidR="00611906" w:rsidRPr="00666BAC" w:rsidRDefault="00611906" w:rsidP="00611906">
      <w:pPr>
        <w:rPr>
          <w:lang w:val="en-AU" w:bidi="ar-SA"/>
        </w:rPr>
      </w:pPr>
    </w:p>
    <w:p w:rsidR="00611906" w:rsidRPr="00666BAC" w:rsidRDefault="00611906" w:rsidP="00611906">
      <w:pPr>
        <w:rPr>
          <w:lang w:eastAsia="en-NZ" w:bidi="ar-SA"/>
        </w:rPr>
      </w:pPr>
      <w:r w:rsidRPr="00666BAC">
        <w:rPr>
          <w:lang w:val="en-AU" w:bidi="ar-SA"/>
        </w:rPr>
        <w:t xml:space="preserve">Where appropriate, the Commissioner may formally investigate a complaint. Once HDC has notified the parties that a complaint is to be investigated, the complaint is classified by HDC as a formal investigation, even though an </w:t>
      </w:r>
      <w:r w:rsidRPr="00666BAC">
        <w:t xml:space="preserve">alternative manner of resolution may subsequently be adopted. Notification of formal investigation generally indicates more serious or </w:t>
      </w:r>
      <w:r w:rsidRPr="00666BAC">
        <w:rPr>
          <w:lang w:eastAsia="en-NZ" w:bidi="ar-SA"/>
        </w:rPr>
        <w:t xml:space="preserve">complex issues. </w:t>
      </w:r>
    </w:p>
    <w:p w:rsidR="00611906" w:rsidRPr="00666BAC" w:rsidRDefault="00611906" w:rsidP="00611906">
      <w:pPr>
        <w:rPr>
          <w:lang w:eastAsia="en-NZ" w:bidi="ar-SA"/>
        </w:rPr>
      </w:pPr>
    </w:p>
    <w:p w:rsidR="00781218" w:rsidRPr="00666BAC" w:rsidRDefault="00611906" w:rsidP="00F23F98">
      <w:pPr>
        <w:rPr>
          <w:lang w:eastAsia="en-NZ" w:bidi="ar-SA"/>
        </w:rPr>
      </w:pPr>
      <w:r w:rsidRPr="00666BAC">
        <w:rPr>
          <w:lang w:eastAsia="en-NZ" w:bidi="ar-SA"/>
        </w:rPr>
        <w:t>In appropriate cases, the Commissioner may decide to refer a provider who has been found in breach of the Code t</w:t>
      </w:r>
      <w:r w:rsidR="0078386C">
        <w:rPr>
          <w:lang w:eastAsia="en-NZ" w:bidi="ar-SA"/>
        </w:rPr>
        <w:t xml:space="preserve">o the Director of Proceedings. </w:t>
      </w:r>
      <w:r w:rsidRPr="00666BAC">
        <w:rPr>
          <w:lang w:eastAsia="en-NZ" w:bidi="ar-SA"/>
        </w:rPr>
        <w:t xml:space="preserve">The Director of Proceedings then makes an independent decision about whether to bring proceedings against the provider in either the Health Practitioners Disciplinary Tribunal (if the provider is an individual health practitioner) or in the Human Rights Review Tribunal.  Referral to the Director of Proceedings only occurs in the most serious of cases, and referral of a DHB is relatively uncommon.  </w:t>
      </w:r>
      <w:bookmarkStart w:id="41" w:name="_Toc404344437"/>
      <w:r w:rsidR="00781218" w:rsidRPr="00666BAC">
        <w:rPr>
          <w:b/>
          <w:lang w:eastAsia="en-NZ" w:bidi="ar-SA"/>
        </w:rPr>
        <w:br w:type="page"/>
      </w:r>
    </w:p>
    <w:p w:rsidR="00611906" w:rsidRPr="00666BAC" w:rsidRDefault="00611906" w:rsidP="00611906">
      <w:pPr>
        <w:pStyle w:val="Heading3"/>
        <w:rPr>
          <w:b/>
          <w:i w:val="0"/>
          <w:sz w:val="28"/>
          <w:szCs w:val="28"/>
          <w:lang w:eastAsia="en-NZ" w:bidi="ar-SA"/>
        </w:rPr>
      </w:pPr>
      <w:bookmarkStart w:id="42" w:name="_Toc438024737"/>
      <w:r w:rsidRPr="00666BAC">
        <w:rPr>
          <w:b/>
          <w:i w:val="0"/>
          <w:sz w:val="28"/>
          <w:szCs w:val="28"/>
          <w:lang w:eastAsia="en-NZ" w:bidi="ar-SA"/>
        </w:rPr>
        <w:t>2.2</w:t>
      </w:r>
      <w:r w:rsidRPr="00666BAC">
        <w:rPr>
          <w:b/>
          <w:i w:val="0"/>
          <w:sz w:val="28"/>
          <w:szCs w:val="28"/>
          <w:lang w:eastAsia="en-NZ" w:bidi="ar-SA"/>
        </w:rPr>
        <w:tab/>
        <w:t>Manner of resolution and outcomes in complaints closed</w:t>
      </w:r>
      <w:bookmarkEnd w:id="41"/>
      <w:bookmarkEnd w:id="42"/>
    </w:p>
    <w:p w:rsidR="00611906" w:rsidRPr="00666BAC" w:rsidRDefault="00611906" w:rsidP="00611906">
      <w:pPr>
        <w:rPr>
          <w:lang w:eastAsia="en-NZ" w:bidi="ar-SA"/>
        </w:rPr>
      </w:pPr>
    </w:p>
    <w:p w:rsidR="00611906" w:rsidRPr="00666BAC" w:rsidRDefault="00611906" w:rsidP="00611906">
      <w:pPr>
        <w:rPr>
          <w:lang w:eastAsia="en-NZ" w:bidi="ar-SA"/>
        </w:rPr>
      </w:pPr>
      <w:r w:rsidRPr="00666BAC">
        <w:rPr>
          <w:lang w:eastAsia="en-NZ" w:bidi="ar-SA"/>
        </w:rPr>
        <w:t xml:space="preserve">The manner of resolution and outcomes for all DHB complaints closed in the </w:t>
      </w:r>
      <w:r w:rsidR="000C2191" w:rsidRPr="00666BAC">
        <w:rPr>
          <w:lang w:eastAsia="en-NZ" w:bidi="ar-SA"/>
        </w:rPr>
        <w:t>2015/16 year is shown in Table 9</w:t>
      </w:r>
      <w:r w:rsidR="0078386C">
        <w:rPr>
          <w:lang w:eastAsia="en-NZ" w:bidi="ar-SA"/>
        </w:rPr>
        <w:t xml:space="preserve"> below. </w:t>
      </w:r>
      <w:r w:rsidRPr="00666BAC">
        <w:rPr>
          <w:lang w:eastAsia="en-NZ" w:bidi="ar-SA"/>
        </w:rPr>
        <w:t>It should be noted that outcomes are displayed in a descending order.  If there is more than one outcome for a DHB upon resolution of a complaint, then only the outcome listed highest in the table is included.</w:t>
      </w:r>
    </w:p>
    <w:p w:rsidR="00611906" w:rsidRPr="00666BAC" w:rsidRDefault="00611906" w:rsidP="00611906">
      <w:pPr>
        <w:rPr>
          <w:lang w:eastAsia="en-NZ" w:bidi="ar-SA"/>
        </w:rPr>
      </w:pPr>
    </w:p>
    <w:p w:rsidR="00611906" w:rsidRPr="00666BAC" w:rsidRDefault="000C2191" w:rsidP="00611906">
      <w:pPr>
        <w:spacing w:after="120"/>
        <w:rPr>
          <w:lang w:eastAsia="en-NZ" w:bidi="ar-SA"/>
        </w:rPr>
      </w:pPr>
      <w:r w:rsidRPr="00666BAC">
        <w:rPr>
          <w:b/>
        </w:rPr>
        <w:t>Table 9</w:t>
      </w:r>
      <w:r w:rsidR="00611906" w:rsidRPr="00666BAC">
        <w:rPr>
          <w:b/>
        </w:rPr>
        <w:t xml:space="preserve">. </w:t>
      </w:r>
      <w:r w:rsidR="00611906" w:rsidRPr="00666BAC">
        <w:t xml:space="preserve">Outcome for DHBs of complaints closed </w:t>
      </w:r>
    </w:p>
    <w:tbl>
      <w:tblPr>
        <w:tblStyle w:val="TableGrid"/>
        <w:tblW w:w="5799" w:type="dxa"/>
        <w:tblInd w:w="114" w:type="dxa"/>
        <w:tblLook w:val="04A0" w:firstRow="1" w:lastRow="0" w:firstColumn="1" w:lastColumn="0" w:noHBand="0" w:noVBand="1"/>
      </w:tblPr>
      <w:tblGrid>
        <w:gridCol w:w="3680"/>
        <w:gridCol w:w="2119"/>
      </w:tblGrid>
      <w:tr w:rsidR="00611906" w:rsidRPr="00666BAC" w:rsidTr="000C2191">
        <w:tc>
          <w:tcPr>
            <w:tcW w:w="3680" w:type="dxa"/>
          </w:tcPr>
          <w:p w:rsidR="00611906" w:rsidRPr="00666BAC" w:rsidRDefault="00611906" w:rsidP="00611906">
            <w:pPr>
              <w:keepNext/>
              <w:keepLines/>
              <w:tabs>
                <w:tab w:val="left" w:pos="1440"/>
                <w:tab w:val="decimal" w:pos="4320"/>
              </w:tabs>
              <w:spacing w:before="60"/>
              <w:jc w:val="left"/>
              <w:outlineLvl w:val="0"/>
              <w:rPr>
                <w:b/>
                <w:szCs w:val="22"/>
              </w:rPr>
            </w:pPr>
            <w:r w:rsidRPr="00666BAC">
              <w:rPr>
                <w:b/>
                <w:szCs w:val="22"/>
              </w:rPr>
              <w:br w:type="page"/>
              <w:t>Outcome for DHB</w:t>
            </w:r>
          </w:p>
        </w:tc>
        <w:tc>
          <w:tcPr>
            <w:tcW w:w="2119" w:type="dxa"/>
          </w:tcPr>
          <w:p w:rsidR="00611906" w:rsidRPr="00666BAC" w:rsidRDefault="00611906" w:rsidP="00611906">
            <w:pPr>
              <w:keepNext/>
              <w:keepLines/>
              <w:tabs>
                <w:tab w:val="left" w:pos="1440"/>
                <w:tab w:val="decimal" w:pos="4320"/>
              </w:tabs>
              <w:spacing w:before="60"/>
              <w:jc w:val="center"/>
              <w:outlineLvl w:val="0"/>
              <w:rPr>
                <w:b/>
                <w:szCs w:val="22"/>
              </w:rPr>
            </w:pPr>
            <w:r w:rsidRPr="00666BAC">
              <w:rPr>
                <w:b/>
                <w:szCs w:val="22"/>
              </w:rPr>
              <w:t xml:space="preserve">Number of complaints </w:t>
            </w:r>
          </w:p>
          <w:p w:rsidR="00611906" w:rsidRPr="00666BAC" w:rsidRDefault="00611906" w:rsidP="00611906">
            <w:pPr>
              <w:keepNext/>
              <w:keepLines/>
              <w:tabs>
                <w:tab w:val="left" w:pos="1440"/>
                <w:tab w:val="decimal" w:pos="4320"/>
              </w:tabs>
              <w:spacing w:before="60"/>
              <w:jc w:val="center"/>
              <w:outlineLvl w:val="0"/>
              <w:rPr>
                <w:b/>
                <w:sz w:val="16"/>
                <w:szCs w:val="16"/>
              </w:rPr>
            </w:pPr>
          </w:p>
        </w:tc>
      </w:tr>
      <w:tr w:rsidR="00611906" w:rsidRPr="00666BAC" w:rsidTr="000C2191">
        <w:tc>
          <w:tcPr>
            <w:tcW w:w="3680" w:type="dxa"/>
            <w:shd w:val="clear" w:color="auto" w:fill="C00000"/>
          </w:tcPr>
          <w:p w:rsidR="00611906" w:rsidRPr="00666BAC" w:rsidRDefault="00611906" w:rsidP="00611906">
            <w:pPr>
              <w:keepNext/>
              <w:keepLines/>
              <w:tabs>
                <w:tab w:val="left" w:pos="1440"/>
                <w:tab w:val="decimal" w:pos="4320"/>
              </w:tabs>
              <w:jc w:val="left"/>
              <w:outlineLvl w:val="0"/>
              <w:rPr>
                <w:b/>
                <w:i/>
                <w:szCs w:val="22"/>
              </w:rPr>
            </w:pPr>
            <w:r w:rsidRPr="00666BAC">
              <w:rPr>
                <w:b/>
                <w:i/>
                <w:szCs w:val="22"/>
              </w:rPr>
              <w:t>Investigation</w:t>
            </w:r>
          </w:p>
        </w:tc>
        <w:tc>
          <w:tcPr>
            <w:tcW w:w="2119" w:type="dxa"/>
            <w:shd w:val="clear" w:color="auto" w:fill="C00000"/>
            <w:vAlign w:val="center"/>
          </w:tcPr>
          <w:p w:rsidR="00611906" w:rsidRPr="00666BAC" w:rsidRDefault="000C2191" w:rsidP="00611906">
            <w:pPr>
              <w:keepNext/>
              <w:keepLines/>
              <w:tabs>
                <w:tab w:val="left" w:pos="1440"/>
                <w:tab w:val="decimal" w:pos="4320"/>
              </w:tabs>
              <w:jc w:val="center"/>
              <w:outlineLvl w:val="0"/>
              <w:rPr>
                <w:b/>
                <w:i/>
                <w:szCs w:val="22"/>
              </w:rPr>
            </w:pPr>
            <w:r w:rsidRPr="00666BAC">
              <w:rPr>
                <w:b/>
                <w:i/>
                <w:szCs w:val="22"/>
              </w:rPr>
              <w:t>28</w:t>
            </w:r>
          </w:p>
        </w:tc>
      </w:tr>
      <w:tr w:rsidR="00611906" w:rsidRPr="00666BAC" w:rsidTr="000C2191">
        <w:tc>
          <w:tcPr>
            <w:tcW w:w="3680" w:type="dxa"/>
          </w:tcPr>
          <w:p w:rsidR="00611906" w:rsidRPr="00666BAC" w:rsidRDefault="00611906" w:rsidP="00611906">
            <w:pPr>
              <w:keepNext/>
              <w:keepLines/>
              <w:tabs>
                <w:tab w:val="left" w:pos="1440"/>
                <w:tab w:val="decimal" w:pos="4320"/>
              </w:tabs>
              <w:jc w:val="left"/>
              <w:outlineLvl w:val="0"/>
              <w:rPr>
                <w:szCs w:val="22"/>
              </w:rPr>
            </w:pPr>
            <w:r w:rsidRPr="00666BAC">
              <w:rPr>
                <w:szCs w:val="22"/>
              </w:rPr>
              <w:t>Breach finding</w:t>
            </w:r>
          </w:p>
        </w:tc>
        <w:tc>
          <w:tcPr>
            <w:tcW w:w="2119" w:type="dxa"/>
            <w:vAlign w:val="center"/>
          </w:tcPr>
          <w:p w:rsidR="00611906" w:rsidRPr="00666BAC" w:rsidRDefault="000C2191" w:rsidP="00611906">
            <w:pPr>
              <w:keepNext/>
              <w:keepLines/>
              <w:tabs>
                <w:tab w:val="left" w:pos="1440"/>
                <w:tab w:val="decimal" w:pos="4320"/>
              </w:tabs>
              <w:jc w:val="center"/>
              <w:outlineLvl w:val="0"/>
              <w:rPr>
                <w:szCs w:val="22"/>
              </w:rPr>
            </w:pPr>
            <w:r w:rsidRPr="00666BAC">
              <w:rPr>
                <w:szCs w:val="22"/>
              </w:rPr>
              <w:t>11</w:t>
            </w:r>
          </w:p>
        </w:tc>
      </w:tr>
      <w:tr w:rsidR="00611906" w:rsidRPr="00666BAC" w:rsidTr="000C2191">
        <w:tc>
          <w:tcPr>
            <w:tcW w:w="3680" w:type="dxa"/>
          </w:tcPr>
          <w:p w:rsidR="00611906" w:rsidRPr="00666BAC" w:rsidRDefault="00611906" w:rsidP="00611906">
            <w:pPr>
              <w:keepNext/>
              <w:keepLines/>
              <w:tabs>
                <w:tab w:val="left" w:pos="1440"/>
                <w:tab w:val="decimal" w:pos="4320"/>
              </w:tabs>
              <w:jc w:val="left"/>
              <w:outlineLvl w:val="0"/>
              <w:rPr>
                <w:szCs w:val="22"/>
              </w:rPr>
            </w:pPr>
            <w:r w:rsidRPr="00666BAC">
              <w:rPr>
                <w:szCs w:val="22"/>
              </w:rPr>
              <w:t>No further action with follow-up or educational comment</w:t>
            </w:r>
          </w:p>
        </w:tc>
        <w:tc>
          <w:tcPr>
            <w:tcW w:w="2119" w:type="dxa"/>
            <w:vAlign w:val="center"/>
          </w:tcPr>
          <w:p w:rsidR="00611906" w:rsidRPr="00666BAC" w:rsidRDefault="000C2191" w:rsidP="00611906">
            <w:pPr>
              <w:keepNext/>
              <w:keepLines/>
              <w:tabs>
                <w:tab w:val="left" w:pos="1440"/>
                <w:tab w:val="decimal" w:pos="4320"/>
              </w:tabs>
              <w:jc w:val="center"/>
              <w:outlineLvl w:val="0"/>
              <w:rPr>
                <w:szCs w:val="22"/>
              </w:rPr>
            </w:pPr>
            <w:r w:rsidRPr="00666BAC">
              <w:rPr>
                <w:szCs w:val="22"/>
              </w:rPr>
              <w:t>11</w:t>
            </w:r>
          </w:p>
        </w:tc>
      </w:tr>
      <w:tr w:rsidR="00611906" w:rsidRPr="00666BAC" w:rsidTr="000C2191">
        <w:tc>
          <w:tcPr>
            <w:tcW w:w="3680" w:type="dxa"/>
          </w:tcPr>
          <w:p w:rsidR="00611906" w:rsidRPr="00666BAC" w:rsidRDefault="00611906" w:rsidP="00611906">
            <w:pPr>
              <w:keepNext/>
              <w:keepLines/>
              <w:tabs>
                <w:tab w:val="left" w:pos="1440"/>
                <w:tab w:val="decimal" w:pos="4320"/>
              </w:tabs>
              <w:jc w:val="left"/>
              <w:outlineLvl w:val="0"/>
              <w:rPr>
                <w:szCs w:val="22"/>
              </w:rPr>
            </w:pPr>
            <w:r w:rsidRPr="00666BAC">
              <w:rPr>
                <w:szCs w:val="22"/>
              </w:rPr>
              <w:t xml:space="preserve">No further action </w:t>
            </w:r>
          </w:p>
        </w:tc>
        <w:tc>
          <w:tcPr>
            <w:tcW w:w="2119" w:type="dxa"/>
            <w:vAlign w:val="center"/>
          </w:tcPr>
          <w:p w:rsidR="00611906" w:rsidRPr="00666BAC" w:rsidRDefault="000C2191" w:rsidP="00611906">
            <w:pPr>
              <w:keepNext/>
              <w:keepLines/>
              <w:tabs>
                <w:tab w:val="left" w:pos="1440"/>
                <w:tab w:val="decimal" w:pos="4320"/>
              </w:tabs>
              <w:jc w:val="center"/>
              <w:outlineLvl w:val="0"/>
              <w:rPr>
                <w:szCs w:val="22"/>
              </w:rPr>
            </w:pPr>
            <w:r w:rsidRPr="00666BAC">
              <w:rPr>
                <w:szCs w:val="22"/>
              </w:rPr>
              <w:t>3</w:t>
            </w:r>
          </w:p>
        </w:tc>
      </w:tr>
      <w:tr w:rsidR="00611906" w:rsidRPr="00666BAC" w:rsidTr="000C2191">
        <w:tc>
          <w:tcPr>
            <w:tcW w:w="3680" w:type="dxa"/>
          </w:tcPr>
          <w:p w:rsidR="00611906" w:rsidRPr="00666BAC" w:rsidRDefault="00611906" w:rsidP="00611906">
            <w:pPr>
              <w:keepNext/>
              <w:keepLines/>
              <w:tabs>
                <w:tab w:val="left" w:pos="1440"/>
                <w:tab w:val="decimal" w:pos="4320"/>
              </w:tabs>
              <w:jc w:val="left"/>
              <w:outlineLvl w:val="0"/>
              <w:rPr>
                <w:szCs w:val="22"/>
              </w:rPr>
            </w:pPr>
            <w:r w:rsidRPr="00666BAC">
              <w:rPr>
                <w:szCs w:val="22"/>
              </w:rPr>
              <w:t>No breach finding</w:t>
            </w:r>
          </w:p>
        </w:tc>
        <w:tc>
          <w:tcPr>
            <w:tcW w:w="2119" w:type="dxa"/>
            <w:vAlign w:val="center"/>
          </w:tcPr>
          <w:p w:rsidR="00611906" w:rsidRPr="00666BAC" w:rsidRDefault="000C2191" w:rsidP="00611906">
            <w:pPr>
              <w:keepNext/>
              <w:keepLines/>
              <w:tabs>
                <w:tab w:val="left" w:pos="1440"/>
                <w:tab w:val="decimal" w:pos="4320"/>
              </w:tabs>
              <w:jc w:val="center"/>
              <w:outlineLvl w:val="0"/>
              <w:rPr>
                <w:szCs w:val="22"/>
              </w:rPr>
            </w:pPr>
            <w:r w:rsidRPr="00666BAC">
              <w:rPr>
                <w:szCs w:val="22"/>
              </w:rPr>
              <w:t>3</w:t>
            </w:r>
          </w:p>
        </w:tc>
      </w:tr>
      <w:tr w:rsidR="00611906" w:rsidRPr="00666BAC" w:rsidTr="000C2191">
        <w:tc>
          <w:tcPr>
            <w:tcW w:w="3680" w:type="dxa"/>
            <w:shd w:val="clear" w:color="auto" w:fill="C00000"/>
          </w:tcPr>
          <w:p w:rsidR="00611906" w:rsidRPr="00666BAC" w:rsidRDefault="00666BAC" w:rsidP="00611906">
            <w:pPr>
              <w:keepNext/>
              <w:keepLines/>
              <w:tabs>
                <w:tab w:val="left" w:pos="1440"/>
                <w:tab w:val="decimal" w:pos="4320"/>
              </w:tabs>
              <w:jc w:val="left"/>
              <w:outlineLvl w:val="0"/>
              <w:rPr>
                <w:b/>
                <w:i/>
                <w:szCs w:val="22"/>
              </w:rPr>
            </w:pPr>
            <w:r w:rsidRPr="00666BAC">
              <w:rPr>
                <w:b/>
                <w:i/>
                <w:szCs w:val="22"/>
              </w:rPr>
              <w:t>Other resolution following assessment</w:t>
            </w:r>
          </w:p>
        </w:tc>
        <w:tc>
          <w:tcPr>
            <w:tcW w:w="2119" w:type="dxa"/>
            <w:shd w:val="clear" w:color="auto" w:fill="C00000"/>
            <w:vAlign w:val="center"/>
          </w:tcPr>
          <w:p w:rsidR="00611906" w:rsidRPr="00666BAC" w:rsidRDefault="000C2191" w:rsidP="00611906">
            <w:pPr>
              <w:keepNext/>
              <w:keepLines/>
              <w:tabs>
                <w:tab w:val="left" w:pos="1440"/>
                <w:tab w:val="decimal" w:pos="4320"/>
              </w:tabs>
              <w:jc w:val="center"/>
              <w:outlineLvl w:val="0"/>
              <w:rPr>
                <w:b/>
                <w:i/>
                <w:szCs w:val="22"/>
              </w:rPr>
            </w:pPr>
            <w:r w:rsidRPr="00666BAC">
              <w:rPr>
                <w:b/>
                <w:i/>
                <w:szCs w:val="22"/>
              </w:rPr>
              <w:t>784</w:t>
            </w:r>
          </w:p>
        </w:tc>
      </w:tr>
      <w:tr w:rsidR="00611906" w:rsidRPr="00666BAC" w:rsidTr="000C2191">
        <w:tc>
          <w:tcPr>
            <w:tcW w:w="3680" w:type="dxa"/>
          </w:tcPr>
          <w:p w:rsidR="00611906" w:rsidRPr="00666BAC" w:rsidRDefault="00611906" w:rsidP="00611906">
            <w:pPr>
              <w:keepNext/>
              <w:keepLines/>
              <w:tabs>
                <w:tab w:val="left" w:pos="1440"/>
                <w:tab w:val="decimal" w:pos="4320"/>
              </w:tabs>
              <w:jc w:val="left"/>
              <w:outlineLvl w:val="0"/>
              <w:rPr>
                <w:szCs w:val="22"/>
              </w:rPr>
            </w:pPr>
            <w:r w:rsidRPr="00666BAC">
              <w:rPr>
                <w:szCs w:val="22"/>
              </w:rPr>
              <w:t>No further action with follow-up or educational comment</w:t>
            </w:r>
          </w:p>
        </w:tc>
        <w:tc>
          <w:tcPr>
            <w:tcW w:w="2119" w:type="dxa"/>
            <w:vAlign w:val="center"/>
          </w:tcPr>
          <w:p w:rsidR="00611906" w:rsidRPr="00666BAC" w:rsidRDefault="000C2191" w:rsidP="00611906">
            <w:pPr>
              <w:keepNext/>
              <w:keepLines/>
              <w:tabs>
                <w:tab w:val="left" w:pos="1440"/>
                <w:tab w:val="decimal" w:pos="4320"/>
              </w:tabs>
              <w:jc w:val="center"/>
              <w:outlineLvl w:val="0"/>
              <w:rPr>
                <w:szCs w:val="22"/>
              </w:rPr>
            </w:pPr>
            <w:r w:rsidRPr="00666BAC">
              <w:rPr>
                <w:szCs w:val="22"/>
              </w:rPr>
              <w:t>176</w:t>
            </w:r>
          </w:p>
        </w:tc>
      </w:tr>
      <w:tr w:rsidR="00611906" w:rsidRPr="00666BAC" w:rsidTr="000C2191">
        <w:tc>
          <w:tcPr>
            <w:tcW w:w="3680" w:type="dxa"/>
          </w:tcPr>
          <w:p w:rsidR="00611906" w:rsidRPr="00666BAC" w:rsidRDefault="00611906" w:rsidP="00611906">
            <w:pPr>
              <w:rPr>
                <w:rFonts w:cs="Calibri"/>
                <w:color w:val="000000"/>
                <w:szCs w:val="22"/>
              </w:rPr>
            </w:pPr>
            <w:r w:rsidRPr="00666BAC">
              <w:rPr>
                <w:rFonts w:cs="Calibri"/>
                <w:color w:val="000000"/>
                <w:szCs w:val="22"/>
              </w:rPr>
              <w:t>Referred to Ministry of Health</w:t>
            </w:r>
          </w:p>
        </w:tc>
        <w:tc>
          <w:tcPr>
            <w:tcW w:w="2119" w:type="dxa"/>
            <w:vAlign w:val="center"/>
          </w:tcPr>
          <w:p w:rsidR="00611906" w:rsidRPr="00666BAC" w:rsidRDefault="000C2191" w:rsidP="00611906">
            <w:pPr>
              <w:jc w:val="center"/>
              <w:rPr>
                <w:rFonts w:cs="Calibri"/>
                <w:color w:val="000000"/>
                <w:szCs w:val="22"/>
              </w:rPr>
            </w:pPr>
            <w:r w:rsidRPr="00666BAC">
              <w:rPr>
                <w:rFonts w:cs="Calibri"/>
                <w:color w:val="000000"/>
                <w:szCs w:val="22"/>
              </w:rPr>
              <w:t>1</w:t>
            </w:r>
          </w:p>
        </w:tc>
      </w:tr>
      <w:tr w:rsidR="000C2191" w:rsidRPr="00666BAC" w:rsidTr="000C2191">
        <w:tc>
          <w:tcPr>
            <w:tcW w:w="3680" w:type="dxa"/>
          </w:tcPr>
          <w:p w:rsidR="000C2191" w:rsidRPr="00666BAC" w:rsidRDefault="000C2191" w:rsidP="00611906">
            <w:pPr>
              <w:rPr>
                <w:rFonts w:cs="Calibri"/>
                <w:color w:val="000000"/>
                <w:szCs w:val="22"/>
              </w:rPr>
            </w:pPr>
            <w:r w:rsidRPr="00666BAC">
              <w:rPr>
                <w:rFonts w:cs="Calibri"/>
                <w:color w:val="000000"/>
                <w:szCs w:val="22"/>
              </w:rPr>
              <w:t>Referred to Privacy Commissioner</w:t>
            </w:r>
          </w:p>
        </w:tc>
        <w:tc>
          <w:tcPr>
            <w:tcW w:w="2119" w:type="dxa"/>
            <w:vAlign w:val="center"/>
          </w:tcPr>
          <w:p w:rsidR="000C2191" w:rsidRPr="00666BAC" w:rsidRDefault="000C2191" w:rsidP="00611906">
            <w:pPr>
              <w:jc w:val="center"/>
              <w:rPr>
                <w:rFonts w:cs="Calibri"/>
                <w:color w:val="000000"/>
                <w:szCs w:val="22"/>
              </w:rPr>
            </w:pPr>
            <w:r w:rsidRPr="00666BAC">
              <w:rPr>
                <w:rFonts w:cs="Calibri"/>
                <w:color w:val="000000"/>
                <w:szCs w:val="22"/>
              </w:rPr>
              <w:t>2</w:t>
            </w:r>
          </w:p>
        </w:tc>
      </w:tr>
      <w:tr w:rsidR="00611906" w:rsidRPr="00666BAC" w:rsidTr="000C2191">
        <w:tc>
          <w:tcPr>
            <w:tcW w:w="3680" w:type="dxa"/>
          </w:tcPr>
          <w:p w:rsidR="00611906" w:rsidRPr="00666BAC" w:rsidRDefault="00611906" w:rsidP="00611906">
            <w:pPr>
              <w:rPr>
                <w:rFonts w:cs="Calibri"/>
                <w:color w:val="000000"/>
                <w:szCs w:val="22"/>
              </w:rPr>
            </w:pPr>
            <w:r w:rsidRPr="00666BAC">
              <w:rPr>
                <w:rFonts w:cs="Calibri"/>
                <w:color w:val="000000"/>
                <w:szCs w:val="22"/>
              </w:rPr>
              <w:t>Referred to District Inspector</w:t>
            </w:r>
          </w:p>
        </w:tc>
        <w:tc>
          <w:tcPr>
            <w:tcW w:w="2119" w:type="dxa"/>
            <w:vAlign w:val="center"/>
          </w:tcPr>
          <w:p w:rsidR="00611906" w:rsidRPr="00666BAC" w:rsidRDefault="000C2191" w:rsidP="00611906">
            <w:pPr>
              <w:jc w:val="center"/>
              <w:rPr>
                <w:rFonts w:cs="Calibri"/>
                <w:color w:val="000000"/>
                <w:szCs w:val="22"/>
              </w:rPr>
            </w:pPr>
            <w:r w:rsidRPr="00666BAC">
              <w:rPr>
                <w:rFonts w:cs="Calibri"/>
                <w:color w:val="000000"/>
                <w:szCs w:val="22"/>
              </w:rPr>
              <w:t>24</w:t>
            </w:r>
          </w:p>
        </w:tc>
      </w:tr>
      <w:tr w:rsidR="00611906" w:rsidRPr="00666BAC" w:rsidTr="000C2191">
        <w:tc>
          <w:tcPr>
            <w:tcW w:w="3680" w:type="dxa"/>
          </w:tcPr>
          <w:p w:rsidR="00611906" w:rsidRPr="00666BAC" w:rsidRDefault="00611906" w:rsidP="00611906">
            <w:pPr>
              <w:rPr>
                <w:rFonts w:cs="Calibri"/>
                <w:color w:val="000000"/>
                <w:szCs w:val="22"/>
              </w:rPr>
            </w:pPr>
            <w:r w:rsidRPr="00666BAC">
              <w:rPr>
                <w:rFonts w:cs="Arial"/>
                <w:szCs w:val="22"/>
                <w:lang w:eastAsia="en-NZ" w:bidi="ar-SA"/>
              </w:rPr>
              <w:t>Referred to DHB</w:t>
            </w:r>
          </w:p>
        </w:tc>
        <w:tc>
          <w:tcPr>
            <w:tcW w:w="2119" w:type="dxa"/>
            <w:vAlign w:val="center"/>
          </w:tcPr>
          <w:p w:rsidR="00611906" w:rsidRPr="00666BAC" w:rsidRDefault="000C2191" w:rsidP="00611906">
            <w:pPr>
              <w:jc w:val="center"/>
              <w:rPr>
                <w:rFonts w:cs="Calibri"/>
                <w:color w:val="000000"/>
                <w:szCs w:val="22"/>
              </w:rPr>
            </w:pPr>
            <w:r w:rsidRPr="00666BAC">
              <w:rPr>
                <w:rFonts w:cs="Calibri"/>
                <w:color w:val="000000"/>
                <w:szCs w:val="22"/>
              </w:rPr>
              <w:t>203</w:t>
            </w:r>
          </w:p>
        </w:tc>
      </w:tr>
      <w:tr w:rsidR="00611906" w:rsidRPr="00666BAC" w:rsidTr="000C2191">
        <w:tc>
          <w:tcPr>
            <w:tcW w:w="3680" w:type="dxa"/>
          </w:tcPr>
          <w:p w:rsidR="00611906" w:rsidRPr="00666BAC" w:rsidRDefault="00611906" w:rsidP="00611906">
            <w:pPr>
              <w:keepNext/>
              <w:keepLines/>
              <w:tabs>
                <w:tab w:val="left" w:pos="1440"/>
                <w:tab w:val="decimal" w:pos="4320"/>
              </w:tabs>
              <w:jc w:val="left"/>
              <w:outlineLvl w:val="0"/>
              <w:rPr>
                <w:szCs w:val="22"/>
              </w:rPr>
            </w:pPr>
            <w:r w:rsidRPr="00666BAC">
              <w:rPr>
                <w:rFonts w:cs="Arial"/>
                <w:szCs w:val="22"/>
                <w:lang w:eastAsia="en-NZ" w:bidi="ar-SA"/>
              </w:rPr>
              <w:t>Referred to Advocacy</w:t>
            </w:r>
          </w:p>
        </w:tc>
        <w:tc>
          <w:tcPr>
            <w:tcW w:w="2119" w:type="dxa"/>
            <w:vAlign w:val="center"/>
          </w:tcPr>
          <w:p w:rsidR="00611906" w:rsidRPr="00666BAC" w:rsidRDefault="000C2191" w:rsidP="00611906">
            <w:pPr>
              <w:keepNext/>
              <w:keepLines/>
              <w:tabs>
                <w:tab w:val="left" w:pos="1440"/>
                <w:tab w:val="decimal" w:pos="4320"/>
              </w:tabs>
              <w:jc w:val="center"/>
              <w:outlineLvl w:val="0"/>
              <w:rPr>
                <w:szCs w:val="22"/>
              </w:rPr>
            </w:pPr>
            <w:r w:rsidRPr="00666BAC">
              <w:rPr>
                <w:szCs w:val="22"/>
              </w:rPr>
              <w:t>43</w:t>
            </w:r>
          </w:p>
        </w:tc>
      </w:tr>
      <w:tr w:rsidR="00611906" w:rsidRPr="00666BAC" w:rsidTr="000C2191">
        <w:tc>
          <w:tcPr>
            <w:tcW w:w="3680" w:type="dxa"/>
          </w:tcPr>
          <w:p w:rsidR="00611906" w:rsidRPr="00666BAC" w:rsidRDefault="00611906" w:rsidP="00611906">
            <w:pPr>
              <w:keepNext/>
              <w:keepLines/>
              <w:tabs>
                <w:tab w:val="left" w:pos="1440"/>
                <w:tab w:val="decimal" w:pos="4320"/>
              </w:tabs>
              <w:jc w:val="left"/>
              <w:outlineLvl w:val="0"/>
              <w:rPr>
                <w:rFonts w:cs="Arial"/>
                <w:szCs w:val="22"/>
                <w:lang w:eastAsia="en-NZ" w:bidi="ar-SA"/>
              </w:rPr>
            </w:pPr>
            <w:r w:rsidRPr="00666BAC">
              <w:rPr>
                <w:rFonts w:cs="Arial"/>
                <w:szCs w:val="22"/>
                <w:lang w:eastAsia="en-NZ" w:bidi="ar-SA"/>
              </w:rPr>
              <w:t xml:space="preserve">No further action </w:t>
            </w:r>
          </w:p>
        </w:tc>
        <w:tc>
          <w:tcPr>
            <w:tcW w:w="2119" w:type="dxa"/>
            <w:vAlign w:val="center"/>
          </w:tcPr>
          <w:p w:rsidR="00611906" w:rsidRPr="00666BAC" w:rsidRDefault="000C2191" w:rsidP="00611906">
            <w:pPr>
              <w:keepNext/>
              <w:keepLines/>
              <w:tabs>
                <w:tab w:val="left" w:pos="1440"/>
                <w:tab w:val="decimal" w:pos="4320"/>
              </w:tabs>
              <w:jc w:val="center"/>
              <w:outlineLvl w:val="0"/>
              <w:rPr>
                <w:szCs w:val="22"/>
              </w:rPr>
            </w:pPr>
            <w:r w:rsidRPr="00666BAC">
              <w:rPr>
                <w:szCs w:val="22"/>
              </w:rPr>
              <w:t>322</w:t>
            </w:r>
          </w:p>
        </w:tc>
      </w:tr>
      <w:tr w:rsidR="00611906" w:rsidRPr="00666BAC" w:rsidTr="000C2191">
        <w:tc>
          <w:tcPr>
            <w:tcW w:w="3680" w:type="dxa"/>
          </w:tcPr>
          <w:p w:rsidR="00611906" w:rsidRPr="00666BAC" w:rsidRDefault="00611906" w:rsidP="00611906">
            <w:pPr>
              <w:keepNext/>
              <w:keepLines/>
              <w:tabs>
                <w:tab w:val="left" w:pos="1440"/>
                <w:tab w:val="decimal" w:pos="4320"/>
              </w:tabs>
              <w:jc w:val="left"/>
              <w:outlineLvl w:val="0"/>
              <w:rPr>
                <w:rFonts w:cs="Arial"/>
                <w:szCs w:val="22"/>
                <w:lang w:eastAsia="en-NZ" w:bidi="ar-SA"/>
              </w:rPr>
            </w:pPr>
            <w:r w:rsidRPr="00666BAC">
              <w:rPr>
                <w:rFonts w:cs="Arial"/>
                <w:szCs w:val="22"/>
                <w:lang w:eastAsia="en-NZ" w:bidi="ar-SA"/>
              </w:rPr>
              <w:t xml:space="preserve">Withdrawn </w:t>
            </w:r>
          </w:p>
        </w:tc>
        <w:tc>
          <w:tcPr>
            <w:tcW w:w="2119" w:type="dxa"/>
            <w:vAlign w:val="center"/>
          </w:tcPr>
          <w:p w:rsidR="00611906" w:rsidRPr="00666BAC" w:rsidRDefault="000C2191" w:rsidP="00611906">
            <w:pPr>
              <w:jc w:val="center"/>
              <w:rPr>
                <w:rFonts w:cs="Calibri"/>
                <w:color w:val="000000"/>
                <w:szCs w:val="22"/>
              </w:rPr>
            </w:pPr>
            <w:r w:rsidRPr="00666BAC">
              <w:rPr>
                <w:rFonts w:cs="Calibri"/>
                <w:color w:val="000000"/>
                <w:szCs w:val="22"/>
              </w:rPr>
              <w:t>13</w:t>
            </w:r>
          </w:p>
        </w:tc>
      </w:tr>
      <w:tr w:rsidR="00611906" w:rsidRPr="00666BAC" w:rsidTr="000C2191">
        <w:tc>
          <w:tcPr>
            <w:tcW w:w="3680" w:type="dxa"/>
            <w:shd w:val="clear" w:color="auto" w:fill="C00000"/>
          </w:tcPr>
          <w:p w:rsidR="00611906" w:rsidRPr="00666BAC" w:rsidRDefault="00611906" w:rsidP="00611906">
            <w:pPr>
              <w:keepNext/>
              <w:keepLines/>
              <w:tabs>
                <w:tab w:val="left" w:pos="1440"/>
                <w:tab w:val="decimal" w:pos="4320"/>
              </w:tabs>
              <w:jc w:val="left"/>
              <w:outlineLvl w:val="0"/>
              <w:rPr>
                <w:b/>
                <w:i/>
                <w:szCs w:val="22"/>
              </w:rPr>
            </w:pPr>
            <w:r w:rsidRPr="00666BAC">
              <w:rPr>
                <w:b/>
                <w:i/>
                <w:szCs w:val="22"/>
              </w:rPr>
              <w:t>Outside jurisdiction</w:t>
            </w:r>
          </w:p>
        </w:tc>
        <w:tc>
          <w:tcPr>
            <w:tcW w:w="2119" w:type="dxa"/>
            <w:shd w:val="clear" w:color="auto" w:fill="C00000"/>
            <w:vAlign w:val="center"/>
          </w:tcPr>
          <w:p w:rsidR="00611906" w:rsidRPr="00666BAC" w:rsidRDefault="000C2191" w:rsidP="00611906">
            <w:pPr>
              <w:keepNext/>
              <w:keepLines/>
              <w:tabs>
                <w:tab w:val="left" w:pos="1440"/>
                <w:tab w:val="decimal" w:pos="4320"/>
              </w:tabs>
              <w:jc w:val="center"/>
              <w:outlineLvl w:val="0"/>
              <w:rPr>
                <w:b/>
                <w:i/>
                <w:szCs w:val="22"/>
              </w:rPr>
            </w:pPr>
            <w:r w:rsidRPr="00666BAC">
              <w:rPr>
                <w:b/>
                <w:i/>
                <w:szCs w:val="22"/>
              </w:rPr>
              <w:t>35</w:t>
            </w:r>
          </w:p>
        </w:tc>
      </w:tr>
      <w:tr w:rsidR="00611906" w:rsidRPr="00666BAC" w:rsidTr="000C2191">
        <w:tc>
          <w:tcPr>
            <w:tcW w:w="3680" w:type="dxa"/>
            <w:shd w:val="clear" w:color="auto" w:fill="C00000"/>
          </w:tcPr>
          <w:p w:rsidR="00611906" w:rsidRPr="00666BAC" w:rsidRDefault="00611906" w:rsidP="00611906">
            <w:pPr>
              <w:keepNext/>
              <w:keepLines/>
              <w:tabs>
                <w:tab w:val="left" w:pos="1440"/>
                <w:tab w:val="decimal" w:pos="4320"/>
              </w:tabs>
              <w:jc w:val="left"/>
              <w:outlineLvl w:val="0"/>
              <w:rPr>
                <w:rFonts w:cs="Arial"/>
                <w:b/>
                <w:szCs w:val="22"/>
                <w:lang w:eastAsia="en-NZ" w:bidi="ar-SA"/>
              </w:rPr>
            </w:pPr>
            <w:r w:rsidRPr="00666BAC">
              <w:rPr>
                <w:rFonts w:cs="Arial"/>
                <w:b/>
                <w:szCs w:val="22"/>
                <w:lang w:eastAsia="en-NZ" w:bidi="ar-SA"/>
              </w:rPr>
              <w:t>TOTAL</w:t>
            </w:r>
          </w:p>
        </w:tc>
        <w:tc>
          <w:tcPr>
            <w:tcW w:w="2119" w:type="dxa"/>
            <w:shd w:val="clear" w:color="auto" w:fill="C00000"/>
          </w:tcPr>
          <w:p w:rsidR="00611906" w:rsidRPr="00666BAC" w:rsidRDefault="000C2191" w:rsidP="00611906">
            <w:pPr>
              <w:jc w:val="center"/>
              <w:rPr>
                <w:rFonts w:cs="Calibri"/>
                <w:b/>
                <w:color w:val="000000"/>
                <w:szCs w:val="22"/>
              </w:rPr>
            </w:pPr>
            <w:r w:rsidRPr="00666BAC">
              <w:rPr>
                <w:rFonts w:cs="Calibri"/>
                <w:b/>
                <w:color w:val="FFFFFF" w:themeColor="background1"/>
                <w:szCs w:val="22"/>
              </w:rPr>
              <w:t>847</w:t>
            </w:r>
          </w:p>
        </w:tc>
      </w:tr>
    </w:tbl>
    <w:p w:rsidR="00611906" w:rsidRPr="00666BAC" w:rsidRDefault="00611906" w:rsidP="00611906">
      <w:pPr>
        <w:rPr>
          <w:lang w:eastAsia="en-NZ" w:bidi="ar-SA"/>
        </w:rPr>
      </w:pPr>
    </w:p>
    <w:p w:rsidR="00611906" w:rsidRPr="00666BAC" w:rsidRDefault="00611906" w:rsidP="00611906">
      <w:pPr>
        <w:rPr>
          <w:lang w:eastAsia="en-NZ"/>
        </w:rPr>
      </w:pPr>
      <w:r w:rsidRPr="00666BAC">
        <w:rPr>
          <w:lang w:eastAsia="en-NZ"/>
        </w:rPr>
        <w:t>As can be seen from th</w:t>
      </w:r>
      <w:r w:rsidR="000C2191" w:rsidRPr="00666BAC">
        <w:rPr>
          <w:lang w:eastAsia="en-NZ"/>
        </w:rPr>
        <w:t>e table above, in the 2015/16 year, HDC concluded 28</w:t>
      </w:r>
      <w:r w:rsidRPr="00666BAC">
        <w:rPr>
          <w:lang w:eastAsia="en-NZ"/>
        </w:rPr>
        <w:t xml:space="preserve"> formal i</w:t>
      </w:r>
      <w:r w:rsidR="000C2191" w:rsidRPr="00666BAC">
        <w:rPr>
          <w:lang w:eastAsia="en-NZ"/>
        </w:rPr>
        <w:t>nvestigations involving DHBs, 1</w:t>
      </w:r>
      <w:r w:rsidR="00990C45" w:rsidRPr="00666BAC">
        <w:rPr>
          <w:lang w:eastAsia="en-NZ"/>
        </w:rPr>
        <w:t>1</w:t>
      </w:r>
      <w:r w:rsidRPr="00666BAC">
        <w:rPr>
          <w:lang w:eastAsia="en-NZ"/>
        </w:rPr>
        <w:t xml:space="preserve"> of which resulted in a finding that </w:t>
      </w:r>
      <w:r w:rsidR="0078386C">
        <w:rPr>
          <w:lang w:eastAsia="en-NZ"/>
        </w:rPr>
        <w:t xml:space="preserve">the DHB had breached the Code. </w:t>
      </w:r>
      <w:r w:rsidRPr="00666BAC">
        <w:rPr>
          <w:lang w:eastAsia="en-NZ"/>
        </w:rPr>
        <w:t>The number of formal investigations concluded in respect of each individual DHB ranged from no</w:t>
      </w:r>
      <w:r w:rsidR="000C2191" w:rsidRPr="00666BAC">
        <w:rPr>
          <w:lang w:eastAsia="en-NZ"/>
        </w:rPr>
        <w:t>ne to five</w:t>
      </w:r>
      <w:r w:rsidR="00A440B1" w:rsidRPr="00666BAC">
        <w:rPr>
          <w:lang w:eastAsia="en-NZ"/>
        </w:rPr>
        <w:t xml:space="preserve"> investigations. </w:t>
      </w:r>
      <w:r w:rsidRPr="00666BAC">
        <w:rPr>
          <w:lang w:eastAsia="en-NZ"/>
        </w:rPr>
        <w:t>No DHBs were referred to the Director of Proceedings.</w:t>
      </w:r>
    </w:p>
    <w:p w:rsidR="00362E9D" w:rsidRPr="00666BAC" w:rsidRDefault="00362E9D" w:rsidP="00EE5709"/>
    <w:p w:rsidR="00362E9D" w:rsidRPr="00666BAC" w:rsidRDefault="00362E9D" w:rsidP="00EE5709"/>
    <w:p w:rsidR="00362E9D" w:rsidRPr="00666BAC" w:rsidRDefault="00362E9D" w:rsidP="00EE5709"/>
    <w:p w:rsidR="00362E9D" w:rsidRPr="00666BAC" w:rsidRDefault="00362E9D" w:rsidP="00EE5709"/>
    <w:p w:rsidR="00362E9D" w:rsidRPr="00666BAC" w:rsidRDefault="00362E9D" w:rsidP="00EE5709"/>
    <w:p w:rsidR="00362E9D" w:rsidRPr="00666BAC" w:rsidRDefault="00362E9D" w:rsidP="00EE5709"/>
    <w:p w:rsidR="00BD69A8" w:rsidRPr="00666BAC" w:rsidRDefault="00BD69A8" w:rsidP="00EE5709"/>
    <w:p w:rsidR="00EE5709" w:rsidRPr="00666BAC" w:rsidRDefault="00EE5709" w:rsidP="00EE5709"/>
    <w:p w:rsidR="00EE5709" w:rsidRPr="00666BAC" w:rsidRDefault="00EE5709" w:rsidP="00EE5709"/>
    <w:p w:rsidR="0051595D" w:rsidRPr="00666BAC" w:rsidRDefault="0051595D" w:rsidP="00EE5709"/>
    <w:p w:rsidR="00990C45" w:rsidRPr="00666BAC" w:rsidRDefault="00990C45" w:rsidP="00EE5709"/>
    <w:p w:rsidR="00990C45" w:rsidRPr="00666BAC" w:rsidRDefault="00990C45" w:rsidP="00EE5709"/>
    <w:p w:rsidR="00990C45" w:rsidRPr="00666BAC" w:rsidRDefault="00990C45" w:rsidP="00EE5709"/>
    <w:p w:rsidR="00990C45" w:rsidRPr="00666BAC" w:rsidRDefault="00990C45" w:rsidP="00EE5709"/>
    <w:p w:rsidR="00990C45" w:rsidRPr="00666BAC" w:rsidRDefault="00990C45" w:rsidP="00990C45">
      <w:pPr>
        <w:pStyle w:val="Heading2"/>
        <w:spacing w:after="240"/>
        <w:ind w:left="426" w:hanging="426"/>
        <w:rPr>
          <w:sz w:val="36"/>
          <w:szCs w:val="36"/>
        </w:rPr>
      </w:pPr>
      <w:bookmarkStart w:id="43" w:name="_Toc404344438"/>
      <w:bookmarkStart w:id="44" w:name="_Toc438024738"/>
      <w:bookmarkEnd w:id="38"/>
      <w:r w:rsidRPr="00666BAC">
        <w:rPr>
          <w:sz w:val="36"/>
          <w:szCs w:val="36"/>
        </w:rPr>
        <w:t>3.</w:t>
      </w:r>
      <w:r w:rsidRPr="00666BAC">
        <w:rPr>
          <w:sz w:val="36"/>
          <w:szCs w:val="36"/>
        </w:rPr>
        <w:tab/>
        <w:t>Recommendations made to DHBs following resolution of complaints</w:t>
      </w:r>
      <w:bookmarkEnd w:id="43"/>
      <w:bookmarkEnd w:id="44"/>
    </w:p>
    <w:p w:rsidR="00990C45" w:rsidRPr="00666BAC" w:rsidRDefault="00990C45" w:rsidP="00990C45">
      <w:pPr>
        <w:pStyle w:val="NoSpacing"/>
        <w:spacing w:after="120"/>
        <w:rPr>
          <w:lang w:val="en-NZ" w:eastAsia="en-NZ"/>
        </w:rPr>
      </w:pPr>
      <w:r w:rsidRPr="00666BAC">
        <w:rPr>
          <w:lang w:val="en-NZ" w:eastAsia="en-NZ"/>
        </w:rPr>
        <w:t>Regardless of whether or not a complaint has been investigated, or whether the DHB has been found in breach of the Code, the Commissioner may make recomme</w:t>
      </w:r>
      <w:r w:rsidR="00666BAC">
        <w:rPr>
          <w:lang w:val="en-NZ" w:eastAsia="en-NZ"/>
        </w:rPr>
        <w:t>ndations to a DHB. HDC</w:t>
      </w:r>
      <w:r w:rsidRPr="00666BAC">
        <w:rPr>
          <w:lang w:val="en-NZ" w:eastAsia="en-NZ"/>
        </w:rPr>
        <w:t xml:space="preserve"> then follows up with the DHB to ensure that these recomm</w:t>
      </w:r>
      <w:r w:rsidR="00A440B1" w:rsidRPr="00666BAC">
        <w:rPr>
          <w:lang w:val="en-NZ" w:eastAsia="en-NZ"/>
        </w:rPr>
        <w:t xml:space="preserve">endations have been acted on. </w:t>
      </w:r>
      <w:r w:rsidRPr="00666BAC">
        <w:rPr>
          <w:lang w:val="en-NZ" w:eastAsia="en-NZ"/>
        </w:rPr>
        <w:t>Many such recommendations are described in the case studies included throughout this report.</w:t>
      </w:r>
    </w:p>
    <w:p w:rsidR="00990C45" w:rsidRPr="00666BAC" w:rsidRDefault="00990C45" w:rsidP="00990C45">
      <w:pPr>
        <w:pStyle w:val="NoSpacing"/>
        <w:spacing w:after="120"/>
        <w:rPr>
          <w:lang w:val="en-NZ" w:eastAsia="en-NZ"/>
        </w:rPr>
      </w:pPr>
      <w:r w:rsidRPr="00666BAC">
        <w:rPr>
          <w:lang w:val="en-NZ" w:eastAsia="en-NZ"/>
        </w:rPr>
        <w:t xml:space="preserve">Table 9 shows the recommendations made to DHBs </w:t>
      </w:r>
      <w:r w:rsidR="000C2191" w:rsidRPr="00666BAC">
        <w:rPr>
          <w:lang w:val="en-NZ" w:eastAsia="en-NZ"/>
        </w:rPr>
        <w:t>in complaints closed in the 2015/16</w:t>
      </w:r>
      <w:r w:rsidRPr="00666BAC">
        <w:rPr>
          <w:lang w:val="en-NZ" w:eastAsia="en-NZ"/>
        </w:rPr>
        <w:t xml:space="preserve"> year. Please note that more than one recommendation may be made in relation to a single complaint. </w:t>
      </w:r>
    </w:p>
    <w:p w:rsidR="00990C45" w:rsidRPr="00666BAC" w:rsidRDefault="00990C45" w:rsidP="00990C45">
      <w:pPr>
        <w:pStyle w:val="NoSpacing"/>
        <w:spacing w:after="120"/>
        <w:rPr>
          <w:lang w:val="en-NZ" w:eastAsia="en-NZ"/>
        </w:rPr>
      </w:pPr>
      <w:r w:rsidRPr="00666BAC">
        <w:rPr>
          <w:b/>
          <w:lang w:val="en-NZ" w:eastAsia="en-NZ"/>
        </w:rPr>
        <w:t xml:space="preserve">Table 9. </w:t>
      </w:r>
      <w:r w:rsidRPr="00666BAC">
        <w:rPr>
          <w:lang w:val="en-NZ" w:eastAsia="en-NZ"/>
        </w:rPr>
        <w:t>Recommendations made to DHBs following a complaint</w:t>
      </w:r>
    </w:p>
    <w:tbl>
      <w:tblPr>
        <w:tblStyle w:val="TableGrid"/>
        <w:tblW w:w="0" w:type="auto"/>
        <w:tblInd w:w="108" w:type="dxa"/>
        <w:tblLayout w:type="fixed"/>
        <w:tblLook w:val="04A0" w:firstRow="1" w:lastRow="0" w:firstColumn="1" w:lastColumn="0" w:noHBand="0" w:noVBand="1"/>
      </w:tblPr>
      <w:tblGrid>
        <w:gridCol w:w="3686"/>
        <w:gridCol w:w="2410"/>
      </w:tblGrid>
      <w:tr w:rsidR="00990C45" w:rsidRPr="00666BAC" w:rsidTr="00164EEF">
        <w:tc>
          <w:tcPr>
            <w:tcW w:w="3686" w:type="dxa"/>
            <w:shd w:val="clear" w:color="auto" w:fill="C00000"/>
            <w:vAlign w:val="center"/>
          </w:tcPr>
          <w:p w:rsidR="00990C45" w:rsidRPr="00666BAC" w:rsidRDefault="00990C45" w:rsidP="00990C45">
            <w:pPr>
              <w:pStyle w:val="NoSpacing"/>
              <w:jc w:val="center"/>
              <w:rPr>
                <w:b/>
                <w:lang w:val="en-NZ" w:eastAsia="en-NZ"/>
              </w:rPr>
            </w:pPr>
            <w:r w:rsidRPr="00666BAC">
              <w:rPr>
                <w:b/>
                <w:lang w:val="en-NZ" w:eastAsia="en-NZ"/>
              </w:rPr>
              <w:t>Type of recommendation</w:t>
            </w:r>
          </w:p>
        </w:tc>
        <w:tc>
          <w:tcPr>
            <w:tcW w:w="2410" w:type="dxa"/>
            <w:shd w:val="clear" w:color="auto" w:fill="C00000"/>
          </w:tcPr>
          <w:p w:rsidR="00990C45" w:rsidRPr="00666BAC" w:rsidRDefault="00990C45" w:rsidP="00990C45">
            <w:pPr>
              <w:pStyle w:val="NoSpacing"/>
              <w:jc w:val="center"/>
              <w:rPr>
                <w:b/>
                <w:lang w:val="en-NZ" w:eastAsia="en-NZ"/>
              </w:rPr>
            </w:pPr>
            <w:r w:rsidRPr="00666BAC">
              <w:rPr>
                <w:b/>
                <w:lang w:val="en-NZ" w:eastAsia="en-NZ"/>
              </w:rPr>
              <w:t>Number of recommendations made</w:t>
            </w:r>
          </w:p>
        </w:tc>
      </w:tr>
      <w:tr w:rsidR="00990C45" w:rsidRPr="00666BAC" w:rsidTr="00164EEF">
        <w:tc>
          <w:tcPr>
            <w:tcW w:w="3686" w:type="dxa"/>
          </w:tcPr>
          <w:p w:rsidR="00990C45" w:rsidRPr="00666BAC" w:rsidRDefault="00990C45" w:rsidP="00990C45">
            <w:pPr>
              <w:pStyle w:val="NoSpacing"/>
              <w:jc w:val="left"/>
              <w:rPr>
                <w:lang w:val="en-NZ" w:eastAsia="en-NZ"/>
              </w:rPr>
            </w:pPr>
            <w:r w:rsidRPr="00666BAC">
              <w:rPr>
                <w:lang w:val="en-NZ" w:eastAsia="en-NZ"/>
              </w:rPr>
              <w:t>Apology</w:t>
            </w:r>
          </w:p>
        </w:tc>
        <w:tc>
          <w:tcPr>
            <w:tcW w:w="2410" w:type="dxa"/>
          </w:tcPr>
          <w:p w:rsidR="00990C45" w:rsidRPr="00666BAC" w:rsidRDefault="000C2191" w:rsidP="00990C45">
            <w:pPr>
              <w:pStyle w:val="NoSpacing"/>
              <w:jc w:val="center"/>
              <w:rPr>
                <w:lang w:val="en-NZ" w:eastAsia="en-NZ"/>
              </w:rPr>
            </w:pPr>
            <w:r w:rsidRPr="00666BAC">
              <w:rPr>
                <w:lang w:val="en-NZ" w:eastAsia="en-NZ"/>
              </w:rPr>
              <w:t>34</w:t>
            </w:r>
          </w:p>
        </w:tc>
      </w:tr>
      <w:tr w:rsidR="00990C45" w:rsidRPr="00666BAC" w:rsidTr="00164EEF">
        <w:trPr>
          <w:trHeight w:val="293"/>
        </w:trPr>
        <w:tc>
          <w:tcPr>
            <w:tcW w:w="3686" w:type="dxa"/>
          </w:tcPr>
          <w:p w:rsidR="00990C45" w:rsidRPr="00666BAC" w:rsidRDefault="00990C45" w:rsidP="00990C45">
            <w:pPr>
              <w:pStyle w:val="NoSpacing"/>
              <w:jc w:val="left"/>
              <w:rPr>
                <w:lang w:val="en-NZ" w:eastAsia="en-NZ"/>
              </w:rPr>
            </w:pPr>
            <w:r w:rsidRPr="00666BAC">
              <w:rPr>
                <w:lang w:val="en-NZ" w:eastAsia="en-NZ"/>
              </w:rPr>
              <w:t>Audit</w:t>
            </w:r>
          </w:p>
        </w:tc>
        <w:tc>
          <w:tcPr>
            <w:tcW w:w="2410" w:type="dxa"/>
          </w:tcPr>
          <w:p w:rsidR="00990C45" w:rsidRPr="00666BAC" w:rsidRDefault="000C2191" w:rsidP="00990C45">
            <w:pPr>
              <w:pStyle w:val="NoSpacing"/>
              <w:jc w:val="center"/>
              <w:rPr>
                <w:lang w:val="en-NZ" w:eastAsia="en-NZ"/>
              </w:rPr>
            </w:pPr>
            <w:r w:rsidRPr="00666BAC">
              <w:rPr>
                <w:lang w:val="en-NZ" w:eastAsia="en-NZ"/>
              </w:rPr>
              <w:t>52</w:t>
            </w:r>
          </w:p>
        </w:tc>
      </w:tr>
      <w:tr w:rsidR="00990C45" w:rsidRPr="00666BAC" w:rsidTr="00164EEF">
        <w:tc>
          <w:tcPr>
            <w:tcW w:w="3686" w:type="dxa"/>
          </w:tcPr>
          <w:p w:rsidR="00990C45" w:rsidRPr="00666BAC" w:rsidRDefault="00990C45" w:rsidP="00990C45">
            <w:pPr>
              <w:pStyle w:val="NoSpacing"/>
              <w:jc w:val="left"/>
              <w:rPr>
                <w:lang w:val="en-NZ" w:eastAsia="en-NZ"/>
              </w:rPr>
            </w:pPr>
            <w:r w:rsidRPr="00666BAC">
              <w:rPr>
                <w:lang w:val="en-NZ" w:eastAsia="en-NZ"/>
              </w:rPr>
              <w:t>Meeting with consumer/complainant</w:t>
            </w:r>
          </w:p>
        </w:tc>
        <w:tc>
          <w:tcPr>
            <w:tcW w:w="2410" w:type="dxa"/>
            <w:vAlign w:val="center"/>
          </w:tcPr>
          <w:p w:rsidR="00990C45" w:rsidRPr="00666BAC" w:rsidRDefault="000C2191" w:rsidP="00990C45">
            <w:pPr>
              <w:pStyle w:val="NoSpacing"/>
              <w:jc w:val="center"/>
              <w:rPr>
                <w:lang w:val="en-NZ" w:eastAsia="en-NZ"/>
              </w:rPr>
            </w:pPr>
            <w:r w:rsidRPr="00666BAC">
              <w:rPr>
                <w:lang w:val="en-NZ" w:eastAsia="en-NZ"/>
              </w:rPr>
              <w:t>3</w:t>
            </w:r>
          </w:p>
        </w:tc>
      </w:tr>
      <w:tr w:rsidR="00990C45" w:rsidRPr="00666BAC" w:rsidTr="00164EEF">
        <w:tc>
          <w:tcPr>
            <w:tcW w:w="3686" w:type="dxa"/>
          </w:tcPr>
          <w:p w:rsidR="00990C45" w:rsidRPr="00666BAC" w:rsidRDefault="00990C45" w:rsidP="00990C45">
            <w:pPr>
              <w:pStyle w:val="NoSpacing"/>
              <w:jc w:val="left"/>
              <w:rPr>
                <w:lang w:val="en-NZ" w:eastAsia="en-NZ"/>
              </w:rPr>
            </w:pPr>
            <w:r w:rsidRPr="00666BAC">
              <w:rPr>
                <w:lang w:val="en-NZ" w:eastAsia="en-NZ"/>
              </w:rPr>
              <w:t>Presentation/discussion of complaint with others</w:t>
            </w:r>
          </w:p>
        </w:tc>
        <w:tc>
          <w:tcPr>
            <w:tcW w:w="2410" w:type="dxa"/>
            <w:vAlign w:val="center"/>
          </w:tcPr>
          <w:p w:rsidR="00990C45" w:rsidRPr="00666BAC" w:rsidRDefault="000C2191" w:rsidP="00990C45">
            <w:pPr>
              <w:pStyle w:val="NoSpacing"/>
              <w:jc w:val="center"/>
              <w:rPr>
                <w:lang w:val="en-NZ" w:eastAsia="en-NZ"/>
              </w:rPr>
            </w:pPr>
            <w:r w:rsidRPr="00666BAC">
              <w:rPr>
                <w:lang w:val="en-NZ" w:eastAsia="en-NZ"/>
              </w:rPr>
              <w:t>18</w:t>
            </w:r>
          </w:p>
        </w:tc>
      </w:tr>
      <w:tr w:rsidR="000C2191" w:rsidRPr="00666BAC" w:rsidTr="00164EEF">
        <w:tc>
          <w:tcPr>
            <w:tcW w:w="3686" w:type="dxa"/>
          </w:tcPr>
          <w:p w:rsidR="000C2191" w:rsidRPr="00666BAC" w:rsidRDefault="000C2191" w:rsidP="00990C45">
            <w:pPr>
              <w:pStyle w:val="NoSpacing"/>
              <w:jc w:val="left"/>
              <w:rPr>
                <w:lang w:val="en-NZ" w:eastAsia="en-NZ"/>
              </w:rPr>
            </w:pPr>
            <w:r w:rsidRPr="00666BAC">
              <w:rPr>
                <w:lang w:val="en-NZ" w:eastAsia="en-NZ"/>
              </w:rPr>
              <w:t>Provision of information to other agency</w:t>
            </w:r>
          </w:p>
        </w:tc>
        <w:tc>
          <w:tcPr>
            <w:tcW w:w="2410" w:type="dxa"/>
            <w:vAlign w:val="center"/>
          </w:tcPr>
          <w:p w:rsidR="000C2191" w:rsidRPr="00666BAC" w:rsidRDefault="000C2191" w:rsidP="00990C45">
            <w:pPr>
              <w:pStyle w:val="NoSpacing"/>
              <w:jc w:val="center"/>
              <w:rPr>
                <w:lang w:val="en-NZ" w:eastAsia="en-NZ"/>
              </w:rPr>
            </w:pPr>
            <w:r w:rsidRPr="00666BAC">
              <w:rPr>
                <w:lang w:val="en-NZ" w:eastAsia="en-NZ"/>
              </w:rPr>
              <w:t>3</w:t>
            </w:r>
          </w:p>
        </w:tc>
      </w:tr>
      <w:tr w:rsidR="00990C45" w:rsidRPr="00666BAC" w:rsidTr="00164EEF">
        <w:tc>
          <w:tcPr>
            <w:tcW w:w="3686" w:type="dxa"/>
          </w:tcPr>
          <w:p w:rsidR="00990C45" w:rsidRPr="00666BAC" w:rsidRDefault="00990C45" w:rsidP="00990C45">
            <w:pPr>
              <w:pStyle w:val="NoSpacing"/>
              <w:rPr>
                <w:lang w:val="en-NZ" w:eastAsia="en-NZ"/>
              </w:rPr>
            </w:pPr>
            <w:r w:rsidRPr="00666BAC">
              <w:rPr>
                <w:lang w:val="en-NZ" w:eastAsia="en-NZ"/>
              </w:rPr>
              <w:t>Provision of information</w:t>
            </w:r>
            <w:r w:rsidR="008A48D8" w:rsidRPr="00666BAC">
              <w:rPr>
                <w:lang w:val="en-NZ" w:eastAsia="en-NZ"/>
              </w:rPr>
              <w:t xml:space="preserve"> to HDC</w:t>
            </w:r>
          </w:p>
        </w:tc>
        <w:tc>
          <w:tcPr>
            <w:tcW w:w="2410" w:type="dxa"/>
          </w:tcPr>
          <w:p w:rsidR="00990C45" w:rsidRPr="00666BAC" w:rsidRDefault="000C2191" w:rsidP="00990C45">
            <w:pPr>
              <w:pStyle w:val="NoSpacing"/>
              <w:jc w:val="center"/>
              <w:rPr>
                <w:lang w:val="en-NZ" w:eastAsia="en-NZ"/>
              </w:rPr>
            </w:pPr>
            <w:r w:rsidRPr="00666BAC">
              <w:rPr>
                <w:lang w:val="en-NZ" w:eastAsia="en-NZ"/>
              </w:rPr>
              <w:t>55</w:t>
            </w:r>
          </w:p>
        </w:tc>
      </w:tr>
      <w:tr w:rsidR="00990C45" w:rsidRPr="00666BAC" w:rsidTr="00164EEF">
        <w:tc>
          <w:tcPr>
            <w:tcW w:w="3686" w:type="dxa"/>
          </w:tcPr>
          <w:p w:rsidR="00990C45" w:rsidRPr="00666BAC" w:rsidRDefault="00990C45" w:rsidP="00990C45">
            <w:pPr>
              <w:pStyle w:val="NoSpacing"/>
              <w:rPr>
                <w:lang w:val="en-NZ" w:eastAsia="en-NZ"/>
              </w:rPr>
            </w:pPr>
            <w:r w:rsidRPr="00666BAC">
              <w:rPr>
                <w:lang w:val="en-NZ" w:eastAsia="en-NZ"/>
              </w:rPr>
              <w:t>Reflection</w:t>
            </w:r>
          </w:p>
        </w:tc>
        <w:tc>
          <w:tcPr>
            <w:tcW w:w="2410" w:type="dxa"/>
          </w:tcPr>
          <w:p w:rsidR="00990C45" w:rsidRPr="00666BAC" w:rsidRDefault="000C2191" w:rsidP="00990C45">
            <w:pPr>
              <w:pStyle w:val="NoSpacing"/>
              <w:jc w:val="center"/>
              <w:rPr>
                <w:lang w:val="en-NZ" w:eastAsia="en-NZ"/>
              </w:rPr>
            </w:pPr>
            <w:r w:rsidRPr="00666BAC">
              <w:rPr>
                <w:lang w:val="en-NZ" w:eastAsia="en-NZ"/>
              </w:rPr>
              <w:t>8</w:t>
            </w:r>
          </w:p>
        </w:tc>
      </w:tr>
      <w:tr w:rsidR="00990C45" w:rsidRPr="00666BAC" w:rsidTr="00164EEF">
        <w:tc>
          <w:tcPr>
            <w:tcW w:w="3686" w:type="dxa"/>
          </w:tcPr>
          <w:p w:rsidR="00990C45" w:rsidRPr="00666BAC" w:rsidRDefault="00990C45" w:rsidP="00990C45">
            <w:pPr>
              <w:pStyle w:val="NoSpacing"/>
              <w:rPr>
                <w:lang w:val="en-NZ" w:eastAsia="en-NZ"/>
              </w:rPr>
            </w:pPr>
            <w:r w:rsidRPr="00666BAC">
              <w:rPr>
                <w:lang w:val="en-NZ" w:eastAsia="en-NZ"/>
              </w:rPr>
              <w:t>Review of policies/procedures</w:t>
            </w:r>
          </w:p>
        </w:tc>
        <w:tc>
          <w:tcPr>
            <w:tcW w:w="2410" w:type="dxa"/>
          </w:tcPr>
          <w:p w:rsidR="00990C45" w:rsidRPr="00666BAC" w:rsidRDefault="000C2191" w:rsidP="00990C45">
            <w:pPr>
              <w:pStyle w:val="NoSpacing"/>
              <w:jc w:val="center"/>
              <w:rPr>
                <w:lang w:val="en-NZ" w:eastAsia="en-NZ"/>
              </w:rPr>
            </w:pPr>
            <w:r w:rsidRPr="00666BAC">
              <w:rPr>
                <w:lang w:val="en-NZ" w:eastAsia="en-NZ"/>
              </w:rPr>
              <w:t>58</w:t>
            </w:r>
          </w:p>
        </w:tc>
      </w:tr>
      <w:tr w:rsidR="00990C45" w:rsidRPr="00666BAC" w:rsidTr="00164EEF">
        <w:tc>
          <w:tcPr>
            <w:tcW w:w="3686" w:type="dxa"/>
          </w:tcPr>
          <w:p w:rsidR="00990C45" w:rsidRPr="00666BAC" w:rsidRDefault="00990C45" w:rsidP="00990C45">
            <w:pPr>
              <w:pStyle w:val="NoSpacing"/>
              <w:rPr>
                <w:lang w:val="en-NZ" w:eastAsia="en-NZ"/>
              </w:rPr>
            </w:pPr>
            <w:r w:rsidRPr="00666BAC">
              <w:rPr>
                <w:lang w:val="en-NZ" w:eastAsia="en-NZ"/>
              </w:rPr>
              <w:t>Training/professional development</w:t>
            </w:r>
          </w:p>
        </w:tc>
        <w:tc>
          <w:tcPr>
            <w:tcW w:w="2410" w:type="dxa"/>
          </w:tcPr>
          <w:p w:rsidR="00990C45" w:rsidRPr="00666BAC" w:rsidRDefault="000C2191" w:rsidP="00990C45">
            <w:pPr>
              <w:pStyle w:val="NoSpacing"/>
              <w:jc w:val="center"/>
              <w:rPr>
                <w:lang w:val="en-NZ" w:eastAsia="en-NZ"/>
              </w:rPr>
            </w:pPr>
            <w:r w:rsidRPr="00666BAC">
              <w:rPr>
                <w:lang w:val="en-NZ" w:eastAsia="en-NZ"/>
              </w:rPr>
              <w:t>38</w:t>
            </w:r>
          </w:p>
        </w:tc>
      </w:tr>
      <w:tr w:rsidR="00990C45" w:rsidRPr="00666BAC" w:rsidTr="00164EEF">
        <w:tc>
          <w:tcPr>
            <w:tcW w:w="3686" w:type="dxa"/>
            <w:shd w:val="clear" w:color="auto" w:fill="C00000"/>
          </w:tcPr>
          <w:p w:rsidR="00990C45" w:rsidRPr="00666BAC" w:rsidRDefault="00990C45" w:rsidP="00990C45">
            <w:pPr>
              <w:pStyle w:val="NoSpacing"/>
              <w:rPr>
                <w:b/>
                <w:lang w:val="en-NZ" w:eastAsia="en-NZ"/>
              </w:rPr>
            </w:pPr>
            <w:r w:rsidRPr="00666BAC">
              <w:rPr>
                <w:b/>
                <w:lang w:val="en-NZ" w:eastAsia="en-NZ"/>
              </w:rPr>
              <w:t>Total</w:t>
            </w:r>
          </w:p>
        </w:tc>
        <w:tc>
          <w:tcPr>
            <w:tcW w:w="2410" w:type="dxa"/>
            <w:shd w:val="clear" w:color="auto" w:fill="C00000"/>
          </w:tcPr>
          <w:p w:rsidR="00990C45" w:rsidRPr="00666BAC" w:rsidRDefault="000C2191" w:rsidP="00990C45">
            <w:pPr>
              <w:pStyle w:val="NoSpacing"/>
              <w:jc w:val="center"/>
              <w:rPr>
                <w:b/>
                <w:lang w:val="en-NZ" w:eastAsia="en-NZ"/>
              </w:rPr>
            </w:pPr>
            <w:r w:rsidRPr="00666BAC">
              <w:rPr>
                <w:b/>
                <w:lang w:val="en-NZ" w:eastAsia="en-NZ"/>
              </w:rPr>
              <w:t>269</w:t>
            </w:r>
          </w:p>
        </w:tc>
      </w:tr>
    </w:tbl>
    <w:p w:rsidR="00914D68" w:rsidRPr="00666BAC" w:rsidRDefault="00990C45" w:rsidP="00990C45">
      <w:pPr>
        <w:spacing w:before="240"/>
        <w:rPr>
          <w:lang w:eastAsia="en-NZ"/>
        </w:rPr>
      </w:pPr>
      <w:r w:rsidRPr="00666BAC">
        <w:t xml:space="preserve">As can be seen from </w:t>
      </w:r>
      <w:r w:rsidR="00914D68" w:rsidRPr="00666BAC">
        <w:t>T</w:t>
      </w:r>
      <w:r w:rsidRPr="00666BAC">
        <w:t>able</w:t>
      </w:r>
      <w:r w:rsidR="00914D68" w:rsidRPr="00666BAC">
        <w:t xml:space="preserve"> 9 above</w:t>
      </w:r>
      <w:r w:rsidRPr="00666BAC">
        <w:t>, t</w:t>
      </w:r>
      <w:r w:rsidRPr="00666BAC">
        <w:rPr>
          <w:lang w:eastAsia="en-NZ"/>
        </w:rPr>
        <w:t>he most common recommendation made to DHBs was that they revi</w:t>
      </w:r>
      <w:r w:rsidR="000C2191" w:rsidRPr="00666BAC">
        <w:rPr>
          <w:lang w:eastAsia="en-NZ"/>
        </w:rPr>
        <w:t>ew their policies/procedures (58</w:t>
      </w:r>
      <w:r w:rsidRPr="00666BAC">
        <w:rPr>
          <w:lang w:eastAsia="en-NZ"/>
        </w:rPr>
        <w:t xml:space="preserve"> recommendations).</w:t>
      </w:r>
      <w:r w:rsidR="000C2191" w:rsidRPr="00666BAC">
        <w:rPr>
          <w:lang w:eastAsia="en-NZ"/>
        </w:rPr>
        <w:t xml:space="preserve"> The provision of information to HDC (55 recommendations)</w:t>
      </w:r>
      <w:r w:rsidRPr="00666BAC">
        <w:rPr>
          <w:lang w:eastAsia="en-NZ"/>
        </w:rPr>
        <w:t xml:space="preserve"> </w:t>
      </w:r>
      <w:r w:rsidR="000C2191" w:rsidRPr="00666BAC">
        <w:rPr>
          <w:lang w:eastAsia="en-NZ"/>
        </w:rPr>
        <w:t>and a</w:t>
      </w:r>
      <w:r w:rsidR="00F70122" w:rsidRPr="00666BAC">
        <w:rPr>
          <w:lang w:eastAsia="en-NZ"/>
        </w:rPr>
        <w:t>udits were also often recommended (</w:t>
      </w:r>
      <w:r w:rsidR="000C2191" w:rsidRPr="00666BAC">
        <w:rPr>
          <w:lang w:eastAsia="en-NZ"/>
        </w:rPr>
        <w:t>52</w:t>
      </w:r>
      <w:r w:rsidRPr="00666BAC">
        <w:rPr>
          <w:lang w:eastAsia="en-NZ"/>
        </w:rPr>
        <w:t xml:space="preserve"> recommendations).</w:t>
      </w:r>
      <w:r w:rsidR="000C2191" w:rsidRPr="00666BAC">
        <w:rPr>
          <w:lang w:eastAsia="en-NZ"/>
        </w:rPr>
        <w:t xml:space="preserve"> The provision of information to HDC was often in relation to HDC ensuring that DHBs had made the changes they reported they would make in response to the complaint.</w:t>
      </w:r>
      <w:r w:rsidR="00F70122" w:rsidRPr="00666BAC">
        <w:rPr>
          <w:lang w:eastAsia="en-NZ"/>
        </w:rPr>
        <w:t xml:space="preserve"> Audits were most commonly of</w:t>
      </w:r>
      <w:r w:rsidR="00AA55FC" w:rsidRPr="00666BAC">
        <w:rPr>
          <w:lang w:eastAsia="en-NZ"/>
        </w:rPr>
        <w:t xml:space="preserve"> adherence to</w:t>
      </w:r>
      <w:r w:rsidR="00F70122" w:rsidRPr="00666BAC">
        <w:rPr>
          <w:lang w:eastAsia="en-NZ"/>
        </w:rPr>
        <w:t xml:space="preserve"> policies/procedures followed by </w:t>
      </w:r>
      <w:r w:rsidR="00AA55FC" w:rsidRPr="00666BAC">
        <w:rPr>
          <w:lang w:eastAsia="en-NZ"/>
        </w:rPr>
        <w:t xml:space="preserve">compliance with </w:t>
      </w:r>
      <w:r w:rsidR="00F70122" w:rsidRPr="00666BAC">
        <w:rPr>
          <w:lang w:eastAsia="en-NZ"/>
        </w:rPr>
        <w:t>documentation</w:t>
      </w:r>
      <w:r w:rsidR="00AA55FC" w:rsidRPr="00666BAC">
        <w:rPr>
          <w:lang w:eastAsia="en-NZ"/>
        </w:rPr>
        <w:t xml:space="preserve"> requirements</w:t>
      </w:r>
      <w:r w:rsidR="00F70122" w:rsidRPr="00666BAC">
        <w:rPr>
          <w:lang w:eastAsia="en-NZ"/>
        </w:rPr>
        <w:t>.</w:t>
      </w:r>
      <w:r w:rsidR="0078386C">
        <w:rPr>
          <w:lang w:eastAsia="en-NZ"/>
        </w:rPr>
        <w:t xml:space="preserve"> </w:t>
      </w:r>
      <w:r w:rsidRPr="00666BAC">
        <w:rPr>
          <w:lang w:eastAsia="en-NZ"/>
        </w:rPr>
        <w:t>Training recommendations most frequently concerned clinical issues</w:t>
      </w:r>
      <w:r w:rsidR="00AA55FC" w:rsidRPr="00666BAC">
        <w:rPr>
          <w:lang w:eastAsia="en-NZ"/>
        </w:rPr>
        <w:t xml:space="preserve"> followed by communication</w:t>
      </w:r>
      <w:r w:rsidRPr="00666BAC">
        <w:rPr>
          <w:lang w:eastAsia="en-NZ"/>
        </w:rPr>
        <w:t xml:space="preserve"> and documentation. </w:t>
      </w:r>
      <w:r w:rsidR="00AA55FC" w:rsidRPr="00666BAC">
        <w:rPr>
          <w:lang w:eastAsia="en-NZ"/>
        </w:rPr>
        <w:t>Apologies were recommended on 34</w:t>
      </w:r>
      <w:r w:rsidRPr="00666BAC">
        <w:rPr>
          <w:lang w:eastAsia="en-NZ"/>
        </w:rPr>
        <w:t xml:space="preserve"> occasions and feedback from complainants suggests that th</w:t>
      </w:r>
      <w:r w:rsidR="00914D68" w:rsidRPr="00666BAC">
        <w:rPr>
          <w:lang w:eastAsia="en-NZ"/>
        </w:rPr>
        <w:t xml:space="preserve">ese were often highly valued. </w:t>
      </w:r>
    </w:p>
    <w:p w:rsidR="00990C45" w:rsidRPr="00666BAC" w:rsidRDefault="00990C45" w:rsidP="00990C45">
      <w:pPr>
        <w:spacing w:before="240"/>
        <w:rPr>
          <w:lang w:eastAsia="en-NZ"/>
        </w:rPr>
      </w:pPr>
      <w:r w:rsidRPr="00666BAC">
        <w:rPr>
          <w:lang w:eastAsia="en-NZ"/>
        </w:rPr>
        <w:t xml:space="preserve">In the vast majority of cases, recommendations made by HDC are </w:t>
      </w:r>
      <w:r w:rsidR="004F4A2F">
        <w:rPr>
          <w:lang w:eastAsia="en-NZ"/>
        </w:rPr>
        <w:t>complied with</w:t>
      </w:r>
      <w:r w:rsidRPr="00666BAC">
        <w:rPr>
          <w:lang w:eastAsia="en-NZ"/>
        </w:rPr>
        <w:t xml:space="preserve"> by all providers, including DHBs.</w:t>
      </w:r>
    </w:p>
    <w:p w:rsidR="00990C45" w:rsidRPr="00666BAC" w:rsidRDefault="00990C45" w:rsidP="00990C45">
      <w:pPr>
        <w:spacing w:before="240"/>
        <w:rPr>
          <w:lang w:eastAsia="en-NZ"/>
        </w:rPr>
      </w:pPr>
    </w:p>
    <w:p w:rsidR="00F70122" w:rsidRPr="00666BAC" w:rsidRDefault="00F70122" w:rsidP="00990C45">
      <w:pPr>
        <w:spacing w:before="240"/>
        <w:rPr>
          <w:lang w:eastAsia="en-NZ"/>
        </w:rPr>
      </w:pPr>
    </w:p>
    <w:p w:rsidR="00F70122" w:rsidRPr="00666BAC" w:rsidRDefault="00F70122" w:rsidP="00990C45">
      <w:pPr>
        <w:spacing w:before="240"/>
        <w:rPr>
          <w:lang w:eastAsia="en-NZ"/>
        </w:rPr>
      </w:pPr>
    </w:p>
    <w:p w:rsidR="00F70122" w:rsidRPr="00666BAC" w:rsidRDefault="00F70122" w:rsidP="00990C45">
      <w:pPr>
        <w:spacing w:before="240"/>
        <w:rPr>
          <w:lang w:eastAsia="en-NZ"/>
        </w:rPr>
      </w:pPr>
    </w:p>
    <w:p w:rsidR="00F70122" w:rsidRDefault="00F70122" w:rsidP="00990C45">
      <w:pPr>
        <w:spacing w:before="240"/>
        <w:rPr>
          <w:lang w:eastAsia="en-NZ"/>
        </w:rPr>
      </w:pPr>
    </w:p>
    <w:p w:rsidR="00666BAC" w:rsidRPr="00666BAC" w:rsidRDefault="00666BAC" w:rsidP="00990C45">
      <w:pPr>
        <w:spacing w:before="240"/>
        <w:rPr>
          <w:lang w:eastAsia="en-NZ"/>
        </w:rPr>
      </w:pPr>
    </w:p>
    <w:p w:rsidR="00F70122" w:rsidRPr="00666BAC" w:rsidRDefault="00F70122" w:rsidP="00F70122">
      <w:pPr>
        <w:spacing w:before="240"/>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F70122" w:rsidRPr="00666BAC" w:rsidTr="002F346C">
        <w:tc>
          <w:tcPr>
            <w:tcW w:w="9298" w:type="dxa"/>
          </w:tcPr>
          <w:p w:rsidR="00F70122" w:rsidRPr="00666BAC" w:rsidRDefault="00F70122" w:rsidP="002F346C">
            <w:pPr>
              <w:jc w:val="center"/>
              <w:rPr>
                <w:b/>
                <w:sz w:val="28"/>
                <w:szCs w:val="28"/>
              </w:rPr>
            </w:pPr>
            <w:r w:rsidRPr="00666BAC">
              <w:rPr>
                <w:b/>
                <w:sz w:val="28"/>
                <w:szCs w:val="28"/>
              </w:rPr>
              <w:t xml:space="preserve">Case studies </w:t>
            </w:r>
          </w:p>
          <w:p w:rsidR="00F70122" w:rsidRPr="00666BAC" w:rsidRDefault="00F70122" w:rsidP="002F346C">
            <w:pPr>
              <w:jc w:val="center"/>
              <w:rPr>
                <w:b/>
                <w:sz w:val="28"/>
                <w:szCs w:val="28"/>
              </w:rPr>
            </w:pPr>
            <w:r w:rsidRPr="00666BAC">
              <w:rPr>
                <w:b/>
                <w:sz w:val="28"/>
                <w:szCs w:val="28"/>
              </w:rPr>
              <w:t>Recommendations made by HDC</w:t>
            </w:r>
          </w:p>
          <w:p w:rsidR="00F70122" w:rsidRPr="00666BAC" w:rsidRDefault="00F70122" w:rsidP="002F346C">
            <w:pPr>
              <w:rPr>
                <w:lang w:bidi="ar-SA"/>
              </w:rPr>
            </w:pPr>
          </w:p>
          <w:p w:rsidR="00F70122" w:rsidRPr="00666BAC" w:rsidRDefault="00F70122" w:rsidP="002955EE">
            <w:pPr>
              <w:pStyle w:val="Bulletindent"/>
              <w:ind w:left="0" w:firstLine="0"/>
              <w:jc w:val="center"/>
              <w:rPr>
                <w:b/>
                <w:szCs w:val="22"/>
              </w:rPr>
            </w:pPr>
            <w:r w:rsidRPr="00666BAC">
              <w:rPr>
                <w:b/>
                <w:szCs w:val="22"/>
              </w:rPr>
              <w:t xml:space="preserve">Recommendations arising from breach relating to </w:t>
            </w:r>
            <w:r w:rsidR="004B4F14" w:rsidRPr="00666BAC">
              <w:rPr>
                <w:b/>
                <w:szCs w:val="22"/>
              </w:rPr>
              <w:t xml:space="preserve">inappropriate </w:t>
            </w:r>
            <w:r w:rsidR="00BC514A" w:rsidRPr="00666BAC">
              <w:rPr>
                <w:b/>
                <w:szCs w:val="22"/>
              </w:rPr>
              <w:t>use of tenecteplase for t</w:t>
            </w:r>
            <w:r w:rsidR="007538B1" w:rsidRPr="00666BAC">
              <w:rPr>
                <w:b/>
                <w:szCs w:val="22"/>
              </w:rPr>
              <w:t>hrombolysis of stroke patient (</w:t>
            </w:r>
            <w:r w:rsidR="00BC514A" w:rsidRPr="00666BAC">
              <w:rPr>
                <w:b/>
                <w:szCs w:val="22"/>
              </w:rPr>
              <w:t>13HDC01676)</w:t>
            </w:r>
          </w:p>
          <w:p w:rsidR="004B4F14" w:rsidRPr="00666BAC" w:rsidRDefault="004B4F14" w:rsidP="004B4F14">
            <w:pPr>
              <w:pStyle w:val="Bulletindent"/>
              <w:ind w:left="0" w:firstLine="0"/>
              <w:rPr>
                <w:szCs w:val="22"/>
              </w:rPr>
            </w:pPr>
          </w:p>
          <w:p w:rsidR="00BC514A" w:rsidRPr="00666BAC" w:rsidRDefault="00871AF8" w:rsidP="004B4F14">
            <w:pPr>
              <w:pStyle w:val="Bulletindent"/>
              <w:ind w:left="0" w:firstLine="0"/>
              <w:rPr>
                <w:szCs w:val="22"/>
              </w:rPr>
            </w:pPr>
            <w:r w:rsidRPr="00666BAC">
              <w:rPr>
                <w:szCs w:val="22"/>
              </w:rPr>
              <w:t>A man</w:t>
            </w:r>
            <w:r w:rsidR="003556D0" w:rsidRPr="00666BAC">
              <w:rPr>
                <w:szCs w:val="22"/>
              </w:rPr>
              <w:t xml:space="preserve"> presented to the emergency department (ED) after suffering an ischaemic stroke. Upon consultation with a consultant, the house officer decided that the man was an appropriate candidate for thrombolysis (clot busting). </w:t>
            </w:r>
            <w:r w:rsidRPr="00666BAC">
              <w:rPr>
                <w:szCs w:val="22"/>
              </w:rPr>
              <w:t>Although it was usual practice for stroke thrombolysis to be administer</w:t>
            </w:r>
            <w:r w:rsidR="00666BAC">
              <w:rPr>
                <w:szCs w:val="22"/>
              </w:rPr>
              <w:t>ed in the Intensive Care Unit, the</w:t>
            </w:r>
            <w:r w:rsidRPr="00666BAC">
              <w:rPr>
                <w:szCs w:val="22"/>
              </w:rPr>
              <w:t xml:space="preserve"> house officer decided to treat the man in the ED. In addition, t</w:t>
            </w:r>
            <w:r w:rsidR="00666BAC">
              <w:rPr>
                <w:szCs w:val="22"/>
              </w:rPr>
              <w:t>he house officer prescribed the man</w:t>
            </w:r>
            <w:r w:rsidRPr="00666BAC">
              <w:rPr>
                <w:szCs w:val="22"/>
              </w:rPr>
              <w:t xml:space="preserve"> tenecteplase</w:t>
            </w:r>
            <w:r w:rsidR="003556D0" w:rsidRPr="00666BAC">
              <w:rPr>
                <w:szCs w:val="22"/>
              </w:rPr>
              <w:t xml:space="preserve"> (used for heart attacks)</w:t>
            </w:r>
            <w:r w:rsidRPr="00666BAC">
              <w:rPr>
                <w:szCs w:val="22"/>
              </w:rPr>
              <w:t xml:space="preserve"> rather than the expected alteplase</w:t>
            </w:r>
            <w:r w:rsidR="003556D0" w:rsidRPr="00666BAC">
              <w:rPr>
                <w:szCs w:val="22"/>
              </w:rPr>
              <w:t xml:space="preserve"> (used for strokes)</w:t>
            </w:r>
            <w:r w:rsidRPr="00666BAC">
              <w:rPr>
                <w:szCs w:val="22"/>
              </w:rPr>
              <w:t xml:space="preserve">. The house officer </w:t>
            </w:r>
            <w:r w:rsidR="003556D0" w:rsidRPr="00666BAC">
              <w:rPr>
                <w:szCs w:val="22"/>
              </w:rPr>
              <w:t>al</w:t>
            </w:r>
            <w:r w:rsidRPr="00666BAC">
              <w:rPr>
                <w:szCs w:val="22"/>
              </w:rPr>
              <w:t>so prescribed the man at least twice the dose of tenecteplase recommended for t</w:t>
            </w:r>
            <w:r w:rsidR="003556D0" w:rsidRPr="00666BAC">
              <w:rPr>
                <w:szCs w:val="22"/>
              </w:rPr>
              <w:t>reatment of an ischaemic stroke via an inappropriate mode of administration.</w:t>
            </w:r>
            <w:r w:rsidRPr="00666BAC">
              <w:rPr>
                <w:szCs w:val="22"/>
              </w:rPr>
              <w:t xml:space="preserve"> </w:t>
            </w:r>
          </w:p>
          <w:p w:rsidR="00A83879" w:rsidRPr="00666BAC" w:rsidRDefault="00A83879" w:rsidP="004B4F14">
            <w:pPr>
              <w:pStyle w:val="Bulletindent"/>
              <w:ind w:left="0" w:firstLine="0"/>
              <w:rPr>
                <w:szCs w:val="22"/>
              </w:rPr>
            </w:pPr>
          </w:p>
          <w:p w:rsidR="00F70122" w:rsidRPr="00666BAC" w:rsidRDefault="00871AF8" w:rsidP="002F346C">
            <w:pPr>
              <w:pStyle w:val="Bulletindent"/>
              <w:ind w:left="0" w:firstLine="0"/>
              <w:rPr>
                <w:szCs w:val="22"/>
              </w:rPr>
            </w:pPr>
            <w:r w:rsidRPr="00666BAC">
              <w:rPr>
                <w:szCs w:val="22"/>
              </w:rPr>
              <w:t>The Commissioner found that the house officer made si</w:t>
            </w:r>
            <w:r w:rsidR="00666BAC">
              <w:rPr>
                <w:szCs w:val="22"/>
              </w:rPr>
              <w:t>gnificant errors in judgement in:</w:t>
            </w:r>
            <w:r w:rsidRPr="00666BAC">
              <w:rPr>
                <w:szCs w:val="22"/>
              </w:rPr>
              <w:t xml:space="preserve"> failing to transfer</w:t>
            </w:r>
            <w:r w:rsidR="00666BAC">
              <w:rPr>
                <w:szCs w:val="22"/>
              </w:rPr>
              <w:t xml:space="preserve"> the man to the ICU;</w:t>
            </w:r>
            <w:r w:rsidR="00543EC8" w:rsidRPr="00666BAC">
              <w:rPr>
                <w:szCs w:val="22"/>
              </w:rPr>
              <w:t xml:space="preserve"> deciding to prescribe tenecte</w:t>
            </w:r>
            <w:r w:rsidR="00967C6A" w:rsidRPr="00666BAC">
              <w:rPr>
                <w:szCs w:val="22"/>
              </w:rPr>
              <w:t>plase to the man at the dose and via the mode</w:t>
            </w:r>
            <w:r w:rsidR="00666BAC">
              <w:rPr>
                <w:szCs w:val="22"/>
              </w:rPr>
              <w:t xml:space="preserve"> of administration that she did; and</w:t>
            </w:r>
            <w:r w:rsidR="00967C6A" w:rsidRPr="00666BAC">
              <w:rPr>
                <w:szCs w:val="22"/>
              </w:rPr>
              <w:t xml:space="preserve"> failing to consult the con</w:t>
            </w:r>
            <w:r w:rsidR="00543EC8" w:rsidRPr="00666BAC">
              <w:rPr>
                <w:szCs w:val="22"/>
              </w:rPr>
              <w:t>sultant about the use of tenecte</w:t>
            </w:r>
            <w:r w:rsidR="00967C6A" w:rsidRPr="00666BAC">
              <w:rPr>
                <w:szCs w:val="22"/>
              </w:rPr>
              <w:t>plase. The Commissioner was also critical of the steps the consultant took to openly disclose to the man what had happened.</w:t>
            </w:r>
          </w:p>
          <w:p w:rsidR="00967C6A" w:rsidRPr="00666BAC" w:rsidRDefault="00967C6A" w:rsidP="002F346C">
            <w:pPr>
              <w:pStyle w:val="Bulletindent"/>
              <w:ind w:left="0" w:firstLine="0"/>
              <w:rPr>
                <w:szCs w:val="22"/>
              </w:rPr>
            </w:pPr>
          </w:p>
          <w:p w:rsidR="00967C6A" w:rsidRPr="00666BAC" w:rsidRDefault="00967C6A" w:rsidP="002F346C">
            <w:pPr>
              <w:pStyle w:val="Bulletindent"/>
              <w:ind w:left="0" w:firstLine="0"/>
              <w:rPr>
                <w:szCs w:val="22"/>
              </w:rPr>
            </w:pPr>
            <w:r w:rsidRPr="00666BAC">
              <w:rPr>
                <w:szCs w:val="22"/>
              </w:rPr>
              <w:t xml:space="preserve">The Commissioner </w:t>
            </w:r>
            <w:r w:rsidR="00666BAC">
              <w:rPr>
                <w:szCs w:val="22"/>
              </w:rPr>
              <w:t>considered</w:t>
            </w:r>
            <w:r w:rsidRPr="00666BAC">
              <w:rPr>
                <w:szCs w:val="22"/>
              </w:rPr>
              <w:t xml:space="preserve"> that there were inadequacies in the DHB’s Stroke Thrombolysis Pathway. In addition, there was evident confusion amongst nursing staff about the correct process for administering thrombolysis, and the house officer had not been orientated to the Stroke </w:t>
            </w:r>
            <w:r w:rsidR="00B80A12" w:rsidRPr="00666BAC">
              <w:rPr>
                <w:szCs w:val="22"/>
              </w:rPr>
              <w:t>Thrombolysis Pathway adequately.</w:t>
            </w:r>
            <w:r w:rsidRPr="00666BAC">
              <w:rPr>
                <w:szCs w:val="22"/>
              </w:rPr>
              <w:t xml:space="preserve"> </w:t>
            </w:r>
          </w:p>
          <w:p w:rsidR="00967C6A" w:rsidRPr="00666BAC" w:rsidRDefault="00967C6A" w:rsidP="002F346C">
            <w:pPr>
              <w:pStyle w:val="Bulletindent"/>
              <w:ind w:left="0" w:firstLine="0"/>
              <w:rPr>
                <w:szCs w:val="22"/>
              </w:rPr>
            </w:pPr>
          </w:p>
          <w:p w:rsidR="00A83879" w:rsidRPr="00666BAC" w:rsidRDefault="00A83879" w:rsidP="002F346C">
            <w:pPr>
              <w:pStyle w:val="Bulletindent"/>
              <w:ind w:left="0" w:firstLine="0"/>
              <w:rPr>
                <w:szCs w:val="22"/>
              </w:rPr>
            </w:pPr>
            <w:r w:rsidRPr="00666BAC">
              <w:rPr>
                <w:szCs w:val="22"/>
              </w:rPr>
              <w:t>In accordance with the Commissione</w:t>
            </w:r>
            <w:r w:rsidR="00B80A12" w:rsidRPr="00666BAC">
              <w:rPr>
                <w:szCs w:val="22"/>
              </w:rPr>
              <w:t>r’s recommendations the DHB</w:t>
            </w:r>
            <w:r w:rsidRPr="00666BAC">
              <w:rPr>
                <w:szCs w:val="22"/>
              </w:rPr>
              <w:t>:</w:t>
            </w:r>
          </w:p>
          <w:p w:rsidR="00A83879" w:rsidRPr="00666BAC" w:rsidRDefault="00B80A12" w:rsidP="008A48D8">
            <w:pPr>
              <w:pStyle w:val="Bulletindent"/>
              <w:numPr>
                <w:ilvl w:val="0"/>
                <w:numId w:val="16"/>
              </w:numPr>
              <w:rPr>
                <w:szCs w:val="22"/>
              </w:rPr>
            </w:pPr>
            <w:r w:rsidRPr="00666BAC">
              <w:rPr>
                <w:szCs w:val="22"/>
              </w:rPr>
              <w:t>provided HDC with the outcome of its audit regarding compliance with the updated Stroke Pathway;</w:t>
            </w:r>
          </w:p>
          <w:p w:rsidR="00B80A12" w:rsidRPr="00666BAC" w:rsidRDefault="00B80A12" w:rsidP="008A48D8">
            <w:pPr>
              <w:pStyle w:val="Bulletindent"/>
              <w:numPr>
                <w:ilvl w:val="0"/>
                <w:numId w:val="16"/>
              </w:numPr>
              <w:rPr>
                <w:szCs w:val="22"/>
              </w:rPr>
            </w:pPr>
            <w:r w:rsidRPr="00666BAC">
              <w:rPr>
                <w:szCs w:val="22"/>
              </w:rPr>
              <w:t xml:space="preserve">reviewed the orientation of junior and new staff </w:t>
            </w:r>
            <w:r w:rsidR="003556D0" w:rsidRPr="00666BAC">
              <w:rPr>
                <w:szCs w:val="22"/>
              </w:rPr>
              <w:t>to ensure they knew how to access all medications within the DHB and who to contact with questions or queries; and</w:t>
            </w:r>
          </w:p>
          <w:p w:rsidR="003556D0" w:rsidRPr="00666BAC" w:rsidRDefault="003556D0" w:rsidP="008A48D8">
            <w:pPr>
              <w:pStyle w:val="Bulletindent"/>
              <w:numPr>
                <w:ilvl w:val="0"/>
                <w:numId w:val="16"/>
              </w:numPr>
              <w:rPr>
                <w:szCs w:val="22"/>
              </w:rPr>
            </w:pPr>
            <w:r w:rsidRPr="00666BAC">
              <w:rPr>
                <w:szCs w:val="22"/>
              </w:rPr>
              <w:t>updated HDC regarding the changes it had made to its electronic reportable events system.</w:t>
            </w:r>
          </w:p>
          <w:p w:rsidR="00543EC8" w:rsidRPr="00666BAC" w:rsidRDefault="00543EC8" w:rsidP="00543EC8">
            <w:pPr>
              <w:pStyle w:val="Bulletindent"/>
              <w:ind w:left="0" w:firstLine="0"/>
              <w:rPr>
                <w:szCs w:val="22"/>
              </w:rPr>
            </w:pPr>
          </w:p>
          <w:p w:rsidR="00543EC8" w:rsidRPr="00666BAC" w:rsidRDefault="00543EC8" w:rsidP="00543EC8">
            <w:pPr>
              <w:pStyle w:val="Bulletindent"/>
              <w:ind w:left="0" w:firstLine="0"/>
              <w:rPr>
                <w:szCs w:val="22"/>
              </w:rPr>
            </w:pPr>
            <w:r w:rsidRPr="00666BAC">
              <w:rPr>
                <w:szCs w:val="22"/>
              </w:rPr>
              <w:t xml:space="preserve">The Commissioner also recommended that the National DHB </w:t>
            </w:r>
            <w:r w:rsidR="000128B9">
              <w:rPr>
                <w:szCs w:val="22"/>
              </w:rPr>
              <w:t xml:space="preserve">Chief </w:t>
            </w:r>
            <w:r w:rsidRPr="00666BAC">
              <w:rPr>
                <w:szCs w:val="22"/>
              </w:rPr>
              <w:t>M</w:t>
            </w:r>
            <w:r w:rsidR="000128B9">
              <w:rPr>
                <w:szCs w:val="22"/>
              </w:rPr>
              <w:t xml:space="preserve">edical </w:t>
            </w:r>
            <w:r w:rsidRPr="00666BAC">
              <w:rPr>
                <w:szCs w:val="22"/>
              </w:rPr>
              <w:t>O</w:t>
            </w:r>
            <w:r w:rsidR="000128B9">
              <w:rPr>
                <w:szCs w:val="22"/>
              </w:rPr>
              <w:t>fficer</w:t>
            </w:r>
            <w:r w:rsidRPr="00666BAC">
              <w:rPr>
                <w:szCs w:val="22"/>
              </w:rPr>
              <w:t xml:space="preserve"> group take steps to ensure that all DHB’s policies/guidelines in relation to stroke thrombolysis are clear and consistent, including in relation to the appropriate medication, dose and mode of administration to use, and the level of supervision required</w:t>
            </w:r>
            <w:r w:rsidR="00666BAC">
              <w:rPr>
                <w:szCs w:val="22"/>
              </w:rPr>
              <w:t>.</w:t>
            </w:r>
          </w:p>
          <w:p w:rsidR="00543EC8" w:rsidRPr="00666BAC" w:rsidRDefault="00543EC8" w:rsidP="00543EC8">
            <w:pPr>
              <w:pStyle w:val="Bulletindent"/>
              <w:ind w:left="0" w:firstLine="0"/>
              <w:rPr>
                <w:szCs w:val="22"/>
              </w:rPr>
            </w:pPr>
          </w:p>
          <w:p w:rsidR="002955EE" w:rsidRPr="00666BAC" w:rsidRDefault="002955EE" w:rsidP="002955EE">
            <w:pPr>
              <w:pStyle w:val="Bulletindent"/>
              <w:ind w:left="0" w:firstLine="0"/>
              <w:jc w:val="center"/>
              <w:rPr>
                <w:b/>
                <w:szCs w:val="22"/>
              </w:rPr>
            </w:pPr>
            <w:r w:rsidRPr="00666BAC">
              <w:rPr>
                <w:b/>
                <w:szCs w:val="22"/>
              </w:rPr>
              <w:t>Recommendations arising from breach relating to transfer of a trauma patient (13HDC00046)</w:t>
            </w:r>
          </w:p>
          <w:p w:rsidR="002955EE" w:rsidRPr="00666BAC" w:rsidRDefault="002955EE" w:rsidP="002955EE">
            <w:pPr>
              <w:pStyle w:val="Bulletindent"/>
              <w:ind w:left="0" w:firstLine="0"/>
              <w:rPr>
                <w:szCs w:val="22"/>
              </w:rPr>
            </w:pPr>
          </w:p>
          <w:p w:rsidR="002955EE" w:rsidRPr="00666BAC" w:rsidRDefault="002955EE" w:rsidP="002955EE">
            <w:pPr>
              <w:pStyle w:val="Bulletindent"/>
              <w:ind w:left="0" w:firstLine="0"/>
              <w:rPr>
                <w:szCs w:val="22"/>
              </w:rPr>
            </w:pPr>
            <w:r w:rsidRPr="00666BAC">
              <w:rPr>
                <w:szCs w:val="22"/>
              </w:rPr>
              <w:t xml:space="preserve">A man underwent multiple surgeries after being involved in an accident in which he suffered significant trauma. </w:t>
            </w:r>
            <w:r w:rsidR="00CA7DDC" w:rsidRPr="00666BAC">
              <w:rPr>
                <w:szCs w:val="22"/>
              </w:rPr>
              <w:t>The man’s medications included Clexane (to reduce the risk of de</w:t>
            </w:r>
            <w:r w:rsidR="00666BAC">
              <w:rPr>
                <w:szCs w:val="22"/>
              </w:rPr>
              <w:t>ep vein thrombosis)</w:t>
            </w:r>
            <w:r w:rsidR="00CA7DDC" w:rsidRPr="00666BAC">
              <w:rPr>
                <w:szCs w:val="22"/>
              </w:rPr>
              <w:t xml:space="preserve">. </w:t>
            </w:r>
            <w:r w:rsidR="00E403CC" w:rsidRPr="00666BAC">
              <w:rPr>
                <w:szCs w:val="22"/>
              </w:rPr>
              <w:t>H</w:t>
            </w:r>
            <w:r w:rsidR="00CA7DDC" w:rsidRPr="00666BAC">
              <w:rPr>
                <w:szCs w:val="22"/>
              </w:rPr>
              <w:t>ospit</w:t>
            </w:r>
            <w:r w:rsidR="00E403CC" w:rsidRPr="00666BAC">
              <w:rPr>
                <w:szCs w:val="22"/>
              </w:rPr>
              <w:t>al staff decided to transfer the man to a rehabilitation provider</w:t>
            </w:r>
            <w:r w:rsidR="00CA7DDC" w:rsidRPr="00666BAC">
              <w:rPr>
                <w:szCs w:val="22"/>
              </w:rPr>
              <w:t>. The hospital discharge summary did not refer to discharge medications o</w:t>
            </w:r>
            <w:r w:rsidR="00E403CC" w:rsidRPr="00666BAC">
              <w:rPr>
                <w:szCs w:val="22"/>
              </w:rPr>
              <w:t>r</w:t>
            </w:r>
            <w:r w:rsidR="00CA7DDC" w:rsidRPr="00666BAC">
              <w:rPr>
                <w:szCs w:val="22"/>
              </w:rPr>
              <w:t xml:space="preserve"> the ongoing use of Clexane, and nor did it refer to supplementary documentation which outli</w:t>
            </w:r>
            <w:r w:rsidR="00E403CC" w:rsidRPr="00666BAC">
              <w:rPr>
                <w:szCs w:val="22"/>
              </w:rPr>
              <w:t>ned</w:t>
            </w:r>
            <w:r w:rsidR="00CA7DDC" w:rsidRPr="00666BAC">
              <w:rPr>
                <w:szCs w:val="22"/>
              </w:rPr>
              <w:t xml:space="preserve"> discharge medications. The Clexane was not given to the man by staff at the rehabilitation provider. </w:t>
            </w:r>
          </w:p>
          <w:p w:rsidR="00CA7DDC" w:rsidRPr="00666BAC" w:rsidRDefault="00CA7DDC" w:rsidP="00A83879">
            <w:pPr>
              <w:pStyle w:val="Bulletindent"/>
              <w:spacing w:before="120"/>
              <w:ind w:left="0" w:firstLine="0"/>
              <w:rPr>
                <w:szCs w:val="22"/>
              </w:rPr>
            </w:pPr>
            <w:r w:rsidRPr="00666BAC">
              <w:rPr>
                <w:szCs w:val="22"/>
              </w:rPr>
              <w:t xml:space="preserve">The </w:t>
            </w:r>
            <w:r w:rsidR="004F4A2F">
              <w:rPr>
                <w:szCs w:val="22"/>
              </w:rPr>
              <w:t>Commissioner held that the</w:t>
            </w:r>
            <w:r w:rsidRPr="00666BAC">
              <w:rPr>
                <w:szCs w:val="22"/>
              </w:rPr>
              <w:t xml:space="preserve"> coordination and continuity of</w:t>
            </w:r>
            <w:r w:rsidR="004F4A2F">
              <w:rPr>
                <w:szCs w:val="22"/>
              </w:rPr>
              <w:t xml:space="preserve"> the man’s</w:t>
            </w:r>
            <w:r w:rsidRPr="00666BAC">
              <w:rPr>
                <w:szCs w:val="22"/>
              </w:rPr>
              <w:t xml:space="preserve"> care was compromised for the following key reasons: the transfer by the DHB without obtaining verbal acceptance by a doctor from the rehabilitation provider was not in accordance with DHB policy; transfer documentation did not contain all the relevant and important clinical information; DHB staff did not ensure there were clear written instructions passed on about the man’s Clexane regimen; and the man was transferred late on a Friday. </w:t>
            </w:r>
          </w:p>
          <w:p w:rsidR="00083747" w:rsidRPr="00666BAC" w:rsidRDefault="00705549" w:rsidP="00A83879">
            <w:pPr>
              <w:pStyle w:val="Bulletindent"/>
              <w:spacing w:before="120"/>
              <w:ind w:left="0" w:firstLine="0"/>
              <w:rPr>
                <w:szCs w:val="22"/>
              </w:rPr>
            </w:pPr>
            <w:r>
              <w:rPr>
                <w:szCs w:val="22"/>
              </w:rPr>
              <w:t>In accordance with t</w:t>
            </w:r>
            <w:r w:rsidR="00CA7DDC" w:rsidRPr="00666BAC">
              <w:rPr>
                <w:szCs w:val="22"/>
              </w:rPr>
              <w:t>he Commissioner</w:t>
            </w:r>
            <w:r>
              <w:rPr>
                <w:szCs w:val="22"/>
              </w:rPr>
              <w:t>’s</w:t>
            </w:r>
            <w:r w:rsidR="00CA7DDC" w:rsidRPr="00666BAC">
              <w:rPr>
                <w:szCs w:val="22"/>
              </w:rPr>
              <w:t xml:space="preserve"> </w:t>
            </w:r>
            <w:r>
              <w:rPr>
                <w:szCs w:val="22"/>
              </w:rPr>
              <w:t>recommendations,</w:t>
            </w:r>
            <w:r w:rsidR="00CA7DDC" w:rsidRPr="00666BAC">
              <w:rPr>
                <w:szCs w:val="22"/>
              </w:rPr>
              <w:t xml:space="preserve"> the DHB</w:t>
            </w:r>
            <w:r>
              <w:rPr>
                <w:szCs w:val="22"/>
              </w:rPr>
              <w:t>:</w:t>
            </w:r>
          </w:p>
          <w:p w:rsidR="00083747" w:rsidRPr="00666BAC" w:rsidRDefault="00CA7DDC" w:rsidP="00914D68">
            <w:pPr>
              <w:pStyle w:val="Bulletindent"/>
              <w:numPr>
                <w:ilvl w:val="0"/>
                <w:numId w:val="17"/>
              </w:numPr>
              <w:rPr>
                <w:szCs w:val="22"/>
              </w:rPr>
            </w:pPr>
            <w:r w:rsidRPr="00666BAC">
              <w:rPr>
                <w:szCs w:val="22"/>
              </w:rPr>
              <w:t>complete</w:t>
            </w:r>
            <w:r w:rsidR="00705549">
              <w:rPr>
                <w:szCs w:val="22"/>
              </w:rPr>
              <w:t>d</w:t>
            </w:r>
            <w:r w:rsidRPr="00666BAC">
              <w:rPr>
                <w:szCs w:val="22"/>
              </w:rPr>
              <w:t xml:space="preserve"> a random audit of Trauma Service discharge summaries for compliance with completion, accuracy, and the responsible medical team checking procedures instigated</w:t>
            </w:r>
            <w:r w:rsidR="00E403CC" w:rsidRPr="00666BAC">
              <w:rPr>
                <w:szCs w:val="22"/>
              </w:rPr>
              <w:t>;</w:t>
            </w:r>
          </w:p>
          <w:p w:rsidR="00E403CC" w:rsidRPr="00666BAC" w:rsidRDefault="00E403CC" w:rsidP="00E403CC">
            <w:pPr>
              <w:pStyle w:val="Bulletindent"/>
              <w:numPr>
                <w:ilvl w:val="0"/>
                <w:numId w:val="17"/>
              </w:numPr>
              <w:rPr>
                <w:szCs w:val="22"/>
              </w:rPr>
            </w:pPr>
            <w:r w:rsidRPr="00666BAC">
              <w:rPr>
                <w:szCs w:val="22"/>
              </w:rPr>
              <w:t>report</w:t>
            </w:r>
            <w:r w:rsidR="00705549">
              <w:rPr>
                <w:szCs w:val="22"/>
              </w:rPr>
              <w:t>ed</w:t>
            </w:r>
            <w:r w:rsidRPr="00666BAC">
              <w:rPr>
                <w:szCs w:val="22"/>
              </w:rPr>
              <w:t xml:space="preserve"> to HDC on the outcome of the DHB’s internal review of: criteria for transfer of major trauma patients to facilities with or without guaranteed and immediate medical back-up; policies for transfers occurring on Friday afternoons; and the process of critical information exchange between the hospital and the rehabilitation provider;</w:t>
            </w:r>
          </w:p>
          <w:p w:rsidR="00E403CC" w:rsidRPr="00666BAC" w:rsidRDefault="00E403CC" w:rsidP="00E403CC">
            <w:pPr>
              <w:pStyle w:val="Bulletindent"/>
              <w:numPr>
                <w:ilvl w:val="0"/>
                <w:numId w:val="17"/>
              </w:numPr>
              <w:rPr>
                <w:szCs w:val="22"/>
              </w:rPr>
            </w:pPr>
            <w:r w:rsidRPr="00666BAC">
              <w:rPr>
                <w:szCs w:val="22"/>
              </w:rPr>
              <w:t>report</w:t>
            </w:r>
            <w:r w:rsidR="00705549">
              <w:rPr>
                <w:szCs w:val="22"/>
              </w:rPr>
              <w:t>ed</w:t>
            </w:r>
            <w:r w:rsidRPr="00666BAC">
              <w:rPr>
                <w:szCs w:val="22"/>
              </w:rPr>
              <w:t xml:space="preserve"> to HDC on the tasking of surgical resident medical officers to cover the Trauma Service roster so that changes in staff are minimised and discharge processes are consistent; and </w:t>
            </w:r>
          </w:p>
          <w:p w:rsidR="00E403CC" w:rsidRPr="00666BAC" w:rsidRDefault="00E403CC" w:rsidP="00E403CC">
            <w:pPr>
              <w:pStyle w:val="Bulletindent"/>
              <w:numPr>
                <w:ilvl w:val="0"/>
                <w:numId w:val="17"/>
              </w:numPr>
              <w:rPr>
                <w:szCs w:val="22"/>
              </w:rPr>
            </w:pPr>
            <w:r w:rsidRPr="00666BAC">
              <w:rPr>
                <w:szCs w:val="22"/>
              </w:rPr>
              <w:t>report</w:t>
            </w:r>
            <w:r w:rsidR="00705549">
              <w:rPr>
                <w:szCs w:val="22"/>
              </w:rPr>
              <w:t>ed to HDC</w:t>
            </w:r>
            <w:r w:rsidRPr="00666BAC">
              <w:rPr>
                <w:szCs w:val="22"/>
              </w:rPr>
              <w:t xml:space="preserve"> on the effectiveness of the newly introduced transfer checklist for major trauma patients.</w:t>
            </w:r>
          </w:p>
          <w:p w:rsidR="00914D68" w:rsidRPr="00666BAC" w:rsidRDefault="00914D68" w:rsidP="00705549">
            <w:pPr>
              <w:pStyle w:val="Bulletindent"/>
              <w:ind w:left="0" w:firstLine="0"/>
              <w:jc w:val="left"/>
              <w:rPr>
                <w:szCs w:val="22"/>
              </w:rPr>
            </w:pPr>
          </w:p>
          <w:p w:rsidR="00F70122" w:rsidRPr="00666BAC" w:rsidRDefault="00F70122" w:rsidP="00914D68">
            <w:pPr>
              <w:pStyle w:val="Bulletindent"/>
              <w:spacing w:after="120"/>
              <w:ind w:left="0" w:firstLine="0"/>
              <w:jc w:val="center"/>
              <w:rPr>
                <w:b/>
                <w:szCs w:val="22"/>
              </w:rPr>
            </w:pPr>
            <w:r w:rsidRPr="00666BAC">
              <w:rPr>
                <w:b/>
                <w:szCs w:val="22"/>
              </w:rPr>
              <w:t xml:space="preserve">Recommendations arising from breach </w:t>
            </w:r>
            <w:r w:rsidR="00FF4E65" w:rsidRPr="00666BAC">
              <w:rPr>
                <w:b/>
                <w:szCs w:val="22"/>
              </w:rPr>
              <w:t xml:space="preserve">relating to </w:t>
            </w:r>
            <w:r w:rsidR="00E403CC" w:rsidRPr="00666BAC">
              <w:rPr>
                <w:b/>
                <w:szCs w:val="22"/>
              </w:rPr>
              <w:t>monitoring during phenytoin infusion</w:t>
            </w:r>
            <w:r w:rsidR="00FF4E65" w:rsidRPr="00666BAC">
              <w:rPr>
                <w:b/>
                <w:szCs w:val="22"/>
              </w:rPr>
              <w:t xml:space="preserve"> </w:t>
            </w:r>
            <w:r w:rsidR="00E403CC" w:rsidRPr="00666BAC">
              <w:rPr>
                <w:b/>
                <w:szCs w:val="22"/>
              </w:rPr>
              <w:t>(13HDC00756)</w:t>
            </w:r>
          </w:p>
          <w:p w:rsidR="00FF4E65" w:rsidRPr="00666BAC" w:rsidRDefault="00E403CC" w:rsidP="00FF4E65">
            <w:pPr>
              <w:pStyle w:val="Bulletindent"/>
              <w:ind w:left="0" w:firstLine="0"/>
              <w:rPr>
                <w:szCs w:val="22"/>
              </w:rPr>
            </w:pPr>
            <w:r w:rsidRPr="00666BAC">
              <w:rPr>
                <w:szCs w:val="22"/>
              </w:rPr>
              <w:t>A child was taken to the ED at a public hospital after suffering epileptic seizures. The child was prescribed intravenous (IV) phenytoin by a paediatric registrar. The paediatric registrar did not give specific instructions about how the child should be monitored during the infusion and she did not receive one-on-one monitoring. There is no record that the child was monitored during the infusion or that the IV site was checked. The child was transferred to another hospital for treatment of an extravasation injury.</w:t>
            </w:r>
          </w:p>
          <w:p w:rsidR="00FF4E65" w:rsidRPr="00666BAC" w:rsidRDefault="00FF4E65" w:rsidP="00FF4E65">
            <w:pPr>
              <w:pStyle w:val="Bulletindent"/>
              <w:ind w:left="0" w:firstLine="0"/>
              <w:rPr>
                <w:szCs w:val="22"/>
              </w:rPr>
            </w:pPr>
          </w:p>
          <w:p w:rsidR="00FF4E65" w:rsidRPr="00666BAC" w:rsidRDefault="008F6F74" w:rsidP="00FF4E65">
            <w:pPr>
              <w:pStyle w:val="Bulletindent"/>
              <w:ind w:left="0" w:firstLine="0"/>
              <w:rPr>
                <w:szCs w:val="22"/>
              </w:rPr>
            </w:pPr>
            <w:r w:rsidRPr="00666BAC">
              <w:t>The Commissioner considered that a number of factors led to the child receiving inadequate monitoring during the phenytoin infusion in the ED. The paediatric registrar did not give specific instructions about monitoring, and the DHB’s policies did not specify that children receiving IV phenytoin infusions should have cardiac and blood pressure monitoring and be observed for signs of respiratory depression. There were also failures by staff to follow the policies that were in place</w:t>
            </w:r>
            <w:r w:rsidRPr="00666BAC">
              <w:rPr>
                <w:szCs w:val="22"/>
              </w:rPr>
              <w:t xml:space="preserve">. The Commissioner found that the care provided to the child also suffered because of staffing issues. </w:t>
            </w:r>
          </w:p>
          <w:p w:rsidR="000908F1" w:rsidRPr="00666BAC" w:rsidRDefault="000908F1" w:rsidP="00FF4E65">
            <w:pPr>
              <w:pStyle w:val="Bulletindent"/>
              <w:ind w:left="0" w:firstLine="0"/>
              <w:rPr>
                <w:szCs w:val="22"/>
              </w:rPr>
            </w:pPr>
          </w:p>
          <w:p w:rsidR="000908F1" w:rsidRPr="00666BAC" w:rsidRDefault="008F6F74" w:rsidP="00FF4E65">
            <w:pPr>
              <w:pStyle w:val="Bulletindent"/>
              <w:ind w:left="0" w:firstLine="0"/>
              <w:rPr>
                <w:szCs w:val="22"/>
              </w:rPr>
            </w:pPr>
            <w:r w:rsidRPr="00666BAC">
              <w:rPr>
                <w:szCs w:val="22"/>
              </w:rPr>
              <w:t>I</w:t>
            </w:r>
            <w:r w:rsidR="008A48D8" w:rsidRPr="00666BAC">
              <w:rPr>
                <w:szCs w:val="22"/>
              </w:rPr>
              <w:t xml:space="preserve">n response to </w:t>
            </w:r>
            <w:r w:rsidR="000908F1" w:rsidRPr="00666BAC">
              <w:rPr>
                <w:szCs w:val="22"/>
              </w:rPr>
              <w:t xml:space="preserve">the Commissioner </w:t>
            </w:r>
            <w:r w:rsidR="008A48D8" w:rsidRPr="00666BAC">
              <w:rPr>
                <w:szCs w:val="22"/>
              </w:rPr>
              <w:t>recommendations,</w:t>
            </w:r>
            <w:r w:rsidR="000908F1" w:rsidRPr="00666BAC">
              <w:rPr>
                <w:szCs w:val="22"/>
              </w:rPr>
              <w:t xml:space="preserve"> the DHB:</w:t>
            </w:r>
          </w:p>
          <w:p w:rsidR="008F6F74" w:rsidRPr="00666BAC" w:rsidRDefault="008F6F74" w:rsidP="008F6F74">
            <w:pPr>
              <w:pStyle w:val="Bulletindent"/>
              <w:numPr>
                <w:ilvl w:val="0"/>
                <w:numId w:val="18"/>
              </w:numPr>
              <w:spacing w:after="120"/>
              <w:ind w:left="714" w:hanging="357"/>
              <w:rPr>
                <w:szCs w:val="22"/>
              </w:rPr>
            </w:pPr>
            <w:r w:rsidRPr="00666BAC">
              <w:rPr>
                <w:szCs w:val="22"/>
              </w:rPr>
              <w:t>reviewed its “Cannulation – Intravenous”, “Phenytonin Intravenous – Adults Only” and “Handover” policies to ensure that those polices were adequate to guide safe and effective care and transfer of care between nurses;</w:t>
            </w:r>
          </w:p>
          <w:p w:rsidR="008F6F74" w:rsidRPr="00666BAC" w:rsidRDefault="008F6F74" w:rsidP="008F6F74">
            <w:pPr>
              <w:pStyle w:val="Bulletindent"/>
              <w:numPr>
                <w:ilvl w:val="0"/>
                <w:numId w:val="18"/>
              </w:numPr>
              <w:spacing w:after="120"/>
              <w:ind w:left="714" w:hanging="357"/>
              <w:rPr>
                <w:szCs w:val="22"/>
              </w:rPr>
            </w:pPr>
            <w:r w:rsidRPr="00666BAC">
              <w:rPr>
                <w:szCs w:val="22"/>
              </w:rPr>
              <w:t>reviewed its current policies relation to phenytonin and IV medication administration/cannulation for adults and children to ensure that references to other policies were clear and accurate ;</w:t>
            </w:r>
          </w:p>
          <w:p w:rsidR="008F6F74" w:rsidRPr="00666BAC" w:rsidRDefault="008F6F74" w:rsidP="008F6F74">
            <w:pPr>
              <w:pStyle w:val="Bulletindent"/>
              <w:numPr>
                <w:ilvl w:val="0"/>
                <w:numId w:val="18"/>
              </w:numPr>
              <w:spacing w:after="120"/>
              <w:ind w:left="714" w:hanging="357"/>
              <w:rPr>
                <w:szCs w:val="22"/>
              </w:rPr>
            </w:pPr>
            <w:r w:rsidRPr="00666BAC">
              <w:rPr>
                <w:szCs w:val="22"/>
              </w:rPr>
              <w:t>reviewed the systems it had in place for ensuring safe staffing in the ED; and</w:t>
            </w:r>
          </w:p>
          <w:p w:rsidR="00F70122" w:rsidRPr="00666BAC" w:rsidRDefault="008F6F74" w:rsidP="008F6F74">
            <w:pPr>
              <w:pStyle w:val="Bulletindent"/>
              <w:numPr>
                <w:ilvl w:val="0"/>
                <w:numId w:val="18"/>
              </w:numPr>
              <w:spacing w:after="120"/>
              <w:ind w:left="714" w:hanging="357"/>
              <w:rPr>
                <w:szCs w:val="22"/>
              </w:rPr>
            </w:pPr>
            <w:r w:rsidRPr="00666BAC">
              <w:rPr>
                <w:szCs w:val="22"/>
              </w:rPr>
              <w:t xml:space="preserve">used an anonymised version of this report as a basis for staff training at the hospital, focussing particularly on the deficiencies in care identified in this case. </w:t>
            </w:r>
          </w:p>
        </w:tc>
      </w:tr>
    </w:tbl>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D150D1" w:rsidRPr="00666BAC" w:rsidRDefault="00D150D1" w:rsidP="00200C04"/>
    <w:p w:rsidR="00200C04" w:rsidRPr="00666BAC" w:rsidRDefault="00200C04" w:rsidP="00200C04"/>
    <w:p w:rsidR="0013534C" w:rsidRPr="00666BAC" w:rsidRDefault="0013534C" w:rsidP="008338EC">
      <w:pPr>
        <w:spacing w:after="240"/>
        <w:jc w:val="left"/>
      </w:pPr>
    </w:p>
    <w:sectPr w:rsidR="0013534C" w:rsidRPr="00666BAC" w:rsidSect="00C84335">
      <w:footerReference w:type="even" r:id="rId27"/>
      <w:footerReference w:type="first" r:id="rId28"/>
      <w:type w:val="oddPage"/>
      <w:pgSz w:w="11906" w:h="16838" w:code="9"/>
      <w:pgMar w:top="1140" w:right="1412" w:bottom="851" w:left="1412" w:header="720" w:footer="5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99F" w:rsidRDefault="003B399F">
      <w:r>
        <w:separator/>
      </w:r>
    </w:p>
  </w:endnote>
  <w:endnote w:type="continuationSeparator" w:id="0">
    <w:p w:rsidR="003B399F" w:rsidRDefault="003B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9F" w:rsidRDefault="003B399F" w:rsidP="004510F1">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1B2EA8">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D" w:rsidRDefault="00555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9F" w:rsidRDefault="003B399F" w:rsidP="00D30C28">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9F" w:rsidRDefault="003B39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9F" w:rsidRPr="00F535C5" w:rsidRDefault="003B399F" w:rsidP="00F535C5">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1B2EA8">
      <w:rPr>
        <w:noProof/>
        <w:szCs w:val="22"/>
      </w:rPr>
      <w:t>i</w:t>
    </w:r>
    <w:r w:rsidRPr="00166DD6">
      <w:rPr>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9F" w:rsidRPr="00C84335" w:rsidRDefault="001B2EA8" w:rsidP="006D0724">
    <w:pPr>
      <w:pStyle w:val="Footer"/>
      <w:jc w:val="left"/>
    </w:pPr>
    <w:sdt>
      <w:sdtPr>
        <w:id w:val="-1269231132"/>
        <w:docPartObj>
          <w:docPartGallery w:val="Page Numbers (Bottom of Page)"/>
          <w:docPartUnique/>
        </w:docPartObj>
      </w:sdtPr>
      <w:sdtEndPr>
        <w:rPr>
          <w:noProof/>
        </w:rPr>
      </w:sdtEndPr>
      <w:sdtContent>
        <w:r w:rsidR="003B399F">
          <w:tab/>
        </w:r>
        <w:r w:rsidR="003B399F">
          <w:tab/>
        </w:r>
        <w:r w:rsidR="003B399F">
          <w:tab/>
        </w:r>
        <w:r w:rsidR="003B399F">
          <w:fldChar w:fldCharType="begin"/>
        </w:r>
        <w:r w:rsidR="003B399F">
          <w:instrText xml:space="preserve"> PAGE   \* MERGEFORMAT </w:instrText>
        </w:r>
        <w:r w:rsidR="003B399F">
          <w:fldChar w:fldCharType="separate"/>
        </w:r>
        <w:r>
          <w:rPr>
            <w:noProof/>
          </w:rPr>
          <w:t>9</w:t>
        </w:r>
        <w:r w:rsidR="003B399F">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9F" w:rsidRPr="00C84335" w:rsidRDefault="003B399F" w:rsidP="00C84335">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1B2EA8">
      <w:rPr>
        <w:noProof/>
        <w:szCs w:val="22"/>
      </w:rPr>
      <w:t>10</w:t>
    </w:r>
    <w:r w:rsidRPr="0073317F">
      <w:rPr>
        <w:szCs w:val="22"/>
      </w:rPr>
      <w:fldChar w:fldCharType="end"/>
    </w:r>
    <w:r>
      <w:rPr>
        <w:szCs w:val="22"/>
      </w:rPr>
      <w:t xml:space="preserve"> </w:t>
    </w:r>
    <w:r>
      <w:rPr>
        <w:szCs w:val="22"/>
      </w:rPr>
      <w:tab/>
    </w:r>
    <w:r>
      <w:rPr>
        <w:szCs w:val="22"/>
      </w:rPr>
      <w:tab/>
    </w:r>
    <w:r>
      <w:rPr>
        <w:szCs w:val="22"/>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rsidR="003B399F" w:rsidRDefault="003B399F" w:rsidP="00C84335">
        <w:pPr>
          <w:pStyle w:val="Footer"/>
          <w:jc w:val="both"/>
        </w:pPr>
        <w:r>
          <w:rPr>
            <w:sz w:val="18"/>
            <w:szCs w:val="18"/>
          </w:rPr>
          <w:tab/>
        </w:r>
        <w:r>
          <w:rPr>
            <w:sz w:val="18"/>
            <w:szCs w:val="18"/>
          </w:rPr>
          <w:tab/>
        </w:r>
        <w:r>
          <w:rPr>
            <w:sz w:val="18"/>
            <w:szCs w:val="18"/>
          </w:rPr>
          <w:tab/>
        </w:r>
        <w:r>
          <w:fldChar w:fldCharType="begin"/>
        </w:r>
        <w:r>
          <w:instrText xml:space="preserve"> PAGE   \* MERGEFORMAT </w:instrText>
        </w:r>
        <w:r>
          <w:fldChar w:fldCharType="separate"/>
        </w:r>
        <w:r w:rsidR="001B2EA8">
          <w:rPr>
            <w:noProof/>
          </w:rPr>
          <w:t>1</w:t>
        </w:r>
        <w:r>
          <w:rPr>
            <w:noProof/>
          </w:rPr>
          <w:fldChar w:fldCharType="end"/>
        </w:r>
      </w:p>
    </w:sdtContent>
  </w:sdt>
  <w:p w:rsidR="003B399F" w:rsidRPr="00C84335" w:rsidRDefault="003B399F" w:rsidP="00C84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99F" w:rsidRDefault="003B399F">
      <w:r>
        <w:separator/>
      </w:r>
    </w:p>
  </w:footnote>
  <w:footnote w:type="continuationSeparator" w:id="0">
    <w:p w:rsidR="003B399F" w:rsidRDefault="003B399F">
      <w:r>
        <w:continuationSeparator/>
      </w:r>
    </w:p>
  </w:footnote>
  <w:footnote w:id="1">
    <w:p w:rsidR="003B399F" w:rsidRPr="009879C9" w:rsidRDefault="003B399F">
      <w:pPr>
        <w:pStyle w:val="FootnoteText"/>
        <w:rPr>
          <w:lang w:val="en-US"/>
        </w:rPr>
      </w:pPr>
      <w:r>
        <w:rPr>
          <w:rStyle w:val="FootnoteReference"/>
        </w:rPr>
        <w:footnoteRef/>
      </w:r>
      <w:r>
        <w:t xml:space="preserve"> </w:t>
      </w:r>
      <w:r w:rsidRPr="00ED614C">
        <w:rPr>
          <w:lang w:val="en-US"/>
        </w:rPr>
        <w:t>Provisional as of date of</w:t>
      </w:r>
      <w:r>
        <w:rPr>
          <w:lang w:val="en-US"/>
        </w:rPr>
        <w:t xml:space="preserve"> extraction, 1 August 2016</w:t>
      </w:r>
      <w:r w:rsidRPr="00ED614C">
        <w:rPr>
          <w:lang w:val="en-US"/>
        </w:rPr>
        <w:t>.</w:t>
      </w:r>
    </w:p>
  </w:footnote>
  <w:footnote w:id="2">
    <w:p w:rsidR="003B399F" w:rsidRPr="006B1914" w:rsidRDefault="003B399F" w:rsidP="00B918CA">
      <w:pPr>
        <w:pStyle w:val="FootnoteText"/>
        <w:rPr>
          <w:lang w:val="en-US"/>
        </w:rPr>
      </w:pPr>
      <w:r w:rsidRPr="005972DC">
        <w:rPr>
          <w:rStyle w:val="FootnoteReference"/>
        </w:rPr>
        <w:footnoteRef/>
      </w:r>
      <w:r w:rsidRPr="005972DC">
        <w:t xml:space="preserve"> </w:t>
      </w:r>
      <w:r w:rsidRPr="005972DC">
        <w:rPr>
          <w:lang w:val="en-US"/>
        </w:rPr>
        <w:t xml:space="preserve">There is a significant positive correlation between year and number of DHB complaints received </w:t>
      </w:r>
      <w:r w:rsidRPr="005972DC">
        <w:rPr>
          <w:rFonts w:ascii="Calibri" w:hAnsi="Calibri"/>
          <w:szCs w:val="22"/>
        </w:rPr>
        <w:t>(r=0.92, p&lt;.05).</w:t>
      </w:r>
    </w:p>
  </w:footnote>
  <w:footnote w:id="3">
    <w:p w:rsidR="003B399F" w:rsidRDefault="003B399F" w:rsidP="00B47977">
      <w:pPr>
        <w:pStyle w:val="FootnoteText"/>
      </w:pPr>
      <w:r>
        <w:rPr>
          <w:rStyle w:val="FootnoteReference"/>
        </w:rPr>
        <w:footnoteRef/>
      </w:r>
      <w:r>
        <w:t xml:space="preserve"> Provisional as at the date of extraction, 25 August 2016.</w:t>
      </w:r>
    </w:p>
  </w:footnote>
  <w:footnote w:id="4">
    <w:p w:rsidR="003B399F" w:rsidRPr="00446D79" w:rsidRDefault="003B399F" w:rsidP="00B47977">
      <w:pPr>
        <w:pStyle w:val="FootnoteText"/>
        <w:rPr>
          <w:lang w:val="en-US"/>
        </w:rPr>
      </w:pPr>
      <w:r w:rsidRPr="001A5E6B">
        <w:rPr>
          <w:rStyle w:val="FootnoteReference"/>
        </w:rPr>
        <w:footnoteRef/>
      </w:r>
      <w:r w:rsidRPr="001A5E6B">
        <w:t xml:space="preserve"> </w:t>
      </w:r>
      <w:r w:rsidRPr="001A5E6B">
        <w:rPr>
          <w:lang w:val="en-US"/>
        </w:rPr>
        <w:t xml:space="preserve">There is a significant positive correlation between year and rate of DHB complaints received </w:t>
      </w:r>
      <w:r>
        <w:rPr>
          <w:rFonts w:ascii="Calibri" w:hAnsi="Calibri"/>
          <w:szCs w:val="22"/>
        </w:rPr>
        <w:t>(r=.91</w:t>
      </w:r>
      <w:r w:rsidRPr="001A5E6B">
        <w:rPr>
          <w:rFonts w:ascii="Calibri" w:hAnsi="Calibri"/>
          <w:szCs w:val="22"/>
        </w:rPr>
        <w:t>, p&lt;.05).</w:t>
      </w:r>
    </w:p>
  </w:footnote>
  <w:footnote w:id="5">
    <w:p w:rsidR="003B399F" w:rsidRPr="00BA11E1" w:rsidRDefault="003B399F" w:rsidP="00B47977">
      <w:pPr>
        <w:rPr>
          <w:sz w:val="20"/>
          <w:szCs w:val="20"/>
        </w:rPr>
      </w:pPr>
      <w:r w:rsidRPr="00BA11E1">
        <w:rPr>
          <w:rStyle w:val="FootnoteReference"/>
          <w:sz w:val="20"/>
          <w:szCs w:val="20"/>
        </w:rPr>
        <w:footnoteRef/>
      </w:r>
      <w:r w:rsidRPr="00BA11E1">
        <w:rPr>
          <w:sz w:val="20"/>
          <w:szCs w:val="20"/>
        </w:rPr>
        <w:t>For example, the discharge data excludes short stay emergency department discharges, and patients attending outpatient units and clinics.</w:t>
      </w:r>
    </w:p>
    <w:p w:rsidR="003B399F" w:rsidRDefault="003B399F" w:rsidP="00B4797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D" w:rsidRDefault="00555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D" w:rsidRDefault="005555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D" w:rsidRDefault="005555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9F" w:rsidRDefault="003B39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9F" w:rsidRDefault="003B39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9F" w:rsidRDefault="003B3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D11"/>
    <w:multiLevelType w:val="hybridMultilevel"/>
    <w:tmpl w:val="D3061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09C1E6B"/>
    <w:multiLevelType w:val="hybridMultilevel"/>
    <w:tmpl w:val="3E165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0A73F71"/>
    <w:multiLevelType w:val="hybridMultilevel"/>
    <w:tmpl w:val="084C932A"/>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85F6159"/>
    <w:multiLevelType w:val="hybridMultilevel"/>
    <w:tmpl w:val="A70C2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007648"/>
    <w:multiLevelType w:val="hybridMultilevel"/>
    <w:tmpl w:val="D3DA02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0D6268D"/>
    <w:multiLevelType w:val="hybridMultilevel"/>
    <w:tmpl w:val="4FE46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377464"/>
    <w:multiLevelType w:val="hybridMultilevel"/>
    <w:tmpl w:val="339AE92C"/>
    <w:lvl w:ilvl="0" w:tplc="F124B412">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68813A2"/>
    <w:multiLevelType w:val="hybridMultilevel"/>
    <w:tmpl w:val="D264D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EA554BE"/>
    <w:multiLevelType w:val="hybridMultilevel"/>
    <w:tmpl w:val="7F543826"/>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9">
    <w:nsid w:val="2B867B73"/>
    <w:multiLevelType w:val="hybridMultilevel"/>
    <w:tmpl w:val="7F8C9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55F3436"/>
    <w:multiLevelType w:val="hybridMultilevel"/>
    <w:tmpl w:val="CEB481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A6D3901"/>
    <w:multiLevelType w:val="hybridMultilevel"/>
    <w:tmpl w:val="22C8C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C716A70"/>
    <w:multiLevelType w:val="hybridMultilevel"/>
    <w:tmpl w:val="17EC1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45C2F95"/>
    <w:multiLevelType w:val="hybridMultilevel"/>
    <w:tmpl w:val="45982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9BE3118"/>
    <w:multiLevelType w:val="hybridMultilevel"/>
    <w:tmpl w:val="3314E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C1681D"/>
    <w:multiLevelType w:val="hybridMultilevel"/>
    <w:tmpl w:val="2496E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C2E42A7"/>
    <w:multiLevelType w:val="hybridMultilevel"/>
    <w:tmpl w:val="657826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4704C7"/>
    <w:multiLevelType w:val="hybridMultilevel"/>
    <w:tmpl w:val="0E043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50D182B"/>
    <w:multiLevelType w:val="hybridMultilevel"/>
    <w:tmpl w:val="9A16AC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9">
    <w:nsid w:val="6BE62140"/>
    <w:multiLevelType w:val="hybridMultilevel"/>
    <w:tmpl w:val="B3206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2AC767D"/>
    <w:multiLevelType w:val="hybridMultilevel"/>
    <w:tmpl w:val="BFB65B34"/>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21">
    <w:nsid w:val="73EE45F9"/>
    <w:multiLevelType w:val="hybridMultilevel"/>
    <w:tmpl w:val="13480324"/>
    <w:lvl w:ilvl="0" w:tplc="FB2E97EE">
      <w:start w:val="1"/>
      <w:numFmt w:val="decimal"/>
      <w:lvlText w:val="%1."/>
      <w:lvlJc w:val="left"/>
      <w:pPr>
        <w:ind w:left="360" w:hanging="360"/>
      </w:pPr>
      <w:rPr>
        <w:b w:val="0"/>
        <w:i w:val="0"/>
        <w:sz w:val="16"/>
        <w:szCs w:val="16"/>
      </w:rPr>
    </w:lvl>
    <w:lvl w:ilvl="1" w:tplc="14090019">
      <w:start w:val="1"/>
      <w:numFmt w:val="lowerLetter"/>
      <w:lvlText w:val="%2."/>
      <w:lvlJc w:val="left"/>
      <w:pPr>
        <w:ind w:left="1069" w:hanging="360"/>
      </w:pPr>
    </w:lvl>
    <w:lvl w:ilvl="2" w:tplc="1409001B">
      <w:start w:val="1"/>
      <w:numFmt w:val="lowerRoman"/>
      <w:lvlText w:val="%3."/>
      <w:lvlJc w:val="right"/>
      <w:pPr>
        <w:ind w:left="9891" w:hanging="180"/>
      </w:pPr>
    </w:lvl>
    <w:lvl w:ilvl="3" w:tplc="1409000F" w:tentative="1">
      <w:start w:val="1"/>
      <w:numFmt w:val="decimal"/>
      <w:lvlText w:val="%4."/>
      <w:lvlJc w:val="left"/>
      <w:pPr>
        <w:ind w:left="10611" w:hanging="360"/>
      </w:pPr>
    </w:lvl>
    <w:lvl w:ilvl="4" w:tplc="14090019" w:tentative="1">
      <w:start w:val="1"/>
      <w:numFmt w:val="lowerLetter"/>
      <w:lvlText w:val="%5."/>
      <w:lvlJc w:val="left"/>
      <w:pPr>
        <w:ind w:left="11331" w:hanging="360"/>
      </w:pPr>
    </w:lvl>
    <w:lvl w:ilvl="5" w:tplc="1409001B" w:tentative="1">
      <w:start w:val="1"/>
      <w:numFmt w:val="lowerRoman"/>
      <w:lvlText w:val="%6."/>
      <w:lvlJc w:val="right"/>
      <w:pPr>
        <w:ind w:left="12051" w:hanging="180"/>
      </w:pPr>
    </w:lvl>
    <w:lvl w:ilvl="6" w:tplc="1409000F" w:tentative="1">
      <w:start w:val="1"/>
      <w:numFmt w:val="decimal"/>
      <w:lvlText w:val="%7."/>
      <w:lvlJc w:val="left"/>
      <w:pPr>
        <w:ind w:left="12771" w:hanging="360"/>
      </w:pPr>
    </w:lvl>
    <w:lvl w:ilvl="7" w:tplc="14090019" w:tentative="1">
      <w:start w:val="1"/>
      <w:numFmt w:val="lowerLetter"/>
      <w:lvlText w:val="%8."/>
      <w:lvlJc w:val="left"/>
      <w:pPr>
        <w:ind w:left="13491" w:hanging="360"/>
      </w:pPr>
    </w:lvl>
    <w:lvl w:ilvl="8" w:tplc="1409001B" w:tentative="1">
      <w:start w:val="1"/>
      <w:numFmt w:val="lowerRoman"/>
      <w:lvlText w:val="%9."/>
      <w:lvlJc w:val="right"/>
      <w:pPr>
        <w:ind w:left="14211" w:hanging="180"/>
      </w:pPr>
    </w:lvl>
  </w:abstractNum>
  <w:abstractNum w:abstractNumId="22">
    <w:nsid w:val="7D3A7E64"/>
    <w:multiLevelType w:val="hybridMultilevel"/>
    <w:tmpl w:val="0B483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9"/>
  </w:num>
  <w:num w:numId="4">
    <w:abstractNumId w:val="20"/>
  </w:num>
  <w:num w:numId="5">
    <w:abstractNumId w:val="13"/>
  </w:num>
  <w:num w:numId="6">
    <w:abstractNumId w:val="21"/>
  </w:num>
  <w:num w:numId="7">
    <w:abstractNumId w:val="22"/>
  </w:num>
  <w:num w:numId="8">
    <w:abstractNumId w:val="18"/>
  </w:num>
  <w:num w:numId="9">
    <w:abstractNumId w:val="10"/>
  </w:num>
  <w:num w:numId="10">
    <w:abstractNumId w:val="5"/>
  </w:num>
  <w:num w:numId="11">
    <w:abstractNumId w:val="16"/>
  </w:num>
  <w:num w:numId="12">
    <w:abstractNumId w:val="15"/>
  </w:num>
  <w:num w:numId="13">
    <w:abstractNumId w:val="2"/>
  </w:num>
  <w:num w:numId="14">
    <w:abstractNumId w:val="14"/>
  </w:num>
  <w:num w:numId="15">
    <w:abstractNumId w:val="3"/>
  </w:num>
  <w:num w:numId="16">
    <w:abstractNumId w:val="19"/>
  </w:num>
  <w:num w:numId="17">
    <w:abstractNumId w:val="12"/>
  </w:num>
  <w:num w:numId="18">
    <w:abstractNumId w:val="1"/>
  </w:num>
  <w:num w:numId="19">
    <w:abstractNumId w:val="4"/>
  </w:num>
  <w:num w:numId="20">
    <w:abstractNumId w:val="11"/>
  </w:num>
  <w:num w:numId="21">
    <w:abstractNumId w:val="6"/>
  </w:num>
  <w:num w:numId="22">
    <w:abstractNumId w:val="7"/>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8E8"/>
    <w:rsid w:val="00002A84"/>
    <w:rsid w:val="00002CEE"/>
    <w:rsid w:val="00002E9F"/>
    <w:rsid w:val="00003B75"/>
    <w:rsid w:val="00003C5A"/>
    <w:rsid w:val="0000444B"/>
    <w:rsid w:val="000046C5"/>
    <w:rsid w:val="00004B3B"/>
    <w:rsid w:val="00004E0F"/>
    <w:rsid w:val="000051A4"/>
    <w:rsid w:val="0000669A"/>
    <w:rsid w:val="000067BD"/>
    <w:rsid w:val="0000680B"/>
    <w:rsid w:val="00006FCF"/>
    <w:rsid w:val="0000705D"/>
    <w:rsid w:val="000076F1"/>
    <w:rsid w:val="00007766"/>
    <w:rsid w:val="00007796"/>
    <w:rsid w:val="00010801"/>
    <w:rsid w:val="000109CA"/>
    <w:rsid w:val="00010FC7"/>
    <w:rsid w:val="00011224"/>
    <w:rsid w:val="00011494"/>
    <w:rsid w:val="000115BC"/>
    <w:rsid w:val="00011652"/>
    <w:rsid w:val="00011D83"/>
    <w:rsid w:val="000123F2"/>
    <w:rsid w:val="0001264B"/>
    <w:rsid w:val="000128B9"/>
    <w:rsid w:val="00012B15"/>
    <w:rsid w:val="00012D8B"/>
    <w:rsid w:val="000141AA"/>
    <w:rsid w:val="00014AD9"/>
    <w:rsid w:val="00015355"/>
    <w:rsid w:val="00015BA0"/>
    <w:rsid w:val="00015EBA"/>
    <w:rsid w:val="0001684E"/>
    <w:rsid w:val="000169F6"/>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EA"/>
    <w:rsid w:val="000249F1"/>
    <w:rsid w:val="00024F66"/>
    <w:rsid w:val="00025272"/>
    <w:rsid w:val="000256EA"/>
    <w:rsid w:val="00025891"/>
    <w:rsid w:val="00025BCA"/>
    <w:rsid w:val="00025D53"/>
    <w:rsid w:val="0002626E"/>
    <w:rsid w:val="000265B8"/>
    <w:rsid w:val="00026948"/>
    <w:rsid w:val="00026AD1"/>
    <w:rsid w:val="00027A68"/>
    <w:rsid w:val="00027AC7"/>
    <w:rsid w:val="000301DE"/>
    <w:rsid w:val="00030722"/>
    <w:rsid w:val="000308B4"/>
    <w:rsid w:val="00030C45"/>
    <w:rsid w:val="0003102D"/>
    <w:rsid w:val="000311DA"/>
    <w:rsid w:val="0003129A"/>
    <w:rsid w:val="00031901"/>
    <w:rsid w:val="00031D61"/>
    <w:rsid w:val="00031DE0"/>
    <w:rsid w:val="00032776"/>
    <w:rsid w:val="000337C0"/>
    <w:rsid w:val="00034D18"/>
    <w:rsid w:val="0003538F"/>
    <w:rsid w:val="000353B9"/>
    <w:rsid w:val="00035822"/>
    <w:rsid w:val="0003645A"/>
    <w:rsid w:val="000367C1"/>
    <w:rsid w:val="00036995"/>
    <w:rsid w:val="00036C5B"/>
    <w:rsid w:val="00036CB3"/>
    <w:rsid w:val="00036E3A"/>
    <w:rsid w:val="0003725E"/>
    <w:rsid w:val="000373A9"/>
    <w:rsid w:val="0004080E"/>
    <w:rsid w:val="00040C12"/>
    <w:rsid w:val="00040FD3"/>
    <w:rsid w:val="00041359"/>
    <w:rsid w:val="0004197F"/>
    <w:rsid w:val="00041FFF"/>
    <w:rsid w:val="00042551"/>
    <w:rsid w:val="00042B9A"/>
    <w:rsid w:val="00042FD5"/>
    <w:rsid w:val="000431EE"/>
    <w:rsid w:val="000462E4"/>
    <w:rsid w:val="0004631F"/>
    <w:rsid w:val="00046900"/>
    <w:rsid w:val="00046972"/>
    <w:rsid w:val="00046B42"/>
    <w:rsid w:val="00046D31"/>
    <w:rsid w:val="00046FD4"/>
    <w:rsid w:val="00047495"/>
    <w:rsid w:val="00047E9D"/>
    <w:rsid w:val="000501C9"/>
    <w:rsid w:val="0005026E"/>
    <w:rsid w:val="000503B2"/>
    <w:rsid w:val="00050671"/>
    <w:rsid w:val="000506C1"/>
    <w:rsid w:val="00050A60"/>
    <w:rsid w:val="00050B16"/>
    <w:rsid w:val="0005117B"/>
    <w:rsid w:val="000518B0"/>
    <w:rsid w:val="00051E67"/>
    <w:rsid w:val="0005266C"/>
    <w:rsid w:val="0005291C"/>
    <w:rsid w:val="0005294D"/>
    <w:rsid w:val="000536A0"/>
    <w:rsid w:val="000537D7"/>
    <w:rsid w:val="000539C6"/>
    <w:rsid w:val="00053DC7"/>
    <w:rsid w:val="00053F6F"/>
    <w:rsid w:val="00054615"/>
    <w:rsid w:val="00055731"/>
    <w:rsid w:val="0005589D"/>
    <w:rsid w:val="00055EB0"/>
    <w:rsid w:val="00056044"/>
    <w:rsid w:val="000568F3"/>
    <w:rsid w:val="00056E5B"/>
    <w:rsid w:val="00057134"/>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531A"/>
    <w:rsid w:val="0006553E"/>
    <w:rsid w:val="0006633F"/>
    <w:rsid w:val="0006648E"/>
    <w:rsid w:val="000668B9"/>
    <w:rsid w:val="00066B64"/>
    <w:rsid w:val="000677CD"/>
    <w:rsid w:val="00067BB8"/>
    <w:rsid w:val="0007040F"/>
    <w:rsid w:val="00070776"/>
    <w:rsid w:val="00071171"/>
    <w:rsid w:val="000713E8"/>
    <w:rsid w:val="00072A8C"/>
    <w:rsid w:val="000730B6"/>
    <w:rsid w:val="000730EA"/>
    <w:rsid w:val="0007322F"/>
    <w:rsid w:val="00073557"/>
    <w:rsid w:val="00073996"/>
    <w:rsid w:val="0007467F"/>
    <w:rsid w:val="00074772"/>
    <w:rsid w:val="00074D9E"/>
    <w:rsid w:val="000753FC"/>
    <w:rsid w:val="00075AEB"/>
    <w:rsid w:val="00075D76"/>
    <w:rsid w:val="00076965"/>
    <w:rsid w:val="00076CD6"/>
    <w:rsid w:val="0007714A"/>
    <w:rsid w:val="0007730F"/>
    <w:rsid w:val="00077FA0"/>
    <w:rsid w:val="000801BA"/>
    <w:rsid w:val="00080564"/>
    <w:rsid w:val="0008104A"/>
    <w:rsid w:val="0008260F"/>
    <w:rsid w:val="00082689"/>
    <w:rsid w:val="00082D18"/>
    <w:rsid w:val="00082F8E"/>
    <w:rsid w:val="00083747"/>
    <w:rsid w:val="0008411C"/>
    <w:rsid w:val="00084421"/>
    <w:rsid w:val="00084889"/>
    <w:rsid w:val="00084AFE"/>
    <w:rsid w:val="00084F39"/>
    <w:rsid w:val="000854AE"/>
    <w:rsid w:val="000855C3"/>
    <w:rsid w:val="00085D73"/>
    <w:rsid w:val="00086010"/>
    <w:rsid w:val="00086FE8"/>
    <w:rsid w:val="000872CE"/>
    <w:rsid w:val="00090868"/>
    <w:rsid w:val="000908F1"/>
    <w:rsid w:val="00090A30"/>
    <w:rsid w:val="00091C97"/>
    <w:rsid w:val="00092313"/>
    <w:rsid w:val="0009255E"/>
    <w:rsid w:val="0009284C"/>
    <w:rsid w:val="00094A1C"/>
    <w:rsid w:val="00095164"/>
    <w:rsid w:val="0009557D"/>
    <w:rsid w:val="0009576A"/>
    <w:rsid w:val="00095820"/>
    <w:rsid w:val="00095BEA"/>
    <w:rsid w:val="000965D1"/>
    <w:rsid w:val="00096A15"/>
    <w:rsid w:val="00096A29"/>
    <w:rsid w:val="000972DA"/>
    <w:rsid w:val="00097461"/>
    <w:rsid w:val="00097866"/>
    <w:rsid w:val="00097989"/>
    <w:rsid w:val="00097A0C"/>
    <w:rsid w:val="000A05BD"/>
    <w:rsid w:val="000A0BCE"/>
    <w:rsid w:val="000A0DE1"/>
    <w:rsid w:val="000A12CF"/>
    <w:rsid w:val="000A1A8B"/>
    <w:rsid w:val="000A1BEC"/>
    <w:rsid w:val="000A2018"/>
    <w:rsid w:val="000A29A6"/>
    <w:rsid w:val="000A31ED"/>
    <w:rsid w:val="000A4738"/>
    <w:rsid w:val="000A56F4"/>
    <w:rsid w:val="000A585E"/>
    <w:rsid w:val="000A5B4C"/>
    <w:rsid w:val="000A5D7C"/>
    <w:rsid w:val="000A5D8F"/>
    <w:rsid w:val="000A6275"/>
    <w:rsid w:val="000A67C1"/>
    <w:rsid w:val="000A718B"/>
    <w:rsid w:val="000A72CC"/>
    <w:rsid w:val="000B0789"/>
    <w:rsid w:val="000B07E5"/>
    <w:rsid w:val="000B081D"/>
    <w:rsid w:val="000B0A4D"/>
    <w:rsid w:val="000B0B46"/>
    <w:rsid w:val="000B158B"/>
    <w:rsid w:val="000B1842"/>
    <w:rsid w:val="000B2764"/>
    <w:rsid w:val="000B34CD"/>
    <w:rsid w:val="000B3A1D"/>
    <w:rsid w:val="000B44DD"/>
    <w:rsid w:val="000B485A"/>
    <w:rsid w:val="000B49EA"/>
    <w:rsid w:val="000B52C6"/>
    <w:rsid w:val="000B5334"/>
    <w:rsid w:val="000B58E0"/>
    <w:rsid w:val="000B5936"/>
    <w:rsid w:val="000B5E01"/>
    <w:rsid w:val="000B676C"/>
    <w:rsid w:val="000B6EB6"/>
    <w:rsid w:val="000B7183"/>
    <w:rsid w:val="000B74C7"/>
    <w:rsid w:val="000B7877"/>
    <w:rsid w:val="000B791B"/>
    <w:rsid w:val="000B7CAA"/>
    <w:rsid w:val="000C006A"/>
    <w:rsid w:val="000C0577"/>
    <w:rsid w:val="000C126F"/>
    <w:rsid w:val="000C178F"/>
    <w:rsid w:val="000C1E4F"/>
    <w:rsid w:val="000C2191"/>
    <w:rsid w:val="000C2361"/>
    <w:rsid w:val="000C26FB"/>
    <w:rsid w:val="000C277A"/>
    <w:rsid w:val="000C278C"/>
    <w:rsid w:val="000C3003"/>
    <w:rsid w:val="000C30B7"/>
    <w:rsid w:val="000C39A4"/>
    <w:rsid w:val="000C3DFD"/>
    <w:rsid w:val="000C4397"/>
    <w:rsid w:val="000C491C"/>
    <w:rsid w:val="000C4D0A"/>
    <w:rsid w:val="000C4FB8"/>
    <w:rsid w:val="000C52E4"/>
    <w:rsid w:val="000C5545"/>
    <w:rsid w:val="000C5760"/>
    <w:rsid w:val="000C5962"/>
    <w:rsid w:val="000C5B56"/>
    <w:rsid w:val="000C6337"/>
    <w:rsid w:val="000C640E"/>
    <w:rsid w:val="000C7B78"/>
    <w:rsid w:val="000D00F4"/>
    <w:rsid w:val="000D01D7"/>
    <w:rsid w:val="000D0532"/>
    <w:rsid w:val="000D092E"/>
    <w:rsid w:val="000D0D19"/>
    <w:rsid w:val="000D1E68"/>
    <w:rsid w:val="000D21AD"/>
    <w:rsid w:val="000D2451"/>
    <w:rsid w:val="000D256D"/>
    <w:rsid w:val="000D29B8"/>
    <w:rsid w:val="000D2D59"/>
    <w:rsid w:val="000D336E"/>
    <w:rsid w:val="000D35F2"/>
    <w:rsid w:val="000D3976"/>
    <w:rsid w:val="000D488E"/>
    <w:rsid w:val="000D49F9"/>
    <w:rsid w:val="000D4DFF"/>
    <w:rsid w:val="000D52E0"/>
    <w:rsid w:val="000D5354"/>
    <w:rsid w:val="000D5D72"/>
    <w:rsid w:val="000D6FC7"/>
    <w:rsid w:val="000D751E"/>
    <w:rsid w:val="000D77DE"/>
    <w:rsid w:val="000D7F2F"/>
    <w:rsid w:val="000E07E3"/>
    <w:rsid w:val="000E13C5"/>
    <w:rsid w:val="000E1F92"/>
    <w:rsid w:val="000E1FC0"/>
    <w:rsid w:val="000E25C2"/>
    <w:rsid w:val="000E2832"/>
    <w:rsid w:val="000E2BBD"/>
    <w:rsid w:val="000E301E"/>
    <w:rsid w:val="000E319C"/>
    <w:rsid w:val="000E38CB"/>
    <w:rsid w:val="000E38F2"/>
    <w:rsid w:val="000E3DE3"/>
    <w:rsid w:val="000E433B"/>
    <w:rsid w:val="000E4659"/>
    <w:rsid w:val="000E4662"/>
    <w:rsid w:val="000E4BBA"/>
    <w:rsid w:val="000E4C54"/>
    <w:rsid w:val="000E4C6B"/>
    <w:rsid w:val="000E51B5"/>
    <w:rsid w:val="000E555C"/>
    <w:rsid w:val="000E5C41"/>
    <w:rsid w:val="000E6BA4"/>
    <w:rsid w:val="000E6E3A"/>
    <w:rsid w:val="000E7ACB"/>
    <w:rsid w:val="000F01E3"/>
    <w:rsid w:val="000F05AC"/>
    <w:rsid w:val="000F0D2E"/>
    <w:rsid w:val="000F0EB0"/>
    <w:rsid w:val="000F12AB"/>
    <w:rsid w:val="000F17F7"/>
    <w:rsid w:val="000F1BFB"/>
    <w:rsid w:val="000F1DD9"/>
    <w:rsid w:val="000F2AC5"/>
    <w:rsid w:val="000F2DE2"/>
    <w:rsid w:val="000F3150"/>
    <w:rsid w:val="000F3414"/>
    <w:rsid w:val="000F3AAA"/>
    <w:rsid w:val="000F3FC7"/>
    <w:rsid w:val="000F40AD"/>
    <w:rsid w:val="000F4210"/>
    <w:rsid w:val="000F42C7"/>
    <w:rsid w:val="000F4A11"/>
    <w:rsid w:val="000F4CF4"/>
    <w:rsid w:val="000F54BC"/>
    <w:rsid w:val="000F5704"/>
    <w:rsid w:val="000F6025"/>
    <w:rsid w:val="000F7F2F"/>
    <w:rsid w:val="001005F1"/>
    <w:rsid w:val="00100F66"/>
    <w:rsid w:val="001011A9"/>
    <w:rsid w:val="001015C7"/>
    <w:rsid w:val="0010168B"/>
    <w:rsid w:val="00101CE2"/>
    <w:rsid w:val="001023CB"/>
    <w:rsid w:val="00102BDE"/>
    <w:rsid w:val="0010356A"/>
    <w:rsid w:val="001037BB"/>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1F1"/>
    <w:rsid w:val="0011091A"/>
    <w:rsid w:val="00110D91"/>
    <w:rsid w:val="00111166"/>
    <w:rsid w:val="001111A9"/>
    <w:rsid w:val="001116D9"/>
    <w:rsid w:val="0011193B"/>
    <w:rsid w:val="00111996"/>
    <w:rsid w:val="00111ACC"/>
    <w:rsid w:val="00111B37"/>
    <w:rsid w:val="00112820"/>
    <w:rsid w:val="001130B0"/>
    <w:rsid w:val="0011440E"/>
    <w:rsid w:val="0011470E"/>
    <w:rsid w:val="0011476C"/>
    <w:rsid w:val="00114785"/>
    <w:rsid w:val="00114786"/>
    <w:rsid w:val="00114B9F"/>
    <w:rsid w:val="00114D38"/>
    <w:rsid w:val="00114FD6"/>
    <w:rsid w:val="00116458"/>
    <w:rsid w:val="0011685F"/>
    <w:rsid w:val="00117499"/>
    <w:rsid w:val="00117B37"/>
    <w:rsid w:val="001200E4"/>
    <w:rsid w:val="0012062E"/>
    <w:rsid w:val="001206F6"/>
    <w:rsid w:val="00120701"/>
    <w:rsid w:val="00120DA7"/>
    <w:rsid w:val="00120FE6"/>
    <w:rsid w:val="00120FFC"/>
    <w:rsid w:val="00121484"/>
    <w:rsid w:val="00121BB7"/>
    <w:rsid w:val="00122DED"/>
    <w:rsid w:val="0012311E"/>
    <w:rsid w:val="00123208"/>
    <w:rsid w:val="00123813"/>
    <w:rsid w:val="00125235"/>
    <w:rsid w:val="001255A9"/>
    <w:rsid w:val="00125F07"/>
    <w:rsid w:val="001263AF"/>
    <w:rsid w:val="001263C5"/>
    <w:rsid w:val="001267F0"/>
    <w:rsid w:val="00126B97"/>
    <w:rsid w:val="001271FC"/>
    <w:rsid w:val="0012759E"/>
    <w:rsid w:val="001276D8"/>
    <w:rsid w:val="00130084"/>
    <w:rsid w:val="001304B4"/>
    <w:rsid w:val="00130520"/>
    <w:rsid w:val="00130FFF"/>
    <w:rsid w:val="00131166"/>
    <w:rsid w:val="00132210"/>
    <w:rsid w:val="00132310"/>
    <w:rsid w:val="00132687"/>
    <w:rsid w:val="00132771"/>
    <w:rsid w:val="00132C99"/>
    <w:rsid w:val="00132CF1"/>
    <w:rsid w:val="00133295"/>
    <w:rsid w:val="0013333B"/>
    <w:rsid w:val="001334BB"/>
    <w:rsid w:val="0013353F"/>
    <w:rsid w:val="001336A6"/>
    <w:rsid w:val="00134012"/>
    <w:rsid w:val="00134696"/>
    <w:rsid w:val="0013471D"/>
    <w:rsid w:val="00134D86"/>
    <w:rsid w:val="0013507B"/>
    <w:rsid w:val="0013534C"/>
    <w:rsid w:val="001357E0"/>
    <w:rsid w:val="00135FB5"/>
    <w:rsid w:val="0013645D"/>
    <w:rsid w:val="00136A1E"/>
    <w:rsid w:val="00136A29"/>
    <w:rsid w:val="00137337"/>
    <w:rsid w:val="00140097"/>
    <w:rsid w:val="00140227"/>
    <w:rsid w:val="00140552"/>
    <w:rsid w:val="001406B2"/>
    <w:rsid w:val="00140C5F"/>
    <w:rsid w:val="00141A3E"/>
    <w:rsid w:val="001420CF"/>
    <w:rsid w:val="0014219E"/>
    <w:rsid w:val="001427CA"/>
    <w:rsid w:val="00142B87"/>
    <w:rsid w:val="00143519"/>
    <w:rsid w:val="00143995"/>
    <w:rsid w:val="001449F2"/>
    <w:rsid w:val="00144A82"/>
    <w:rsid w:val="00144BD4"/>
    <w:rsid w:val="00145602"/>
    <w:rsid w:val="00145A13"/>
    <w:rsid w:val="001461A5"/>
    <w:rsid w:val="001465FB"/>
    <w:rsid w:val="00146EC2"/>
    <w:rsid w:val="00147055"/>
    <w:rsid w:val="001474C0"/>
    <w:rsid w:val="00147682"/>
    <w:rsid w:val="00147838"/>
    <w:rsid w:val="001502A6"/>
    <w:rsid w:val="0015035E"/>
    <w:rsid w:val="00150BCE"/>
    <w:rsid w:val="00150C83"/>
    <w:rsid w:val="00150F0E"/>
    <w:rsid w:val="0015111A"/>
    <w:rsid w:val="0015145C"/>
    <w:rsid w:val="001517F7"/>
    <w:rsid w:val="00152132"/>
    <w:rsid w:val="00152208"/>
    <w:rsid w:val="00153061"/>
    <w:rsid w:val="001538B0"/>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89A"/>
    <w:rsid w:val="00160CC3"/>
    <w:rsid w:val="00160D46"/>
    <w:rsid w:val="001610B0"/>
    <w:rsid w:val="00161213"/>
    <w:rsid w:val="00161927"/>
    <w:rsid w:val="00161D5F"/>
    <w:rsid w:val="0016204F"/>
    <w:rsid w:val="001622C1"/>
    <w:rsid w:val="00162500"/>
    <w:rsid w:val="001625C4"/>
    <w:rsid w:val="001638AA"/>
    <w:rsid w:val="00163E95"/>
    <w:rsid w:val="00164739"/>
    <w:rsid w:val="00164814"/>
    <w:rsid w:val="00164949"/>
    <w:rsid w:val="00164E82"/>
    <w:rsid w:val="00164EEF"/>
    <w:rsid w:val="00164F39"/>
    <w:rsid w:val="00164FF5"/>
    <w:rsid w:val="00165248"/>
    <w:rsid w:val="001655EC"/>
    <w:rsid w:val="001661DE"/>
    <w:rsid w:val="001666B1"/>
    <w:rsid w:val="0016695D"/>
    <w:rsid w:val="00166960"/>
    <w:rsid w:val="00166DD6"/>
    <w:rsid w:val="001670A5"/>
    <w:rsid w:val="00167438"/>
    <w:rsid w:val="00167457"/>
    <w:rsid w:val="00167F01"/>
    <w:rsid w:val="00170136"/>
    <w:rsid w:val="00170892"/>
    <w:rsid w:val="001710C2"/>
    <w:rsid w:val="001711B9"/>
    <w:rsid w:val="001714F4"/>
    <w:rsid w:val="00171583"/>
    <w:rsid w:val="0017181E"/>
    <w:rsid w:val="0017197E"/>
    <w:rsid w:val="00171A81"/>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F97"/>
    <w:rsid w:val="001760F5"/>
    <w:rsid w:val="00176220"/>
    <w:rsid w:val="00176A05"/>
    <w:rsid w:val="00177169"/>
    <w:rsid w:val="0017720A"/>
    <w:rsid w:val="0017731F"/>
    <w:rsid w:val="0017767C"/>
    <w:rsid w:val="001777A8"/>
    <w:rsid w:val="00177F79"/>
    <w:rsid w:val="00180329"/>
    <w:rsid w:val="00180D7A"/>
    <w:rsid w:val="0018108A"/>
    <w:rsid w:val="00181714"/>
    <w:rsid w:val="001818F9"/>
    <w:rsid w:val="001819A2"/>
    <w:rsid w:val="00181DBA"/>
    <w:rsid w:val="0018206C"/>
    <w:rsid w:val="00182513"/>
    <w:rsid w:val="001830D3"/>
    <w:rsid w:val="001831B5"/>
    <w:rsid w:val="001832B1"/>
    <w:rsid w:val="0018338B"/>
    <w:rsid w:val="001835BB"/>
    <w:rsid w:val="001841FE"/>
    <w:rsid w:val="00184C29"/>
    <w:rsid w:val="00184D78"/>
    <w:rsid w:val="00185152"/>
    <w:rsid w:val="0018518A"/>
    <w:rsid w:val="0018518D"/>
    <w:rsid w:val="001856C9"/>
    <w:rsid w:val="001858CB"/>
    <w:rsid w:val="0018598D"/>
    <w:rsid w:val="001859E0"/>
    <w:rsid w:val="00185F65"/>
    <w:rsid w:val="001860D6"/>
    <w:rsid w:val="00186D73"/>
    <w:rsid w:val="00186FE6"/>
    <w:rsid w:val="00187B74"/>
    <w:rsid w:val="00187BD6"/>
    <w:rsid w:val="00190977"/>
    <w:rsid w:val="00190DD5"/>
    <w:rsid w:val="001918F2"/>
    <w:rsid w:val="00191F5B"/>
    <w:rsid w:val="00191F8C"/>
    <w:rsid w:val="001921A4"/>
    <w:rsid w:val="001934BD"/>
    <w:rsid w:val="00193DAA"/>
    <w:rsid w:val="00195032"/>
    <w:rsid w:val="001950A1"/>
    <w:rsid w:val="0019665B"/>
    <w:rsid w:val="00196699"/>
    <w:rsid w:val="001966A0"/>
    <w:rsid w:val="00197534"/>
    <w:rsid w:val="00197757"/>
    <w:rsid w:val="00197C11"/>
    <w:rsid w:val="001A01EA"/>
    <w:rsid w:val="001A028F"/>
    <w:rsid w:val="001A0625"/>
    <w:rsid w:val="001A1478"/>
    <w:rsid w:val="001A1EE7"/>
    <w:rsid w:val="001A2BB2"/>
    <w:rsid w:val="001A2EA9"/>
    <w:rsid w:val="001A3101"/>
    <w:rsid w:val="001A32AF"/>
    <w:rsid w:val="001A3BBE"/>
    <w:rsid w:val="001A3F75"/>
    <w:rsid w:val="001A3FC8"/>
    <w:rsid w:val="001A45B3"/>
    <w:rsid w:val="001A4DC3"/>
    <w:rsid w:val="001A51BF"/>
    <w:rsid w:val="001A5238"/>
    <w:rsid w:val="001A5C58"/>
    <w:rsid w:val="001A5E6B"/>
    <w:rsid w:val="001A64E6"/>
    <w:rsid w:val="001A6932"/>
    <w:rsid w:val="001A6B49"/>
    <w:rsid w:val="001A6D56"/>
    <w:rsid w:val="001A77EC"/>
    <w:rsid w:val="001A78CB"/>
    <w:rsid w:val="001A7D05"/>
    <w:rsid w:val="001B0024"/>
    <w:rsid w:val="001B0A9C"/>
    <w:rsid w:val="001B0D91"/>
    <w:rsid w:val="001B0FE7"/>
    <w:rsid w:val="001B1744"/>
    <w:rsid w:val="001B1DEF"/>
    <w:rsid w:val="001B1ED5"/>
    <w:rsid w:val="001B240F"/>
    <w:rsid w:val="001B2936"/>
    <w:rsid w:val="001B2EA8"/>
    <w:rsid w:val="001B365E"/>
    <w:rsid w:val="001B3ED3"/>
    <w:rsid w:val="001B3FE9"/>
    <w:rsid w:val="001B4135"/>
    <w:rsid w:val="001B418F"/>
    <w:rsid w:val="001B4366"/>
    <w:rsid w:val="001B475A"/>
    <w:rsid w:val="001B5424"/>
    <w:rsid w:val="001B5440"/>
    <w:rsid w:val="001B5D57"/>
    <w:rsid w:val="001B633C"/>
    <w:rsid w:val="001B66F5"/>
    <w:rsid w:val="001B6B71"/>
    <w:rsid w:val="001B6B74"/>
    <w:rsid w:val="001B7AA3"/>
    <w:rsid w:val="001B7D57"/>
    <w:rsid w:val="001C05E0"/>
    <w:rsid w:val="001C0ABF"/>
    <w:rsid w:val="001C0CA6"/>
    <w:rsid w:val="001C1976"/>
    <w:rsid w:val="001C1C1E"/>
    <w:rsid w:val="001C1DFA"/>
    <w:rsid w:val="001C211F"/>
    <w:rsid w:val="001C2397"/>
    <w:rsid w:val="001C2515"/>
    <w:rsid w:val="001C2660"/>
    <w:rsid w:val="001C2686"/>
    <w:rsid w:val="001C2AB2"/>
    <w:rsid w:val="001C2DE8"/>
    <w:rsid w:val="001C3395"/>
    <w:rsid w:val="001C3637"/>
    <w:rsid w:val="001C3D12"/>
    <w:rsid w:val="001C3ECE"/>
    <w:rsid w:val="001C42AA"/>
    <w:rsid w:val="001C4482"/>
    <w:rsid w:val="001C4DE1"/>
    <w:rsid w:val="001C4FEF"/>
    <w:rsid w:val="001C57C2"/>
    <w:rsid w:val="001C5A07"/>
    <w:rsid w:val="001C5B3D"/>
    <w:rsid w:val="001C6012"/>
    <w:rsid w:val="001C6D27"/>
    <w:rsid w:val="001C73CD"/>
    <w:rsid w:val="001C7B56"/>
    <w:rsid w:val="001C7BDC"/>
    <w:rsid w:val="001D1591"/>
    <w:rsid w:val="001D32FD"/>
    <w:rsid w:val="001D36E4"/>
    <w:rsid w:val="001D3B11"/>
    <w:rsid w:val="001D40BF"/>
    <w:rsid w:val="001D5334"/>
    <w:rsid w:val="001D5CB6"/>
    <w:rsid w:val="001D63BB"/>
    <w:rsid w:val="001D683E"/>
    <w:rsid w:val="001D69DF"/>
    <w:rsid w:val="001D6DCB"/>
    <w:rsid w:val="001D6E8A"/>
    <w:rsid w:val="001D70DF"/>
    <w:rsid w:val="001D7735"/>
    <w:rsid w:val="001D7BE0"/>
    <w:rsid w:val="001D7BED"/>
    <w:rsid w:val="001E0020"/>
    <w:rsid w:val="001E012B"/>
    <w:rsid w:val="001E0373"/>
    <w:rsid w:val="001E0CA7"/>
    <w:rsid w:val="001E0F97"/>
    <w:rsid w:val="001E119E"/>
    <w:rsid w:val="001E2282"/>
    <w:rsid w:val="001E25D7"/>
    <w:rsid w:val="001E26F5"/>
    <w:rsid w:val="001E2E5B"/>
    <w:rsid w:val="001E30D7"/>
    <w:rsid w:val="001E33AC"/>
    <w:rsid w:val="001E3879"/>
    <w:rsid w:val="001E4465"/>
    <w:rsid w:val="001E4BFC"/>
    <w:rsid w:val="001E5667"/>
    <w:rsid w:val="001E5777"/>
    <w:rsid w:val="001E5E29"/>
    <w:rsid w:val="001E6314"/>
    <w:rsid w:val="001E6451"/>
    <w:rsid w:val="001E68C7"/>
    <w:rsid w:val="001E6D32"/>
    <w:rsid w:val="001E73B5"/>
    <w:rsid w:val="001E7D80"/>
    <w:rsid w:val="001F039F"/>
    <w:rsid w:val="001F0402"/>
    <w:rsid w:val="001F1078"/>
    <w:rsid w:val="001F1188"/>
    <w:rsid w:val="001F1475"/>
    <w:rsid w:val="001F1515"/>
    <w:rsid w:val="001F16A6"/>
    <w:rsid w:val="001F18F2"/>
    <w:rsid w:val="001F1B21"/>
    <w:rsid w:val="001F1BBC"/>
    <w:rsid w:val="001F1C6D"/>
    <w:rsid w:val="001F1EBE"/>
    <w:rsid w:val="001F1EF3"/>
    <w:rsid w:val="001F20A9"/>
    <w:rsid w:val="001F21D3"/>
    <w:rsid w:val="001F2505"/>
    <w:rsid w:val="001F2AD8"/>
    <w:rsid w:val="001F2AEC"/>
    <w:rsid w:val="001F2BE7"/>
    <w:rsid w:val="001F2CF7"/>
    <w:rsid w:val="001F30EF"/>
    <w:rsid w:val="001F44C1"/>
    <w:rsid w:val="001F4B5F"/>
    <w:rsid w:val="001F52CE"/>
    <w:rsid w:val="001F656E"/>
    <w:rsid w:val="001F6E39"/>
    <w:rsid w:val="001F6EB5"/>
    <w:rsid w:val="001F701C"/>
    <w:rsid w:val="001F7636"/>
    <w:rsid w:val="001F771A"/>
    <w:rsid w:val="00200817"/>
    <w:rsid w:val="00200C04"/>
    <w:rsid w:val="002018EA"/>
    <w:rsid w:val="00202B2D"/>
    <w:rsid w:val="00202EE9"/>
    <w:rsid w:val="00203196"/>
    <w:rsid w:val="00203478"/>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984"/>
    <w:rsid w:val="00210AF8"/>
    <w:rsid w:val="00211039"/>
    <w:rsid w:val="00211CF1"/>
    <w:rsid w:val="002131B7"/>
    <w:rsid w:val="0021391D"/>
    <w:rsid w:val="00213DD2"/>
    <w:rsid w:val="00213F65"/>
    <w:rsid w:val="00213FB7"/>
    <w:rsid w:val="002146BD"/>
    <w:rsid w:val="00214AB1"/>
    <w:rsid w:val="00214D30"/>
    <w:rsid w:val="00214D5F"/>
    <w:rsid w:val="0021517C"/>
    <w:rsid w:val="00215346"/>
    <w:rsid w:val="0021575E"/>
    <w:rsid w:val="002158C4"/>
    <w:rsid w:val="00215C7E"/>
    <w:rsid w:val="00215CB9"/>
    <w:rsid w:val="0021635B"/>
    <w:rsid w:val="002169E1"/>
    <w:rsid w:val="00216B81"/>
    <w:rsid w:val="00216EA3"/>
    <w:rsid w:val="002172C4"/>
    <w:rsid w:val="00217458"/>
    <w:rsid w:val="002200ED"/>
    <w:rsid w:val="00220531"/>
    <w:rsid w:val="0022096F"/>
    <w:rsid w:val="00220C79"/>
    <w:rsid w:val="0022181A"/>
    <w:rsid w:val="00222084"/>
    <w:rsid w:val="00222215"/>
    <w:rsid w:val="00222389"/>
    <w:rsid w:val="00222CC1"/>
    <w:rsid w:val="00222F69"/>
    <w:rsid w:val="002239B3"/>
    <w:rsid w:val="00223CFA"/>
    <w:rsid w:val="0022421D"/>
    <w:rsid w:val="00224375"/>
    <w:rsid w:val="00224EA3"/>
    <w:rsid w:val="0022673F"/>
    <w:rsid w:val="00226E4E"/>
    <w:rsid w:val="00226FCE"/>
    <w:rsid w:val="00227144"/>
    <w:rsid w:val="00227376"/>
    <w:rsid w:val="00227446"/>
    <w:rsid w:val="00227EBB"/>
    <w:rsid w:val="00230064"/>
    <w:rsid w:val="00230769"/>
    <w:rsid w:val="0023189A"/>
    <w:rsid w:val="00231A6A"/>
    <w:rsid w:val="00231A8C"/>
    <w:rsid w:val="00232144"/>
    <w:rsid w:val="002325FA"/>
    <w:rsid w:val="002329D2"/>
    <w:rsid w:val="0023342F"/>
    <w:rsid w:val="0023365E"/>
    <w:rsid w:val="00234148"/>
    <w:rsid w:val="002341DC"/>
    <w:rsid w:val="00234497"/>
    <w:rsid w:val="002344B3"/>
    <w:rsid w:val="002356FA"/>
    <w:rsid w:val="002358C2"/>
    <w:rsid w:val="00235945"/>
    <w:rsid w:val="00235BCA"/>
    <w:rsid w:val="00235C87"/>
    <w:rsid w:val="00236A48"/>
    <w:rsid w:val="00236E6A"/>
    <w:rsid w:val="00236E86"/>
    <w:rsid w:val="00236F57"/>
    <w:rsid w:val="0024039E"/>
    <w:rsid w:val="00241170"/>
    <w:rsid w:val="00241608"/>
    <w:rsid w:val="002416C7"/>
    <w:rsid w:val="00241765"/>
    <w:rsid w:val="0024178D"/>
    <w:rsid w:val="0024188B"/>
    <w:rsid w:val="00241CC6"/>
    <w:rsid w:val="002428C1"/>
    <w:rsid w:val="00242A42"/>
    <w:rsid w:val="00242F2E"/>
    <w:rsid w:val="00243045"/>
    <w:rsid w:val="0024331D"/>
    <w:rsid w:val="00243913"/>
    <w:rsid w:val="00243E82"/>
    <w:rsid w:val="0024406B"/>
    <w:rsid w:val="002449F1"/>
    <w:rsid w:val="00244A07"/>
    <w:rsid w:val="00244EF5"/>
    <w:rsid w:val="00245666"/>
    <w:rsid w:val="00245F2E"/>
    <w:rsid w:val="0024615D"/>
    <w:rsid w:val="002463DC"/>
    <w:rsid w:val="00246839"/>
    <w:rsid w:val="00246B48"/>
    <w:rsid w:val="00246F1D"/>
    <w:rsid w:val="002472C4"/>
    <w:rsid w:val="002476FD"/>
    <w:rsid w:val="0024788E"/>
    <w:rsid w:val="00247BCF"/>
    <w:rsid w:val="00250E5D"/>
    <w:rsid w:val="00250E72"/>
    <w:rsid w:val="0025151D"/>
    <w:rsid w:val="0025161C"/>
    <w:rsid w:val="002516A6"/>
    <w:rsid w:val="002517E7"/>
    <w:rsid w:val="00251F28"/>
    <w:rsid w:val="00252669"/>
    <w:rsid w:val="00252CB2"/>
    <w:rsid w:val="00252DC4"/>
    <w:rsid w:val="00252FEC"/>
    <w:rsid w:val="0025356A"/>
    <w:rsid w:val="00253711"/>
    <w:rsid w:val="00254201"/>
    <w:rsid w:val="00254246"/>
    <w:rsid w:val="002547B4"/>
    <w:rsid w:val="0025497D"/>
    <w:rsid w:val="002549A0"/>
    <w:rsid w:val="00254A28"/>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F1E"/>
    <w:rsid w:val="002625DE"/>
    <w:rsid w:val="00262D3D"/>
    <w:rsid w:val="00263293"/>
    <w:rsid w:val="00263E42"/>
    <w:rsid w:val="00264074"/>
    <w:rsid w:val="00264935"/>
    <w:rsid w:val="002656A1"/>
    <w:rsid w:val="00265817"/>
    <w:rsid w:val="00265E4F"/>
    <w:rsid w:val="00270091"/>
    <w:rsid w:val="002700C1"/>
    <w:rsid w:val="002707BF"/>
    <w:rsid w:val="0027097B"/>
    <w:rsid w:val="00271C4E"/>
    <w:rsid w:val="00272376"/>
    <w:rsid w:val="002724D1"/>
    <w:rsid w:val="002727CA"/>
    <w:rsid w:val="00272A35"/>
    <w:rsid w:val="002734BC"/>
    <w:rsid w:val="0027370D"/>
    <w:rsid w:val="00273ADE"/>
    <w:rsid w:val="00273C1B"/>
    <w:rsid w:val="00273E23"/>
    <w:rsid w:val="00274560"/>
    <w:rsid w:val="00274764"/>
    <w:rsid w:val="00275CCB"/>
    <w:rsid w:val="002760BD"/>
    <w:rsid w:val="00276CBB"/>
    <w:rsid w:val="00276DA4"/>
    <w:rsid w:val="002772BE"/>
    <w:rsid w:val="00280058"/>
    <w:rsid w:val="00280087"/>
    <w:rsid w:val="002804EE"/>
    <w:rsid w:val="00280DB1"/>
    <w:rsid w:val="00280F32"/>
    <w:rsid w:val="0028192D"/>
    <w:rsid w:val="0028236D"/>
    <w:rsid w:val="0028270D"/>
    <w:rsid w:val="00282B19"/>
    <w:rsid w:val="00282D28"/>
    <w:rsid w:val="00282F65"/>
    <w:rsid w:val="00283086"/>
    <w:rsid w:val="0028358E"/>
    <w:rsid w:val="00283F13"/>
    <w:rsid w:val="00284185"/>
    <w:rsid w:val="0028425E"/>
    <w:rsid w:val="00284E60"/>
    <w:rsid w:val="00285278"/>
    <w:rsid w:val="00285B45"/>
    <w:rsid w:val="00286175"/>
    <w:rsid w:val="002861AC"/>
    <w:rsid w:val="002866C3"/>
    <w:rsid w:val="00286AC2"/>
    <w:rsid w:val="00286B68"/>
    <w:rsid w:val="00287727"/>
    <w:rsid w:val="00290B10"/>
    <w:rsid w:val="00290BC4"/>
    <w:rsid w:val="00290F96"/>
    <w:rsid w:val="002927C9"/>
    <w:rsid w:val="00293330"/>
    <w:rsid w:val="00293473"/>
    <w:rsid w:val="002934D2"/>
    <w:rsid w:val="00293CBE"/>
    <w:rsid w:val="00294609"/>
    <w:rsid w:val="00294A32"/>
    <w:rsid w:val="00294B19"/>
    <w:rsid w:val="002955EE"/>
    <w:rsid w:val="00295BDD"/>
    <w:rsid w:val="00295DFB"/>
    <w:rsid w:val="00295F19"/>
    <w:rsid w:val="00296A57"/>
    <w:rsid w:val="002971FC"/>
    <w:rsid w:val="0029749A"/>
    <w:rsid w:val="0029751F"/>
    <w:rsid w:val="002A0644"/>
    <w:rsid w:val="002A08DD"/>
    <w:rsid w:val="002A11BC"/>
    <w:rsid w:val="002A13DD"/>
    <w:rsid w:val="002A196E"/>
    <w:rsid w:val="002A20B1"/>
    <w:rsid w:val="002A23AF"/>
    <w:rsid w:val="002A2D82"/>
    <w:rsid w:val="002A36A5"/>
    <w:rsid w:val="002A3F0F"/>
    <w:rsid w:val="002A3F6C"/>
    <w:rsid w:val="002A42E2"/>
    <w:rsid w:val="002A471B"/>
    <w:rsid w:val="002A48A7"/>
    <w:rsid w:val="002A4BAF"/>
    <w:rsid w:val="002A4FF1"/>
    <w:rsid w:val="002A50E7"/>
    <w:rsid w:val="002A5B65"/>
    <w:rsid w:val="002A5C1E"/>
    <w:rsid w:val="002A5D94"/>
    <w:rsid w:val="002A5E14"/>
    <w:rsid w:val="002A6063"/>
    <w:rsid w:val="002A6816"/>
    <w:rsid w:val="002A6BBE"/>
    <w:rsid w:val="002A6E55"/>
    <w:rsid w:val="002A70B4"/>
    <w:rsid w:val="002B0018"/>
    <w:rsid w:val="002B0A90"/>
    <w:rsid w:val="002B1034"/>
    <w:rsid w:val="002B2105"/>
    <w:rsid w:val="002B2822"/>
    <w:rsid w:val="002B2ADC"/>
    <w:rsid w:val="002B2B90"/>
    <w:rsid w:val="002B2EF2"/>
    <w:rsid w:val="002B2F40"/>
    <w:rsid w:val="002B4124"/>
    <w:rsid w:val="002B4966"/>
    <w:rsid w:val="002B4B70"/>
    <w:rsid w:val="002B4D86"/>
    <w:rsid w:val="002B4E1D"/>
    <w:rsid w:val="002B5222"/>
    <w:rsid w:val="002B5540"/>
    <w:rsid w:val="002B55C6"/>
    <w:rsid w:val="002B5CF1"/>
    <w:rsid w:val="002B5F20"/>
    <w:rsid w:val="002B6450"/>
    <w:rsid w:val="002B646C"/>
    <w:rsid w:val="002B6478"/>
    <w:rsid w:val="002B6F1A"/>
    <w:rsid w:val="002B750B"/>
    <w:rsid w:val="002C0575"/>
    <w:rsid w:val="002C0826"/>
    <w:rsid w:val="002C1B40"/>
    <w:rsid w:val="002C1EE4"/>
    <w:rsid w:val="002C1F16"/>
    <w:rsid w:val="002C2B01"/>
    <w:rsid w:val="002C36E2"/>
    <w:rsid w:val="002C4037"/>
    <w:rsid w:val="002C421E"/>
    <w:rsid w:val="002C42D2"/>
    <w:rsid w:val="002C4AD7"/>
    <w:rsid w:val="002C58E1"/>
    <w:rsid w:val="002C5AB2"/>
    <w:rsid w:val="002C5BDB"/>
    <w:rsid w:val="002C649E"/>
    <w:rsid w:val="002C7170"/>
    <w:rsid w:val="002C768A"/>
    <w:rsid w:val="002C7A50"/>
    <w:rsid w:val="002C7DAF"/>
    <w:rsid w:val="002C7EAC"/>
    <w:rsid w:val="002D0000"/>
    <w:rsid w:val="002D0312"/>
    <w:rsid w:val="002D0430"/>
    <w:rsid w:val="002D117B"/>
    <w:rsid w:val="002D13A8"/>
    <w:rsid w:val="002D1BB5"/>
    <w:rsid w:val="002D1D38"/>
    <w:rsid w:val="002D294D"/>
    <w:rsid w:val="002D29EB"/>
    <w:rsid w:val="002D2E7F"/>
    <w:rsid w:val="002D32A2"/>
    <w:rsid w:val="002D3B76"/>
    <w:rsid w:val="002D3E69"/>
    <w:rsid w:val="002D41B1"/>
    <w:rsid w:val="002D4E4F"/>
    <w:rsid w:val="002D5507"/>
    <w:rsid w:val="002D5621"/>
    <w:rsid w:val="002D5729"/>
    <w:rsid w:val="002D57AD"/>
    <w:rsid w:val="002D6C5A"/>
    <w:rsid w:val="002D6F63"/>
    <w:rsid w:val="002D7113"/>
    <w:rsid w:val="002D75EA"/>
    <w:rsid w:val="002D7651"/>
    <w:rsid w:val="002D78B8"/>
    <w:rsid w:val="002D7AF9"/>
    <w:rsid w:val="002E07E4"/>
    <w:rsid w:val="002E0913"/>
    <w:rsid w:val="002E2073"/>
    <w:rsid w:val="002E2153"/>
    <w:rsid w:val="002E26C9"/>
    <w:rsid w:val="002E2B6D"/>
    <w:rsid w:val="002E2C0A"/>
    <w:rsid w:val="002E3137"/>
    <w:rsid w:val="002E3D2C"/>
    <w:rsid w:val="002E3D3E"/>
    <w:rsid w:val="002E3E73"/>
    <w:rsid w:val="002E5252"/>
    <w:rsid w:val="002E5437"/>
    <w:rsid w:val="002E594D"/>
    <w:rsid w:val="002E59FE"/>
    <w:rsid w:val="002E5D15"/>
    <w:rsid w:val="002E60DD"/>
    <w:rsid w:val="002E60E4"/>
    <w:rsid w:val="002E6DD0"/>
    <w:rsid w:val="002E7183"/>
    <w:rsid w:val="002F01EA"/>
    <w:rsid w:val="002F06B6"/>
    <w:rsid w:val="002F0780"/>
    <w:rsid w:val="002F082D"/>
    <w:rsid w:val="002F1602"/>
    <w:rsid w:val="002F1E79"/>
    <w:rsid w:val="002F2658"/>
    <w:rsid w:val="002F26E5"/>
    <w:rsid w:val="002F2751"/>
    <w:rsid w:val="002F2A7E"/>
    <w:rsid w:val="002F2C4E"/>
    <w:rsid w:val="002F2C95"/>
    <w:rsid w:val="002F30C9"/>
    <w:rsid w:val="002F320A"/>
    <w:rsid w:val="002F32A7"/>
    <w:rsid w:val="002F346C"/>
    <w:rsid w:val="002F37FA"/>
    <w:rsid w:val="002F3863"/>
    <w:rsid w:val="002F3FD5"/>
    <w:rsid w:val="002F4781"/>
    <w:rsid w:val="002F55D6"/>
    <w:rsid w:val="002F5AD2"/>
    <w:rsid w:val="002F6379"/>
    <w:rsid w:val="002F704E"/>
    <w:rsid w:val="002F7318"/>
    <w:rsid w:val="002F7CF8"/>
    <w:rsid w:val="002F7F51"/>
    <w:rsid w:val="003003B3"/>
    <w:rsid w:val="00300ACA"/>
    <w:rsid w:val="00300D00"/>
    <w:rsid w:val="00301049"/>
    <w:rsid w:val="00301402"/>
    <w:rsid w:val="0030196B"/>
    <w:rsid w:val="00301F19"/>
    <w:rsid w:val="00302652"/>
    <w:rsid w:val="003026EF"/>
    <w:rsid w:val="003028CA"/>
    <w:rsid w:val="00302EA9"/>
    <w:rsid w:val="003031BE"/>
    <w:rsid w:val="003033A8"/>
    <w:rsid w:val="00303A70"/>
    <w:rsid w:val="00303D35"/>
    <w:rsid w:val="00303DDD"/>
    <w:rsid w:val="00303FA0"/>
    <w:rsid w:val="00304FE4"/>
    <w:rsid w:val="00305007"/>
    <w:rsid w:val="003051E2"/>
    <w:rsid w:val="0030586D"/>
    <w:rsid w:val="00305C5C"/>
    <w:rsid w:val="00305CB4"/>
    <w:rsid w:val="003064E1"/>
    <w:rsid w:val="003064FD"/>
    <w:rsid w:val="003066E5"/>
    <w:rsid w:val="00306823"/>
    <w:rsid w:val="00306C7B"/>
    <w:rsid w:val="00307A78"/>
    <w:rsid w:val="00310000"/>
    <w:rsid w:val="0031044E"/>
    <w:rsid w:val="00310CBA"/>
    <w:rsid w:val="003118ED"/>
    <w:rsid w:val="00311FE3"/>
    <w:rsid w:val="00312169"/>
    <w:rsid w:val="00312A60"/>
    <w:rsid w:val="00312F29"/>
    <w:rsid w:val="00313449"/>
    <w:rsid w:val="0031366F"/>
    <w:rsid w:val="0031389B"/>
    <w:rsid w:val="00313FE9"/>
    <w:rsid w:val="003146A7"/>
    <w:rsid w:val="003150BA"/>
    <w:rsid w:val="00315127"/>
    <w:rsid w:val="00315AB6"/>
    <w:rsid w:val="00316068"/>
    <w:rsid w:val="00316CDF"/>
    <w:rsid w:val="00321303"/>
    <w:rsid w:val="0032174D"/>
    <w:rsid w:val="003218E2"/>
    <w:rsid w:val="00321B9E"/>
    <w:rsid w:val="00321D16"/>
    <w:rsid w:val="00321E89"/>
    <w:rsid w:val="003221FA"/>
    <w:rsid w:val="0032223F"/>
    <w:rsid w:val="003223F6"/>
    <w:rsid w:val="003227DD"/>
    <w:rsid w:val="00322836"/>
    <w:rsid w:val="00322A65"/>
    <w:rsid w:val="00322AAE"/>
    <w:rsid w:val="00322DF3"/>
    <w:rsid w:val="003230CD"/>
    <w:rsid w:val="0032313D"/>
    <w:rsid w:val="00323CFD"/>
    <w:rsid w:val="00323DB3"/>
    <w:rsid w:val="00324194"/>
    <w:rsid w:val="0032451D"/>
    <w:rsid w:val="0032456C"/>
    <w:rsid w:val="00324821"/>
    <w:rsid w:val="00324889"/>
    <w:rsid w:val="00324EFE"/>
    <w:rsid w:val="00325806"/>
    <w:rsid w:val="00326464"/>
    <w:rsid w:val="00326589"/>
    <w:rsid w:val="00326590"/>
    <w:rsid w:val="003265BC"/>
    <w:rsid w:val="00326A06"/>
    <w:rsid w:val="00326AF2"/>
    <w:rsid w:val="00326D37"/>
    <w:rsid w:val="00326E25"/>
    <w:rsid w:val="00327907"/>
    <w:rsid w:val="00330332"/>
    <w:rsid w:val="0033193A"/>
    <w:rsid w:val="0033302C"/>
    <w:rsid w:val="0033377D"/>
    <w:rsid w:val="00333962"/>
    <w:rsid w:val="00334269"/>
    <w:rsid w:val="0033498F"/>
    <w:rsid w:val="00334E00"/>
    <w:rsid w:val="00334E25"/>
    <w:rsid w:val="003352E7"/>
    <w:rsid w:val="003357BA"/>
    <w:rsid w:val="00335A29"/>
    <w:rsid w:val="00335A39"/>
    <w:rsid w:val="00335A47"/>
    <w:rsid w:val="00335F75"/>
    <w:rsid w:val="00337132"/>
    <w:rsid w:val="00337367"/>
    <w:rsid w:val="00340412"/>
    <w:rsid w:val="0034107C"/>
    <w:rsid w:val="00341EDF"/>
    <w:rsid w:val="003421B4"/>
    <w:rsid w:val="00342FEC"/>
    <w:rsid w:val="003439AE"/>
    <w:rsid w:val="00343AD5"/>
    <w:rsid w:val="00343D55"/>
    <w:rsid w:val="003441EC"/>
    <w:rsid w:val="00344459"/>
    <w:rsid w:val="003445D3"/>
    <w:rsid w:val="003452CB"/>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4124"/>
    <w:rsid w:val="00354164"/>
    <w:rsid w:val="00354541"/>
    <w:rsid w:val="003545EF"/>
    <w:rsid w:val="00354676"/>
    <w:rsid w:val="00354AFE"/>
    <w:rsid w:val="003556D0"/>
    <w:rsid w:val="00355A15"/>
    <w:rsid w:val="003563A7"/>
    <w:rsid w:val="00356585"/>
    <w:rsid w:val="00356670"/>
    <w:rsid w:val="00356E93"/>
    <w:rsid w:val="0035706D"/>
    <w:rsid w:val="00357338"/>
    <w:rsid w:val="00360228"/>
    <w:rsid w:val="00360EF9"/>
    <w:rsid w:val="00361040"/>
    <w:rsid w:val="00361869"/>
    <w:rsid w:val="00362199"/>
    <w:rsid w:val="00362E9D"/>
    <w:rsid w:val="003630FB"/>
    <w:rsid w:val="00363C64"/>
    <w:rsid w:val="003642E3"/>
    <w:rsid w:val="00364CAE"/>
    <w:rsid w:val="00364CC4"/>
    <w:rsid w:val="003651FD"/>
    <w:rsid w:val="0036544D"/>
    <w:rsid w:val="00365457"/>
    <w:rsid w:val="0036569E"/>
    <w:rsid w:val="0036581A"/>
    <w:rsid w:val="00365ACE"/>
    <w:rsid w:val="00365BCD"/>
    <w:rsid w:val="003662A5"/>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16A"/>
    <w:rsid w:val="003744BB"/>
    <w:rsid w:val="00374626"/>
    <w:rsid w:val="00374EE5"/>
    <w:rsid w:val="0037539A"/>
    <w:rsid w:val="00375715"/>
    <w:rsid w:val="00375AEC"/>
    <w:rsid w:val="00375FEA"/>
    <w:rsid w:val="003760B6"/>
    <w:rsid w:val="00376F06"/>
    <w:rsid w:val="00377989"/>
    <w:rsid w:val="003779F4"/>
    <w:rsid w:val="00377D5E"/>
    <w:rsid w:val="0038072E"/>
    <w:rsid w:val="00380B83"/>
    <w:rsid w:val="00381AFB"/>
    <w:rsid w:val="00381B73"/>
    <w:rsid w:val="00381E85"/>
    <w:rsid w:val="00382257"/>
    <w:rsid w:val="00383B33"/>
    <w:rsid w:val="00383D94"/>
    <w:rsid w:val="00383E7E"/>
    <w:rsid w:val="003842B9"/>
    <w:rsid w:val="00384FA4"/>
    <w:rsid w:val="003850C9"/>
    <w:rsid w:val="00385156"/>
    <w:rsid w:val="003855D0"/>
    <w:rsid w:val="003856A9"/>
    <w:rsid w:val="003868CB"/>
    <w:rsid w:val="00386A1C"/>
    <w:rsid w:val="00386C91"/>
    <w:rsid w:val="003870D5"/>
    <w:rsid w:val="003873A2"/>
    <w:rsid w:val="0039052B"/>
    <w:rsid w:val="00390572"/>
    <w:rsid w:val="00390835"/>
    <w:rsid w:val="0039085F"/>
    <w:rsid w:val="0039086F"/>
    <w:rsid w:val="00391821"/>
    <w:rsid w:val="00391A1C"/>
    <w:rsid w:val="003924AA"/>
    <w:rsid w:val="003926FB"/>
    <w:rsid w:val="00392B70"/>
    <w:rsid w:val="00392FEB"/>
    <w:rsid w:val="00393148"/>
    <w:rsid w:val="003932C6"/>
    <w:rsid w:val="0039342E"/>
    <w:rsid w:val="00393F4D"/>
    <w:rsid w:val="00394375"/>
    <w:rsid w:val="0039454F"/>
    <w:rsid w:val="00394821"/>
    <w:rsid w:val="00394C0B"/>
    <w:rsid w:val="00395CFE"/>
    <w:rsid w:val="00396071"/>
    <w:rsid w:val="00396205"/>
    <w:rsid w:val="003963A6"/>
    <w:rsid w:val="00396C28"/>
    <w:rsid w:val="00396D9F"/>
    <w:rsid w:val="00396E50"/>
    <w:rsid w:val="00397D02"/>
    <w:rsid w:val="003A0587"/>
    <w:rsid w:val="003A07F1"/>
    <w:rsid w:val="003A0FB8"/>
    <w:rsid w:val="003A1207"/>
    <w:rsid w:val="003A18D0"/>
    <w:rsid w:val="003A1CF2"/>
    <w:rsid w:val="003A1ED5"/>
    <w:rsid w:val="003A266F"/>
    <w:rsid w:val="003A34A8"/>
    <w:rsid w:val="003A3A01"/>
    <w:rsid w:val="003A4D9B"/>
    <w:rsid w:val="003A4E32"/>
    <w:rsid w:val="003A56C3"/>
    <w:rsid w:val="003A5BB9"/>
    <w:rsid w:val="003A62E8"/>
    <w:rsid w:val="003A6328"/>
    <w:rsid w:val="003A66DC"/>
    <w:rsid w:val="003A6E2F"/>
    <w:rsid w:val="003A6E41"/>
    <w:rsid w:val="003A74B8"/>
    <w:rsid w:val="003A775D"/>
    <w:rsid w:val="003A79DC"/>
    <w:rsid w:val="003A7C6C"/>
    <w:rsid w:val="003B0391"/>
    <w:rsid w:val="003B0777"/>
    <w:rsid w:val="003B0876"/>
    <w:rsid w:val="003B0A3A"/>
    <w:rsid w:val="003B0C3E"/>
    <w:rsid w:val="003B0F93"/>
    <w:rsid w:val="003B12F4"/>
    <w:rsid w:val="003B1642"/>
    <w:rsid w:val="003B2341"/>
    <w:rsid w:val="003B262E"/>
    <w:rsid w:val="003B279D"/>
    <w:rsid w:val="003B27D8"/>
    <w:rsid w:val="003B2E28"/>
    <w:rsid w:val="003B36C0"/>
    <w:rsid w:val="003B399F"/>
    <w:rsid w:val="003B4127"/>
    <w:rsid w:val="003B41E5"/>
    <w:rsid w:val="003B456D"/>
    <w:rsid w:val="003B463E"/>
    <w:rsid w:val="003B4B1D"/>
    <w:rsid w:val="003B4B6D"/>
    <w:rsid w:val="003B4D67"/>
    <w:rsid w:val="003B51B1"/>
    <w:rsid w:val="003B51B2"/>
    <w:rsid w:val="003B5BC0"/>
    <w:rsid w:val="003B666B"/>
    <w:rsid w:val="003B67F6"/>
    <w:rsid w:val="003B70B0"/>
    <w:rsid w:val="003B79B6"/>
    <w:rsid w:val="003C00B9"/>
    <w:rsid w:val="003C011C"/>
    <w:rsid w:val="003C025A"/>
    <w:rsid w:val="003C0B43"/>
    <w:rsid w:val="003C131F"/>
    <w:rsid w:val="003C1BB2"/>
    <w:rsid w:val="003C2274"/>
    <w:rsid w:val="003C2990"/>
    <w:rsid w:val="003C2E09"/>
    <w:rsid w:val="003C300A"/>
    <w:rsid w:val="003C323C"/>
    <w:rsid w:val="003C32B6"/>
    <w:rsid w:val="003C3A5A"/>
    <w:rsid w:val="003C3DDF"/>
    <w:rsid w:val="003C3E56"/>
    <w:rsid w:val="003C3EC9"/>
    <w:rsid w:val="003C4296"/>
    <w:rsid w:val="003C476E"/>
    <w:rsid w:val="003C5554"/>
    <w:rsid w:val="003C55FE"/>
    <w:rsid w:val="003C610F"/>
    <w:rsid w:val="003C6D38"/>
    <w:rsid w:val="003C6DA9"/>
    <w:rsid w:val="003C743E"/>
    <w:rsid w:val="003C748C"/>
    <w:rsid w:val="003C75F5"/>
    <w:rsid w:val="003C798E"/>
    <w:rsid w:val="003C7A96"/>
    <w:rsid w:val="003D011D"/>
    <w:rsid w:val="003D045B"/>
    <w:rsid w:val="003D0749"/>
    <w:rsid w:val="003D0F44"/>
    <w:rsid w:val="003D138F"/>
    <w:rsid w:val="003D17D6"/>
    <w:rsid w:val="003D18C5"/>
    <w:rsid w:val="003D19BE"/>
    <w:rsid w:val="003D1C3E"/>
    <w:rsid w:val="003D1DF4"/>
    <w:rsid w:val="003D1E8B"/>
    <w:rsid w:val="003D2A90"/>
    <w:rsid w:val="003D321C"/>
    <w:rsid w:val="003D3580"/>
    <w:rsid w:val="003D37B2"/>
    <w:rsid w:val="003D3BFD"/>
    <w:rsid w:val="003D47FB"/>
    <w:rsid w:val="003D4A5B"/>
    <w:rsid w:val="003D4C7E"/>
    <w:rsid w:val="003D5226"/>
    <w:rsid w:val="003D5461"/>
    <w:rsid w:val="003D5627"/>
    <w:rsid w:val="003D5F3D"/>
    <w:rsid w:val="003D6458"/>
    <w:rsid w:val="003D6704"/>
    <w:rsid w:val="003D701C"/>
    <w:rsid w:val="003D7058"/>
    <w:rsid w:val="003D7B04"/>
    <w:rsid w:val="003D7B8E"/>
    <w:rsid w:val="003D7E13"/>
    <w:rsid w:val="003D7EA3"/>
    <w:rsid w:val="003D7EDA"/>
    <w:rsid w:val="003E0C53"/>
    <w:rsid w:val="003E11BB"/>
    <w:rsid w:val="003E11C8"/>
    <w:rsid w:val="003E288F"/>
    <w:rsid w:val="003E3963"/>
    <w:rsid w:val="003E43B1"/>
    <w:rsid w:val="003E4A4D"/>
    <w:rsid w:val="003E4E15"/>
    <w:rsid w:val="003E5019"/>
    <w:rsid w:val="003E5263"/>
    <w:rsid w:val="003E5875"/>
    <w:rsid w:val="003E6353"/>
    <w:rsid w:val="003E63B8"/>
    <w:rsid w:val="003E645C"/>
    <w:rsid w:val="003E6C93"/>
    <w:rsid w:val="003E6EF4"/>
    <w:rsid w:val="003E75BB"/>
    <w:rsid w:val="003E7877"/>
    <w:rsid w:val="003F0415"/>
    <w:rsid w:val="003F045A"/>
    <w:rsid w:val="003F07FB"/>
    <w:rsid w:val="003F11F2"/>
    <w:rsid w:val="003F1949"/>
    <w:rsid w:val="003F249E"/>
    <w:rsid w:val="003F25C7"/>
    <w:rsid w:val="003F2B5B"/>
    <w:rsid w:val="003F3D87"/>
    <w:rsid w:val="003F3F33"/>
    <w:rsid w:val="003F3F56"/>
    <w:rsid w:val="003F40EE"/>
    <w:rsid w:val="003F4D49"/>
    <w:rsid w:val="003F50F9"/>
    <w:rsid w:val="003F5745"/>
    <w:rsid w:val="003F5828"/>
    <w:rsid w:val="003F5A51"/>
    <w:rsid w:val="003F65C9"/>
    <w:rsid w:val="003F671E"/>
    <w:rsid w:val="003F70A2"/>
    <w:rsid w:val="003F7A33"/>
    <w:rsid w:val="003F7BC2"/>
    <w:rsid w:val="003F7D93"/>
    <w:rsid w:val="004000EA"/>
    <w:rsid w:val="0040164C"/>
    <w:rsid w:val="00401A9D"/>
    <w:rsid w:val="00401DD6"/>
    <w:rsid w:val="00401EAB"/>
    <w:rsid w:val="00402109"/>
    <w:rsid w:val="00402AF5"/>
    <w:rsid w:val="00402C64"/>
    <w:rsid w:val="00403271"/>
    <w:rsid w:val="00403378"/>
    <w:rsid w:val="00403883"/>
    <w:rsid w:val="00404714"/>
    <w:rsid w:val="00404856"/>
    <w:rsid w:val="00404C31"/>
    <w:rsid w:val="00404EFC"/>
    <w:rsid w:val="00404FA4"/>
    <w:rsid w:val="00406247"/>
    <w:rsid w:val="004064DF"/>
    <w:rsid w:val="004064F9"/>
    <w:rsid w:val="00406A7B"/>
    <w:rsid w:val="004072BB"/>
    <w:rsid w:val="004072EC"/>
    <w:rsid w:val="00410FE9"/>
    <w:rsid w:val="004110EC"/>
    <w:rsid w:val="0041114D"/>
    <w:rsid w:val="00411808"/>
    <w:rsid w:val="00412332"/>
    <w:rsid w:val="004124A3"/>
    <w:rsid w:val="00412B62"/>
    <w:rsid w:val="004130D2"/>
    <w:rsid w:val="004131ED"/>
    <w:rsid w:val="00413A99"/>
    <w:rsid w:val="00413B38"/>
    <w:rsid w:val="00413C5E"/>
    <w:rsid w:val="004143D6"/>
    <w:rsid w:val="00414465"/>
    <w:rsid w:val="00414956"/>
    <w:rsid w:val="00414A58"/>
    <w:rsid w:val="00414CB1"/>
    <w:rsid w:val="00414D82"/>
    <w:rsid w:val="0041599B"/>
    <w:rsid w:val="00415B9E"/>
    <w:rsid w:val="00415EFE"/>
    <w:rsid w:val="004160F7"/>
    <w:rsid w:val="004162EE"/>
    <w:rsid w:val="00416EE5"/>
    <w:rsid w:val="00417C8A"/>
    <w:rsid w:val="00417F83"/>
    <w:rsid w:val="004207BE"/>
    <w:rsid w:val="00420A3A"/>
    <w:rsid w:val="00420D27"/>
    <w:rsid w:val="00420D50"/>
    <w:rsid w:val="00421D5E"/>
    <w:rsid w:val="00421F41"/>
    <w:rsid w:val="0042220C"/>
    <w:rsid w:val="00422B36"/>
    <w:rsid w:val="00422F85"/>
    <w:rsid w:val="00423D91"/>
    <w:rsid w:val="00424392"/>
    <w:rsid w:val="00424505"/>
    <w:rsid w:val="004245F3"/>
    <w:rsid w:val="00424A55"/>
    <w:rsid w:val="00424A68"/>
    <w:rsid w:val="00424B94"/>
    <w:rsid w:val="004251E1"/>
    <w:rsid w:val="00425A64"/>
    <w:rsid w:val="00425E4A"/>
    <w:rsid w:val="00426ED9"/>
    <w:rsid w:val="00427035"/>
    <w:rsid w:val="00427077"/>
    <w:rsid w:val="004274D1"/>
    <w:rsid w:val="004274F1"/>
    <w:rsid w:val="0043062F"/>
    <w:rsid w:val="00430CDF"/>
    <w:rsid w:val="004317F9"/>
    <w:rsid w:val="00431E0F"/>
    <w:rsid w:val="004323F0"/>
    <w:rsid w:val="00433020"/>
    <w:rsid w:val="0043308E"/>
    <w:rsid w:val="00433210"/>
    <w:rsid w:val="00433284"/>
    <w:rsid w:val="0043341A"/>
    <w:rsid w:val="0043356D"/>
    <w:rsid w:val="004336B3"/>
    <w:rsid w:val="00433969"/>
    <w:rsid w:val="00433B14"/>
    <w:rsid w:val="00433D43"/>
    <w:rsid w:val="00434838"/>
    <w:rsid w:val="00434FC2"/>
    <w:rsid w:val="00435326"/>
    <w:rsid w:val="004357D2"/>
    <w:rsid w:val="0043661D"/>
    <w:rsid w:val="00436A62"/>
    <w:rsid w:val="00440222"/>
    <w:rsid w:val="004402AC"/>
    <w:rsid w:val="00440561"/>
    <w:rsid w:val="00440739"/>
    <w:rsid w:val="00440D50"/>
    <w:rsid w:val="004417E6"/>
    <w:rsid w:val="00441C62"/>
    <w:rsid w:val="00442628"/>
    <w:rsid w:val="00442A50"/>
    <w:rsid w:val="00442B8C"/>
    <w:rsid w:val="0044303D"/>
    <w:rsid w:val="00444428"/>
    <w:rsid w:val="00444A5D"/>
    <w:rsid w:val="00444DD4"/>
    <w:rsid w:val="00444DE2"/>
    <w:rsid w:val="00445187"/>
    <w:rsid w:val="004459F2"/>
    <w:rsid w:val="00446161"/>
    <w:rsid w:val="00446B49"/>
    <w:rsid w:val="00446C19"/>
    <w:rsid w:val="00447647"/>
    <w:rsid w:val="004477ED"/>
    <w:rsid w:val="004477F6"/>
    <w:rsid w:val="004502F7"/>
    <w:rsid w:val="00450611"/>
    <w:rsid w:val="00450B93"/>
    <w:rsid w:val="00451035"/>
    <w:rsid w:val="004510A7"/>
    <w:rsid w:val="004510F1"/>
    <w:rsid w:val="004511DD"/>
    <w:rsid w:val="004515B2"/>
    <w:rsid w:val="00452621"/>
    <w:rsid w:val="00452A4B"/>
    <w:rsid w:val="00452FED"/>
    <w:rsid w:val="004532F1"/>
    <w:rsid w:val="00453D6E"/>
    <w:rsid w:val="00454A4D"/>
    <w:rsid w:val="00455201"/>
    <w:rsid w:val="00455619"/>
    <w:rsid w:val="00455A1D"/>
    <w:rsid w:val="00455B2A"/>
    <w:rsid w:val="004561B7"/>
    <w:rsid w:val="004566C1"/>
    <w:rsid w:val="00456B79"/>
    <w:rsid w:val="00456F09"/>
    <w:rsid w:val="00457639"/>
    <w:rsid w:val="004577D7"/>
    <w:rsid w:val="004578F6"/>
    <w:rsid w:val="00457AEB"/>
    <w:rsid w:val="0046012A"/>
    <w:rsid w:val="004614CE"/>
    <w:rsid w:val="00461C98"/>
    <w:rsid w:val="004626BC"/>
    <w:rsid w:val="00463231"/>
    <w:rsid w:val="004637AF"/>
    <w:rsid w:val="00463A0E"/>
    <w:rsid w:val="004642E9"/>
    <w:rsid w:val="0046448C"/>
    <w:rsid w:val="0046474C"/>
    <w:rsid w:val="00464811"/>
    <w:rsid w:val="004648B2"/>
    <w:rsid w:val="004649A4"/>
    <w:rsid w:val="004649FF"/>
    <w:rsid w:val="00464CD2"/>
    <w:rsid w:val="00465321"/>
    <w:rsid w:val="004653CE"/>
    <w:rsid w:val="0046569C"/>
    <w:rsid w:val="00465CA9"/>
    <w:rsid w:val="004662DE"/>
    <w:rsid w:val="00466345"/>
    <w:rsid w:val="00466759"/>
    <w:rsid w:val="00467232"/>
    <w:rsid w:val="004674F6"/>
    <w:rsid w:val="00467F85"/>
    <w:rsid w:val="0047063C"/>
    <w:rsid w:val="00470817"/>
    <w:rsid w:val="0047082D"/>
    <w:rsid w:val="00470998"/>
    <w:rsid w:val="004711CF"/>
    <w:rsid w:val="004713CD"/>
    <w:rsid w:val="00471F6C"/>
    <w:rsid w:val="00472718"/>
    <w:rsid w:val="00472A8B"/>
    <w:rsid w:val="00472C52"/>
    <w:rsid w:val="00472D6F"/>
    <w:rsid w:val="00472EBB"/>
    <w:rsid w:val="004733B2"/>
    <w:rsid w:val="00473F8A"/>
    <w:rsid w:val="00474596"/>
    <w:rsid w:val="00474A26"/>
    <w:rsid w:val="00474AF3"/>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331B"/>
    <w:rsid w:val="004835BB"/>
    <w:rsid w:val="00483608"/>
    <w:rsid w:val="00483737"/>
    <w:rsid w:val="004838AB"/>
    <w:rsid w:val="00483C27"/>
    <w:rsid w:val="00483FB9"/>
    <w:rsid w:val="00484451"/>
    <w:rsid w:val="004844B1"/>
    <w:rsid w:val="00484708"/>
    <w:rsid w:val="00485112"/>
    <w:rsid w:val="0048531B"/>
    <w:rsid w:val="00485512"/>
    <w:rsid w:val="004855C4"/>
    <w:rsid w:val="00486046"/>
    <w:rsid w:val="00486203"/>
    <w:rsid w:val="0048626D"/>
    <w:rsid w:val="0048650F"/>
    <w:rsid w:val="004866AB"/>
    <w:rsid w:val="00486E34"/>
    <w:rsid w:val="004874A9"/>
    <w:rsid w:val="004902D5"/>
    <w:rsid w:val="00490CD7"/>
    <w:rsid w:val="004915DA"/>
    <w:rsid w:val="00491603"/>
    <w:rsid w:val="00491780"/>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CAA"/>
    <w:rsid w:val="00496FC7"/>
    <w:rsid w:val="004977F9"/>
    <w:rsid w:val="004A03DD"/>
    <w:rsid w:val="004A07C6"/>
    <w:rsid w:val="004A07F8"/>
    <w:rsid w:val="004A0D18"/>
    <w:rsid w:val="004A1270"/>
    <w:rsid w:val="004A1535"/>
    <w:rsid w:val="004A1537"/>
    <w:rsid w:val="004A1801"/>
    <w:rsid w:val="004A1A42"/>
    <w:rsid w:val="004A20C8"/>
    <w:rsid w:val="004A23AF"/>
    <w:rsid w:val="004A24EE"/>
    <w:rsid w:val="004A2682"/>
    <w:rsid w:val="004A280B"/>
    <w:rsid w:val="004A2CD6"/>
    <w:rsid w:val="004A2E34"/>
    <w:rsid w:val="004A30F5"/>
    <w:rsid w:val="004A4AB4"/>
    <w:rsid w:val="004A4D5E"/>
    <w:rsid w:val="004A5A08"/>
    <w:rsid w:val="004A5A4F"/>
    <w:rsid w:val="004A5BB5"/>
    <w:rsid w:val="004A5EAA"/>
    <w:rsid w:val="004A5F9C"/>
    <w:rsid w:val="004A62B1"/>
    <w:rsid w:val="004A63FD"/>
    <w:rsid w:val="004A689C"/>
    <w:rsid w:val="004A6A44"/>
    <w:rsid w:val="004A6AA5"/>
    <w:rsid w:val="004A6EC5"/>
    <w:rsid w:val="004A7AD3"/>
    <w:rsid w:val="004A7F74"/>
    <w:rsid w:val="004B03C9"/>
    <w:rsid w:val="004B0439"/>
    <w:rsid w:val="004B113A"/>
    <w:rsid w:val="004B127E"/>
    <w:rsid w:val="004B1C77"/>
    <w:rsid w:val="004B1EB7"/>
    <w:rsid w:val="004B2549"/>
    <w:rsid w:val="004B2E17"/>
    <w:rsid w:val="004B2F04"/>
    <w:rsid w:val="004B486D"/>
    <w:rsid w:val="004B48E3"/>
    <w:rsid w:val="004B4F14"/>
    <w:rsid w:val="004B536A"/>
    <w:rsid w:val="004B5407"/>
    <w:rsid w:val="004B59F4"/>
    <w:rsid w:val="004B5C4D"/>
    <w:rsid w:val="004B60CB"/>
    <w:rsid w:val="004B6979"/>
    <w:rsid w:val="004B6A7A"/>
    <w:rsid w:val="004B6AF2"/>
    <w:rsid w:val="004B6F8C"/>
    <w:rsid w:val="004B73D6"/>
    <w:rsid w:val="004B76C0"/>
    <w:rsid w:val="004B7AB7"/>
    <w:rsid w:val="004C0366"/>
    <w:rsid w:val="004C0695"/>
    <w:rsid w:val="004C080C"/>
    <w:rsid w:val="004C0B41"/>
    <w:rsid w:val="004C0C71"/>
    <w:rsid w:val="004C0CD6"/>
    <w:rsid w:val="004C0D40"/>
    <w:rsid w:val="004C18D6"/>
    <w:rsid w:val="004C2154"/>
    <w:rsid w:val="004C28A5"/>
    <w:rsid w:val="004C2AE1"/>
    <w:rsid w:val="004C44A4"/>
    <w:rsid w:val="004C4633"/>
    <w:rsid w:val="004C4F0F"/>
    <w:rsid w:val="004C59E0"/>
    <w:rsid w:val="004C6B21"/>
    <w:rsid w:val="004C745A"/>
    <w:rsid w:val="004C74E4"/>
    <w:rsid w:val="004C755B"/>
    <w:rsid w:val="004C77BE"/>
    <w:rsid w:val="004C7CCD"/>
    <w:rsid w:val="004D0136"/>
    <w:rsid w:val="004D026C"/>
    <w:rsid w:val="004D0609"/>
    <w:rsid w:val="004D1CD1"/>
    <w:rsid w:val="004D20A4"/>
    <w:rsid w:val="004D315F"/>
    <w:rsid w:val="004D3179"/>
    <w:rsid w:val="004D3640"/>
    <w:rsid w:val="004D3A38"/>
    <w:rsid w:val="004D3BF8"/>
    <w:rsid w:val="004D4693"/>
    <w:rsid w:val="004D51E0"/>
    <w:rsid w:val="004D5215"/>
    <w:rsid w:val="004D5852"/>
    <w:rsid w:val="004D5895"/>
    <w:rsid w:val="004D5A3A"/>
    <w:rsid w:val="004D5DE6"/>
    <w:rsid w:val="004D6266"/>
    <w:rsid w:val="004D6456"/>
    <w:rsid w:val="004D6774"/>
    <w:rsid w:val="004D6DC1"/>
    <w:rsid w:val="004D6E16"/>
    <w:rsid w:val="004E014F"/>
    <w:rsid w:val="004E0E21"/>
    <w:rsid w:val="004E0FA0"/>
    <w:rsid w:val="004E12AA"/>
    <w:rsid w:val="004E1F2B"/>
    <w:rsid w:val="004E220B"/>
    <w:rsid w:val="004E3378"/>
    <w:rsid w:val="004E3384"/>
    <w:rsid w:val="004E3BB5"/>
    <w:rsid w:val="004E3C79"/>
    <w:rsid w:val="004E3EE8"/>
    <w:rsid w:val="004E43B0"/>
    <w:rsid w:val="004E43C1"/>
    <w:rsid w:val="004E4457"/>
    <w:rsid w:val="004E4B3D"/>
    <w:rsid w:val="004E4E15"/>
    <w:rsid w:val="004E4F96"/>
    <w:rsid w:val="004E5EDE"/>
    <w:rsid w:val="004E691F"/>
    <w:rsid w:val="004E7331"/>
    <w:rsid w:val="004E7A6E"/>
    <w:rsid w:val="004E7CDC"/>
    <w:rsid w:val="004E7DC1"/>
    <w:rsid w:val="004E7EB3"/>
    <w:rsid w:val="004F01E4"/>
    <w:rsid w:val="004F05F9"/>
    <w:rsid w:val="004F0A72"/>
    <w:rsid w:val="004F1916"/>
    <w:rsid w:val="004F2623"/>
    <w:rsid w:val="004F2654"/>
    <w:rsid w:val="004F3138"/>
    <w:rsid w:val="004F337C"/>
    <w:rsid w:val="004F3846"/>
    <w:rsid w:val="004F3CEE"/>
    <w:rsid w:val="004F401E"/>
    <w:rsid w:val="004F41CB"/>
    <w:rsid w:val="004F462E"/>
    <w:rsid w:val="004F4A2F"/>
    <w:rsid w:val="004F5A1E"/>
    <w:rsid w:val="004F7198"/>
    <w:rsid w:val="004F75DF"/>
    <w:rsid w:val="0050015A"/>
    <w:rsid w:val="00500349"/>
    <w:rsid w:val="00500C30"/>
    <w:rsid w:val="00501163"/>
    <w:rsid w:val="00501866"/>
    <w:rsid w:val="00501896"/>
    <w:rsid w:val="00501D29"/>
    <w:rsid w:val="00502249"/>
    <w:rsid w:val="00502792"/>
    <w:rsid w:val="00502D3A"/>
    <w:rsid w:val="005035E6"/>
    <w:rsid w:val="00503C42"/>
    <w:rsid w:val="00504002"/>
    <w:rsid w:val="00504796"/>
    <w:rsid w:val="00504C35"/>
    <w:rsid w:val="0050559C"/>
    <w:rsid w:val="00506722"/>
    <w:rsid w:val="00506D5E"/>
    <w:rsid w:val="00506D99"/>
    <w:rsid w:val="00506DCC"/>
    <w:rsid w:val="005076ED"/>
    <w:rsid w:val="0050797F"/>
    <w:rsid w:val="00510CA1"/>
    <w:rsid w:val="00511458"/>
    <w:rsid w:val="005119A4"/>
    <w:rsid w:val="00511F98"/>
    <w:rsid w:val="00512175"/>
    <w:rsid w:val="00512CF2"/>
    <w:rsid w:val="00512DAB"/>
    <w:rsid w:val="00513B20"/>
    <w:rsid w:val="0051474A"/>
    <w:rsid w:val="00515399"/>
    <w:rsid w:val="0051546E"/>
    <w:rsid w:val="00515722"/>
    <w:rsid w:val="0051595D"/>
    <w:rsid w:val="00515F64"/>
    <w:rsid w:val="00516235"/>
    <w:rsid w:val="0051684F"/>
    <w:rsid w:val="00516ABB"/>
    <w:rsid w:val="00516D74"/>
    <w:rsid w:val="00517069"/>
    <w:rsid w:val="00517766"/>
    <w:rsid w:val="00520001"/>
    <w:rsid w:val="0052012A"/>
    <w:rsid w:val="00520483"/>
    <w:rsid w:val="005209E2"/>
    <w:rsid w:val="00520D65"/>
    <w:rsid w:val="00520E95"/>
    <w:rsid w:val="00521958"/>
    <w:rsid w:val="005219E1"/>
    <w:rsid w:val="00521B2D"/>
    <w:rsid w:val="00521B5D"/>
    <w:rsid w:val="00521C7A"/>
    <w:rsid w:val="0052247B"/>
    <w:rsid w:val="00522597"/>
    <w:rsid w:val="00522F1C"/>
    <w:rsid w:val="00523AD3"/>
    <w:rsid w:val="00523EA3"/>
    <w:rsid w:val="005243F7"/>
    <w:rsid w:val="005247F0"/>
    <w:rsid w:val="00525673"/>
    <w:rsid w:val="00526113"/>
    <w:rsid w:val="00526F50"/>
    <w:rsid w:val="005270CD"/>
    <w:rsid w:val="00527164"/>
    <w:rsid w:val="00527A2C"/>
    <w:rsid w:val="005300AF"/>
    <w:rsid w:val="005304FE"/>
    <w:rsid w:val="005307AF"/>
    <w:rsid w:val="00530C89"/>
    <w:rsid w:val="0053143C"/>
    <w:rsid w:val="0053165E"/>
    <w:rsid w:val="0053198F"/>
    <w:rsid w:val="00531A48"/>
    <w:rsid w:val="00531E6D"/>
    <w:rsid w:val="00533311"/>
    <w:rsid w:val="005338A2"/>
    <w:rsid w:val="005338D4"/>
    <w:rsid w:val="0053448C"/>
    <w:rsid w:val="005345BE"/>
    <w:rsid w:val="005349A0"/>
    <w:rsid w:val="00534DB1"/>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101B"/>
    <w:rsid w:val="0054112C"/>
    <w:rsid w:val="005412FA"/>
    <w:rsid w:val="005418CB"/>
    <w:rsid w:val="00541A24"/>
    <w:rsid w:val="00541F06"/>
    <w:rsid w:val="00542487"/>
    <w:rsid w:val="00542638"/>
    <w:rsid w:val="005428C4"/>
    <w:rsid w:val="00542C42"/>
    <w:rsid w:val="00543055"/>
    <w:rsid w:val="005431F3"/>
    <w:rsid w:val="005439D9"/>
    <w:rsid w:val="00543A8E"/>
    <w:rsid w:val="00543EC8"/>
    <w:rsid w:val="0054484A"/>
    <w:rsid w:val="00544A64"/>
    <w:rsid w:val="00544E36"/>
    <w:rsid w:val="00545429"/>
    <w:rsid w:val="005454D4"/>
    <w:rsid w:val="00545BB8"/>
    <w:rsid w:val="005467DD"/>
    <w:rsid w:val="0054689B"/>
    <w:rsid w:val="00546DA7"/>
    <w:rsid w:val="00546F2A"/>
    <w:rsid w:val="00547573"/>
    <w:rsid w:val="00547E58"/>
    <w:rsid w:val="00550866"/>
    <w:rsid w:val="00550ABA"/>
    <w:rsid w:val="005511EB"/>
    <w:rsid w:val="00551A66"/>
    <w:rsid w:val="00551EC4"/>
    <w:rsid w:val="00552287"/>
    <w:rsid w:val="005522E2"/>
    <w:rsid w:val="0055251C"/>
    <w:rsid w:val="00553D1B"/>
    <w:rsid w:val="005540A0"/>
    <w:rsid w:val="00554D79"/>
    <w:rsid w:val="0055527E"/>
    <w:rsid w:val="0055555D"/>
    <w:rsid w:val="00555B00"/>
    <w:rsid w:val="00556009"/>
    <w:rsid w:val="00556167"/>
    <w:rsid w:val="0055651F"/>
    <w:rsid w:val="0055665E"/>
    <w:rsid w:val="00556F8F"/>
    <w:rsid w:val="0055744C"/>
    <w:rsid w:val="00557526"/>
    <w:rsid w:val="00557768"/>
    <w:rsid w:val="0056023D"/>
    <w:rsid w:val="0056057C"/>
    <w:rsid w:val="00561838"/>
    <w:rsid w:val="00561D2C"/>
    <w:rsid w:val="00561F4A"/>
    <w:rsid w:val="00562341"/>
    <w:rsid w:val="00563256"/>
    <w:rsid w:val="005638B7"/>
    <w:rsid w:val="00563EFA"/>
    <w:rsid w:val="0056403A"/>
    <w:rsid w:val="00564D63"/>
    <w:rsid w:val="00565951"/>
    <w:rsid w:val="005662A1"/>
    <w:rsid w:val="00566FA7"/>
    <w:rsid w:val="005674D6"/>
    <w:rsid w:val="0056757D"/>
    <w:rsid w:val="00567796"/>
    <w:rsid w:val="00567B33"/>
    <w:rsid w:val="005701A1"/>
    <w:rsid w:val="005704AF"/>
    <w:rsid w:val="005705D1"/>
    <w:rsid w:val="00570B0C"/>
    <w:rsid w:val="005715F9"/>
    <w:rsid w:val="00572502"/>
    <w:rsid w:val="00572DAB"/>
    <w:rsid w:val="00572F5B"/>
    <w:rsid w:val="0057387C"/>
    <w:rsid w:val="00573FDE"/>
    <w:rsid w:val="0057407A"/>
    <w:rsid w:val="00574765"/>
    <w:rsid w:val="00575578"/>
    <w:rsid w:val="0057571D"/>
    <w:rsid w:val="00575A17"/>
    <w:rsid w:val="00575A21"/>
    <w:rsid w:val="00576DE4"/>
    <w:rsid w:val="00577791"/>
    <w:rsid w:val="005777A1"/>
    <w:rsid w:val="00577922"/>
    <w:rsid w:val="005802C4"/>
    <w:rsid w:val="00581F5D"/>
    <w:rsid w:val="00583F43"/>
    <w:rsid w:val="00584432"/>
    <w:rsid w:val="00584721"/>
    <w:rsid w:val="00585F71"/>
    <w:rsid w:val="0058694D"/>
    <w:rsid w:val="00586961"/>
    <w:rsid w:val="00586C08"/>
    <w:rsid w:val="00587018"/>
    <w:rsid w:val="00587090"/>
    <w:rsid w:val="005871AB"/>
    <w:rsid w:val="00587950"/>
    <w:rsid w:val="00587ABE"/>
    <w:rsid w:val="005907FF"/>
    <w:rsid w:val="00590F25"/>
    <w:rsid w:val="005913FE"/>
    <w:rsid w:val="00591D15"/>
    <w:rsid w:val="00591E9F"/>
    <w:rsid w:val="005923F3"/>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6419"/>
    <w:rsid w:val="005972DC"/>
    <w:rsid w:val="00597539"/>
    <w:rsid w:val="0059766C"/>
    <w:rsid w:val="00597B4F"/>
    <w:rsid w:val="00597D52"/>
    <w:rsid w:val="00597F65"/>
    <w:rsid w:val="005A031B"/>
    <w:rsid w:val="005A04C4"/>
    <w:rsid w:val="005A203B"/>
    <w:rsid w:val="005A20C9"/>
    <w:rsid w:val="005A22DC"/>
    <w:rsid w:val="005A2FBB"/>
    <w:rsid w:val="005A307E"/>
    <w:rsid w:val="005A3457"/>
    <w:rsid w:val="005A397A"/>
    <w:rsid w:val="005A39C2"/>
    <w:rsid w:val="005A4C7F"/>
    <w:rsid w:val="005A4DDE"/>
    <w:rsid w:val="005A567D"/>
    <w:rsid w:val="005A59CF"/>
    <w:rsid w:val="005A5A50"/>
    <w:rsid w:val="005A5BAF"/>
    <w:rsid w:val="005A6063"/>
    <w:rsid w:val="005A644B"/>
    <w:rsid w:val="005A66DA"/>
    <w:rsid w:val="005A6B8F"/>
    <w:rsid w:val="005A6D65"/>
    <w:rsid w:val="005A7155"/>
    <w:rsid w:val="005A77C3"/>
    <w:rsid w:val="005B0162"/>
    <w:rsid w:val="005B0466"/>
    <w:rsid w:val="005B087E"/>
    <w:rsid w:val="005B0C9A"/>
    <w:rsid w:val="005B0E6B"/>
    <w:rsid w:val="005B1164"/>
    <w:rsid w:val="005B11D6"/>
    <w:rsid w:val="005B1802"/>
    <w:rsid w:val="005B29D0"/>
    <w:rsid w:val="005B3218"/>
    <w:rsid w:val="005B3C2D"/>
    <w:rsid w:val="005B3DCF"/>
    <w:rsid w:val="005B3F59"/>
    <w:rsid w:val="005B4C6B"/>
    <w:rsid w:val="005B4D90"/>
    <w:rsid w:val="005B4EDE"/>
    <w:rsid w:val="005B55B9"/>
    <w:rsid w:val="005B5D02"/>
    <w:rsid w:val="005B6A87"/>
    <w:rsid w:val="005B7185"/>
    <w:rsid w:val="005B74D3"/>
    <w:rsid w:val="005B7B3B"/>
    <w:rsid w:val="005C046F"/>
    <w:rsid w:val="005C078A"/>
    <w:rsid w:val="005C0B8D"/>
    <w:rsid w:val="005C1230"/>
    <w:rsid w:val="005C1837"/>
    <w:rsid w:val="005C1C6F"/>
    <w:rsid w:val="005C25D4"/>
    <w:rsid w:val="005C2F16"/>
    <w:rsid w:val="005C33FF"/>
    <w:rsid w:val="005C3EAB"/>
    <w:rsid w:val="005C40B3"/>
    <w:rsid w:val="005C40D7"/>
    <w:rsid w:val="005C4274"/>
    <w:rsid w:val="005C46B2"/>
    <w:rsid w:val="005C47E5"/>
    <w:rsid w:val="005C48EA"/>
    <w:rsid w:val="005C545E"/>
    <w:rsid w:val="005C54F0"/>
    <w:rsid w:val="005C5CCA"/>
    <w:rsid w:val="005C5FC6"/>
    <w:rsid w:val="005C6380"/>
    <w:rsid w:val="005C64FD"/>
    <w:rsid w:val="005C6611"/>
    <w:rsid w:val="005C6B36"/>
    <w:rsid w:val="005C709A"/>
    <w:rsid w:val="005C72D9"/>
    <w:rsid w:val="005C7963"/>
    <w:rsid w:val="005D0474"/>
    <w:rsid w:val="005D0532"/>
    <w:rsid w:val="005D07D4"/>
    <w:rsid w:val="005D0C31"/>
    <w:rsid w:val="005D14ED"/>
    <w:rsid w:val="005D16F6"/>
    <w:rsid w:val="005D1B71"/>
    <w:rsid w:val="005D23FE"/>
    <w:rsid w:val="005D3117"/>
    <w:rsid w:val="005D371E"/>
    <w:rsid w:val="005D3BC9"/>
    <w:rsid w:val="005D4268"/>
    <w:rsid w:val="005D491B"/>
    <w:rsid w:val="005D586E"/>
    <w:rsid w:val="005D5939"/>
    <w:rsid w:val="005D5F4D"/>
    <w:rsid w:val="005D5FE0"/>
    <w:rsid w:val="005D6810"/>
    <w:rsid w:val="005D6F95"/>
    <w:rsid w:val="005D7222"/>
    <w:rsid w:val="005D7AB0"/>
    <w:rsid w:val="005D7F6B"/>
    <w:rsid w:val="005E01F6"/>
    <w:rsid w:val="005E07FC"/>
    <w:rsid w:val="005E0A42"/>
    <w:rsid w:val="005E14C1"/>
    <w:rsid w:val="005E157E"/>
    <w:rsid w:val="005E1613"/>
    <w:rsid w:val="005E1EBC"/>
    <w:rsid w:val="005E265F"/>
    <w:rsid w:val="005E2A82"/>
    <w:rsid w:val="005E2DB7"/>
    <w:rsid w:val="005E3282"/>
    <w:rsid w:val="005E3448"/>
    <w:rsid w:val="005E3814"/>
    <w:rsid w:val="005E38BE"/>
    <w:rsid w:val="005E4616"/>
    <w:rsid w:val="005E4C45"/>
    <w:rsid w:val="005E4E34"/>
    <w:rsid w:val="005E4F50"/>
    <w:rsid w:val="005E6082"/>
    <w:rsid w:val="005E6463"/>
    <w:rsid w:val="005E7181"/>
    <w:rsid w:val="005E7374"/>
    <w:rsid w:val="005E7BC5"/>
    <w:rsid w:val="005F01B9"/>
    <w:rsid w:val="005F096B"/>
    <w:rsid w:val="005F0C23"/>
    <w:rsid w:val="005F0CD7"/>
    <w:rsid w:val="005F0F0F"/>
    <w:rsid w:val="005F0F18"/>
    <w:rsid w:val="005F128C"/>
    <w:rsid w:val="005F1CBE"/>
    <w:rsid w:val="005F277D"/>
    <w:rsid w:val="005F2C64"/>
    <w:rsid w:val="005F2CFA"/>
    <w:rsid w:val="005F2D8A"/>
    <w:rsid w:val="005F2FC7"/>
    <w:rsid w:val="005F42DA"/>
    <w:rsid w:val="005F459C"/>
    <w:rsid w:val="005F5073"/>
    <w:rsid w:val="005F530F"/>
    <w:rsid w:val="005F638B"/>
    <w:rsid w:val="005F697F"/>
    <w:rsid w:val="005F6AF2"/>
    <w:rsid w:val="005F6D50"/>
    <w:rsid w:val="005F7178"/>
    <w:rsid w:val="005F7437"/>
    <w:rsid w:val="005F7562"/>
    <w:rsid w:val="00600314"/>
    <w:rsid w:val="0060039E"/>
    <w:rsid w:val="00600520"/>
    <w:rsid w:val="00601214"/>
    <w:rsid w:val="00601386"/>
    <w:rsid w:val="006013E1"/>
    <w:rsid w:val="00601461"/>
    <w:rsid w:val="006015B0"/>
    <w:rsid w:val="00601FC3"/>
    <w:rsid w:val="00602876"/>
    <w:rsid w:val="00602E21"/>
    <w:rsid w:val="006033A2"/>
    <w:rsid w:val="006035AF"/>
    <w:rsid w:val="006037C4"/>
    <w:rsid w:val="00604147"/>
    <w:rsid w:val="0060488E"/>
    <w:rsid w:val="0060490E"/>
    <w:rsid w:val="00604CDE"/>
    <w:rsid w:val="00605080"/>
    <w:rsid w:val="0060571F"/>
    <w:rsid w:val="0060588D"/>
    <w:rsid w:val="00605B17"/>
    <w:rsid w:val="00605C4B"/>
    <w:rsid w:val="0060608D"/>
    <w:rsid w:val="006065B5"/>
    <w:rsid w:val="00606D0E"/>
    <w:rsid w:val="006076EB"/>
    <w:rsid w:val="00610126"/>
    <w:rsid w:val="00610330"/>
    <w:rsid w:val="0061039C"/>
    <w:rsid w:val="006104D9"/>
    <w:rsid w:val="00610788"/>
    <w:rsid w:val="00610E83"/>
    <w:rsid w:val="0061105A"/>
    <w:rsid w:val="0061174C"/>
    <w:rsid w:val="00611906"/>
    <w:rsid w:val="00611B2E"/>
    <w:rsid w:val="00611C4E"/>
    <w:rsid w:val="00611EC4"/>
    <w:rsid w:val="00612086"/>
    <w:rsid w:val="0061219A"/>
    <w:rsid w:val="00612832"/>
    <w:rsid w:val="00612D7E"/>
    <w:rsid w:val="006130C0"/>
    <w:rsid w:val="006135EB"/>
    <w:rsid w:val="00613AFB"/>
    <w:rsid w:val="00613B7A"/>
    <w:rsid w:val="00613F5D"/>
    <w:rsid w:val="00614149"/>
    <w:rsid w:val="00614D23"/>
    <w:rsid w:val="00614D29"/>
    <w:rsid w:val="00614D6E"/>
    <w:rsid w:val="00614DA8"/>
    <w:rsid w:val="006153BC"/>
    <w:rsid w:val="006155DE"/>
    <w:rsid w:val="00615975"/>
    <w:rsid w:val="006165DA"/>
    <w:rsid w:val="00616EDA"/>
    <w:rsid w:val="0061719B"/>
    <w:rsid w:val="00617ED4"/>
    <w:rsid w:val="00617F15"/>
    <w:rsid w:val="00617F71"/>
    <w:rsid w:val="006204B7"/>
    <w:rsid w:val="0062071D"/>
    <w:rsid w:val="00621151"/>
    <w:rsid w:val="00621717"/>
    <w:rsid w:val="00621E9B"/>
    <w:rsid w:val="00621F6F"/>
    <w:rsid w:val="00621FFF"/>
    <w:rsid w:val="00622070"/>
    <w:rsid w:val="0062233E"/>
    <w:rsid w:val="00622A3B"/>
    <w:rsid w:val="00622AB0"/>
    <w:rsid w:val="00622B79"/>
    <w:rsid w:val="00623CA1"/>
    <w:rsid w:val="00623E79"/>
    <w:rsid w:val="00623EC4"/>
    <w:rsid w:val="006242A4"/>
    <w:rsid w:val="006242FD"/>
    <w:rsid w:val="00624985"/>
    <w:rsid w:val="0062531C"/>
    <w:rsid w:val="00625BB9"/>
    <w:rsid w:val="00625BE4"/>
    <w:rsid w:val="00626369"/>
    <w:rsid w:val="00626E76"/>
    <w:rsid w:val="006270A6"/>
    <w:rsid w:val="006272D2"/>
    <w:rsid w:val="0062748A"/>
    <w:rsid w:val="00627A9C"/>
    <w:rsid w:val="00627C3B"/>
    <w:rsid w:val="00627E36"/>
    <w:rsid w:val="0063004F"/>
    <w:rsid w:val="0063026C"/>
    <w:rsid w:val="00630357"/>
    <w:rsid w:val="00630392"/>
    <w:rsid w:val="00630937"/>
    <w:rsid w:val="00630D43"/>
    <w:rsid w:val="00630D52"/>
    <w:rsid w:val="00631139"/>
    <w:rsid w:val="006314B4"/>
    <w:rsid w:val="006315AC"/>
    <w:rsid w:val="00631EFD"/>
    <w:rsid w:val="00633130"/>
    <w:rsid w:val="00633423"/>
    <w:rsid w:val="00634168"/>
    <w:rsid w:val="0063439D"/>
    <w:rsid w:val="006348B6"/>
    <w:rsid w:val="006348B7"/>
    <w:rsid w:val="00634BFD"/>
    <w:rsid w:val="00634C05"/>
    <w:rsid w:val="00634D29"/>
    <w:rsid w:val="00634DC6"/>
    <w:rsid w:val="00635635"/>
    <w:rsid w:val="0063590D"/>
    <w:rsid w:val="00635B8F"/>
    <w:rsid w:val="00635F65"/>
    <w:rsid w:val="00636502"/>
    <w:rsid w:val="00636611"/>
    <w:rsid w:val="00636965"/>
    <w:rsid w:val="00636A02"/>
    <w:rsid w:val="00636CED"/>
    <w:rsid w:val="006372F3"/>
    <w:rsid w:val="006374F4"/>
    <w:rsid w:val="006375E2"/>
    <w:rsid w:val="00637A29"/>
    <w:rsid w:val="006406E2"/>
    <w:rsid w:val="00641231"/>
    <w:rsid w:val="006412D4"/>
    <w:rsid w:val="00641544"/>
    <w:rsid w:val="00641583"/>
    <w:rsid w:val="00641BD1"/>
    <w:rsid w:val="0064215D"/>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AB2"/>
    <w:rsid w:val="00646B46"/>
    <w:rsid w:val="00647281"/>
    <w:rsid w:val="006478B5"/>
    <w:rsid w:val="00647E2A"/>
    <w:rsid w:val="00650CF7"/>
    <w:rsid w:val="006511D0"/>
    <w:rsid w:val="0065169E"/>
    <w:rsid w:val="0065183A"/>
    <w:rsid w:val="00651899"/>
    <w:rsid w:val="00651D48"/>
    <w:rsid w:val="00651D7A"/>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78"/>
    <w:rsid w:val="0065777C"/>
    <w:rsid w:val="006577FE"/>
    <w:rsid w:val="00657CA6"/>
    <w:rsid w:val="0066013F"/>
    <w:rsid w:val="006603C7"/>
    <w:rsid w:val="00660483"/>
    <w:rsid w:val="00660CD0"/>
    <w:rsid w:val="006619DD"/>
    <w:rsid w:val="00662979"/>
    <w:rsid w:val="006629B0"/>
    <w:rsid w:val="00662A09"/>
    <w:rsid w:val="006633D5"/>
    <w:rsid w:val="006638CE"/>
    <w:rsid w:val="00663EC6"/>
    <w:rsid w:val="00664196"/>
    <w:rsid w:val="006642E4"/>
    <w:rsid w:val="00664B50"/>
    <w:rsid w:val="00664BA8"/>
    <w:rsid w:val="00664DE5"/>
    <w:rsid w:val="00664EB6"/>
    <w:rsid w:val="0066501D"/>
    <w:rsid w:val="00665686"/>
    <w:rsid w:val="00665A3F"/>
    <w:rsid w:val="00665C41"/>
    <w:rsid w:val="00665E13"/>
    <w:rsid w:val="00665F86"/>
    <w:rsid w:val="00666905"/>
    <w:rsid w:val="00666BAC"/>
    <w:rsid w:val="00666C92"/>
    <w:rsid w:val="006670D2"/>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ACB"/>
    <w:rsid w:val="006750AF"/>
    <w:rsid w:val="0067573D"/>
    <w:rsid w:val="00675B14"/>
    <w:rsid w:val="00675BC2"/>
    <w:rsid w:val="00675DB4"/>
    <w:rsid w:val="006764A0"/>
    <w:rsid w:val="006764B6"/>
    <w:rsid w:val="00676801"/>
    <w:rsid w:val="0067687C"/>
    <w:rsid w:val="00677356"/>
    <w:rsid w:val="00677495"/>
    <w:rsid w:val="00677A93"/>
    <w:rsid w:val="006808EE"/>
    <w:rsid w:val="00680C02"/>
    <w:rsid w:val="006815B1"/>
    <w:rsid w:val="00681691"/>
    <w:rsid w:val="006817A8"/>
    <w:rsid w:val="0068347C"/>
    <w:rsid w:val="00683492"/>
    <w:rsid w:val="006834CE"/>
    <w:rsid w:val="00683B6C"/>
    <w:rsid w:val="0068422B"/>
    <w:rsid w:val="00684455"/>
    <w:rsid w:val="0068453F"/>
    <w:rsid w:val="00684EBF"/>
    <w:rsid w:val="0068554A"/>
    <w:rsid w:val="00685657"/>
    <w:rsid w:val="00687F9F"/>
    <w:rsid w:val="00690553"/>
    <w:rsid w:val="0069060C"/>
    <w:rsid w:val="00690A2E"/>
    <w:rsid w:val="00690ADF"/>
    <w:rsid w:val="00690B19"/>
    <w:rsid w:val="00691EAE"/>
    <w:rsid w:val="00691F30"/>
    <w:rsid w:val="00692165"/>
    <w:rsid w:val="0069268A"/>
    <w:rsid w:val="0069365D"/>
    <w:rsid w:val="00693BD7"/>
    <w:rsid w:val="00693C1D"/>
    <w:rsid w:val="006944A6"/>
    <w:rsid w:val="0069492F"/>
    <w:rsid w:val="00694D5F"/>
    <w:rsid w:val="006957AC"/>
    <w:rsid w:val="00695872"/>
    <w:rsid w:val="006959C1"/>
    <w:rsid w:val="00695FBC"/>
    <w:rsid w:val="0069619D"/>
    <w:rsid w:val="00696576"/>
    <w:rsid w:val="00696A44"/>
    <w:rsid w:val="00696E96"/>
    <w:rsid w:val="006A0559"/>
    <w:rsid w:val="006A084E"/>
    <w:rsid w:val="006A0974"/>
    <w:rsid w:val="006A0FFF"/>
    <w:rsid w:val="006A14A8"/>
    <w:rsid w:val="006A1956"/>
    <w:rsid w:val="006A1EC0"/>
    <w:rsid w:val="006A1F40"/>
    <w:rsid w:val="006A24F1"/>
    <w:rsid w:val="006A2668"/>
    <w:rsid w:val="006A27F0"/>
    <w:rsid w:val="006A300B"/>
    <w:rsid w:val="006A3159"/>
    <w:rsid w:val="006A3B36"/>
    <w:rsid w:val="006A3B66"/>
    <w:rsid w:val="006A3C0A"/>
    <w:rsid w:val="006A3C5F"/>
    <w:rsid w:val="006A3D68"/>
    <w:rsid w:val="006A40F7"/>
    <w:rsid w:val="006A4501"/>
    <w:rsid w:val="006A55F7"/>
    <w:rsid w:val="006A65F3"/>
    <w:rsid w:val="006A687B"/>
    <w:rsid w:val="006A6965"/>
    <w:rsid w:val="006A6998"/>
    <w:rsid w:val="006A6BA7"/>
    <w:rsid w:val="006A6DE1"/>
    <w:rsid w:val="006A6ED3"/>
    <w:rsid w:val="006A6EED"/>
    <w:rsid w:val="006A6F49"/>
    <w:rsid w:val="006A738F"/>
    <w:rsid w:val="006A7EA6"/>
    <w:rsid w:val="006B0546"/>
    <w:rsid w:val="006B0558"/>
    <w:rsid w:val="006B084C"/>
    <w:rsid w:val="006B0DE4"/>
    <w:rsid w:val="006B1335"/>
    <w:rsid w:val="006B194B"/>
    <w:rsid w:val="006B19E7"/>
    <w:rsid w:val="006B1BD6"/>
    <w:rsid w:val="006B1D45"/>
    <w:rsid w:val="006B1F38"/>
    <w:rsid w:val="006B2753"/>
    <w:rsid w:val="006B3263"/>
    <w:rsid w:val="006B3A57"/>
    <w:rsid w:val="006B3CF5"/>
    <w:rsid w:val="006B3D53"/>
    <w:rsid w:val="006B3D90"/>
    <w:rsid w:val="006B3DDF"/>
    <w:rsid w:val="006B4228"/>
    <w:rsid w:val="006B44F8"/>
    <w:rsid w:val="006B4783"/>
    <w:rsid w:val="006B5B97"/>
    <w:rsid w:val="006B600A"/>
    <w:rsid w:val="006B652C"/>
    <w:rsid w:val="006B668A"/>
    <w:rsid w:val="006B6CE5"/>
    <w:rsid w:val="006B7AAA"/>
    <w:rsid w:val="006B7BFA"/>
    <w:rsid w:val="006B7C21"/>
    <w:rsid w:val="006B7F78"/>
    <w:rsid w:val="006C00E7"/>
    <w:rsid w:val="006C016B"/>
    <w:rsid w:val="006C01A8"/>
    <w:rsid w:val="006C177C"/>
    <w:rsid w:val="006C1D65"/>
    <w:rsid w:val="006C20EE"/>
    <w:rsid w:val="006C212C"/>
    <w:rsid w:val="006C21BD"/>
    <w:rsid w:val="006C2F26"/>
    <w:rsid w:val="006C3699"/>
    <w:rsid w:val="006C3760"/>
    <w:rsid w:val="006C39F6"/>
    <w:rsid w:val="006C3F34"/>
    <w:rsid w:val="006C4034"/>
    <w:rsid w:val="006C4794"/>
    <w:rsid w:val="006C53CB"/>
    <w:rsid w:val="006C559E"/>
    <w:rsid w:val="006C59E8"/>
    <w:rsid w:val="006C5C96"/>
    <w:rsid w:val="006C60DE"/>
    <w:rsid w:val="006C696C"/>
    <w:rsid w:val="006C6EB2"/>
    <w:rsid w:val="006C6EB4"/>
    <w:rsid w:val="006C6ED0"/>
    <w:rsid w:val="006C72BE"/>
    <w:rsid w:val="006C7C41"/>
    <w:rsid w:val="006D0140"/>
    <w:rsid w:val="006D0724"/>
    <w:rsid w:val="006D099B"/>
    <w:rsid w:val="006D129D"/>
    <w:rsid w:val="006D1753"/>
    <w:rsid w:val="006D1ADC"/>
    <w:rsid w:val="006D1E46"/>
    <w:rsid w:val="006D2232"/>
    <w:rsid w:val="006D29ED"/>
    <w:rsid w:val="006D2AAA"/>
    <w:rsid w:val="006D33C4"/>
    <w:rsid w:val="006D352B"/>
    <w:rsid w:val="006D3A49"/>
    <w:rsid w:val="006D3F5B"/>
    <w:rsid w:val="006D40BE"/>
    <w:rsid w:val="006D4184"/>
    <w:rsid w:val="006D4358"/>
    <w:rsid w:val="006D450A"/>
    <w:rsid w:val="006D4871"/>
    <w:rsid w:val="006D4EDB"/>
    <w:rsid w:val="006D55F6"/>
    <w:rsid w:val="006D590C"/>
    <w:rsid w:val="006D59BD"/>
    <w:rsid w:val="006D603F"/>
    <w:rsid w:val="006D6955"/>
    <w:rsid w:val="006D73BA"/>
    <w:rsid w:val="006D7582"/>
    <w:rsid w:val="006D75A5"/>
    <w:rsid w:val="006E0889"/>
    <w:rsid w:val="006E09DE"/>
    <w:rsid w:val="006E0C11"/>
    <w:rsid w:val="006E0EA0"/>
    <w:rsid w:val="006E17CF"/>
    <w:rsid w:val="006E1BD1"/>
    <w:rsid w:val="006E1F4D"/>
    <w:rsid w:val="006E22D9"/>
    <w:rsid w:val="006E2B7B"/>
    <w:rsid w:val="006E2DEE"/>
    <w:rsid w:val="006E315A"/>
    <w:rsid w:val="006E31B7"/>
    <w:rsid w:val="006E37B7"/>
    <w:rsid w:val="006E39D2"/>
    <w:rsid w:val="006E3A45"/>
    <w:rsid w:val="006E433B"/>
    <w:rsid w:val="006E4427"/>
    <w:rsid w:val="006E4C11"/>
    <w:rsid w:val="006E4D31"/>
    <w:rsid w:val="006E52D4"/>
    <w:rsid w:val="006E5A43"/>
    <w:rsid w:val="006E5BE1"/>
    <w:rsid w:val="006E6111"/>
    <w:rsid w:val="006E6147"/>
    <w:rsid w:val="006E6D09"/>
    <w:rsid w:val="006E7328"/>
    <w:rsid w:val="006E78B8"/>
    <w:rsid w:val="006E7CF2"/>
    <w:rsid w:val="006F0002"/>
    <w:rsid w:val="006F28AF"/>
    <w:rsid w:val="006F29EB"/>
    <w:rsid w:val="006F302A"/>
    <w:rsid w:val="006F31C4"/>
    <w:rsid w:val="006F325A"/>
    <w:rsid w:val="006F3C38"/>
    <w:rsid w:val="006F4886"/>
    <w:rsid w:val="006F48BF"/>
    <w:rsid w:val="006F4CA4"/>
    <w:rsid w:val="006F5063"/>
    <w:rsid w:val="006F514E"/>
    <w:rsid w:val="006F5739"/>
    <w:rsid w:val="006F79F4"/>
    <w:rsid w:val="006F7FA0"/>
    <w:rsid w:val="007004DC"/>
    <w:rsid w:val="00700DC3"/>
    <w:rsid w:val="00701295"/>
    <w:rsid w:val="0070135E"/>
    <w:rsid w:val="00701427"/>
    <w:rsid w:val="007016CF"/>
    <w:rsid w:val="00701A95"/>
    <w:rsid w:val="0070212A"/>
    <w:rsid w:val="00703498"/>
    <w:rsid w:val="00703499"/>
    <w:rsid w:val="00703587"/>
    <w:rsid w:val="0070378F"/>
    <w:rsid w:val="00704179"/>
    <w:rsid w:val="00704294"/>
    <w:rsid w:val="0070513B"/>
    <w:rsid w:val="00705549"/>
    <w:rsid w:val="007057C4"/>
    <w:rsid w:val="00705900"/>
    <w:rsid w:val="00705DA5"/>
    <w:rsid w:val="0070627C"/>
    <w:rsid w:val="00706A34"/>
    <w:rsid w:val="0070735A"/>
    <w:rsid w:val="00707521"/>
    <w:rsid w:val="0070752B"/>
    <w:rsid w:val="00707578"/>
    <w:rsid w:val="00707D6A"/>
    <w:rsid w:val="00711BD8"/>
    <w:rsid w:val="00711CB7"/>
    <w:rsid w:val="007120D2"/>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71F7"/>
    <w:rsid w:val="00717996"/>
    <w:rsid w:val="00717CD2"/>
    <w:rsid w:val="00717FD5"/>
    <w:rsid w:val="00720D99"/>
    <w:rsid w:val="00720F31"/>
    <w:rsid w:val="007211C3"/>
    <w:rsid w:val="007219E1"/>
    <w:rsid w:val="00721AE1"/>
    <w:rsid w:val="00721B33"/>
    <w:rsid w:val="00721DF6"/>
    <w:rsid w:val="007224AF"/>
    <w:rsid w:val="007226C2"/>
    <w:rsid w:val="0072270E"/>
    <w:rsid w:val="00722D68"/>
    <w:rsid w:val="007232E7"/>
    <w:rsid w:val="007232FE"/>
    <w:rsid w:val="007234DE"/>
    <w:rsid w:val="00724018"/>
    <w:rsid w:val="00724A86"/>
    <w:rsid w:val="00724F10"/>
    <w:rsid w:val="0072575C"/>
    <w:rsid w:val="007257FD"/>
    <w:rsid w:val="0072580C"/>
    <w:rsid w:val="007259EE"/>
    <w:rsid w:val="007268D5"/>
    <w:rsid w:val="007271B6"/>
    <w:rsid w:val="00727374"/>
    <w:rsid w:val="0072739F"/>
    <w:rsid w:val="00727AC2"/>
    <w:rsid w:val="00727BE7"/>
    <w:rsid w:val="00727EF2"/>
    <w:rsid w:val="00731ED0"/>
    <w:rsid w:val="00732243"/>
    <w:rsid w:val="007329A1"/>
    <w:rsid w:val="0073317F"/>
    <w:rsid w:val="007338AA"/>
    <w:rsid w:val="007339A8"/>
    <w:rsid w:val="00734309"/>
    <w:rsid w:val="007343BC"/>
    <w:rsid w:val="00734DF1"/>
    <w:rsid w:val="007350C0"/>
    <w:rsid w:val="0073539D"/>
    <w:rsid w:val="00735BE9"/>
    <w:rsid w:val="00735DAD"/>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2086"/>
    <w:rsid w:val="00742C09"/>
    <w:rsid w:val="00742CBD"/>
    <w:rsid w:val="00742E2E"/>
    <w:rsid w:val="00742E42"/>
    <w:rsid w:val="00743030"/>
    <w:rsid w:val="00743B33"/>
    <w:rsid w:val="007442DF"/>
    <w:rsid w:val="007452AB"/>
    <w:rsid w:val="00745A0C"/>
    <w:rsid w:val="00745BAE"/>
    <w:rsid w:val="007469B3"/>
    <w:rsid w:val="00746ACF"/>
    <w:rsid w:val="00747161"/>
    <w:rsid w:val="0074780A"/>
    <w:rsid w:val="007478FB"/>
    <w:rsid w:val="007479AD"/>
    <w:rsid w:val="00747A73"/>
    <w:rsid w:val="00747EF4"/>
    <w:rsid w:val="00750DB2"/>
    <w:rsid w:val="00750F4B"/>
    <w:rsid w:val="00751672"/>
    <w:rsid w:val="00751B1D"/>
    <w:rsid w:val="00752015"/>
    <w:rsid w:val="00752258"/>
    <w:rsid w:val="00753238"/>
    <w:rsid w:val="00753611"/>
    <w:rsid w:val="0075373D"/>
    <w:rsid w:val="007538B1"/>
    <w:rsid w:val="00753BB7"/>
    <w:rsid w:val="00753CA0"/>
    <w:rsid w:val="00753EEE"/>
    <w:rsid w:val="00754234"/>
    <w:rsid w:val="0075462A"/>
    <w:rsid w:val="00754A60"/>
    <w:rsid w:val="00754CA6"/>
    <w:rsid w:val="00755144"/>
    <w:rsid w:val="00755F32"/>
    <w:rsid w:val="007561DC"/>
    <w:rsid w:val="007565CE"/>
    <w:rsid w:val="00756AA6"/>
    <w:rsid w:val="0075760C"/>
    <w:rsid w:val="007604F5"/>
    <w:rsid w:val="0076099E"/>
    <w:rsid w:val="007609DA"/>
    <w:rsid w:val="00760DE6"/>
    <w:rsid w:val="00761032"/>
    <w:rsid w:val="007610F3"/>
    <w:rsid w:val="00761133"/>
    <w:rsid w:val="00761560"/>
    <w:rsid w:val="0076163E"/>
    <w:rsid w:val="0076187B"/>
    <w:rsid w:val="00762287"/>
    <w:rsid w:val="00762CBC"/>
    <w:rsid w:val="00764221"/>
    <w:rsid w:val="00764274"/>
    <w:rsid w:val="00764F5B"/>
    <w:rsid w:val="007652B8"/>
    <w:rsid w:val="00765331"/>
    <w:rsid w:val="00765CC9"/>
    <w:rsid w:val="0076672D"/>
    <w:rsid w:val="00767260"/>
    <w:rsid w:val="00767F1E"/>
    <w:rsid w:val="0077036C"/>
    <w:rsid w:val="007706C3"/>
    <w:rsid w:val="00770D90"/>
    <w:rsid w:val="00771D3E"/>
    <w:rsid w:val="007724AD"/>
    <w:rsid w:val="00772567"/>
    <w:rsid w:val="007725A8"/>
    <w:rsid w:val="007729D1"/>
    <w:rsid w:val="00772E21"/>
    <w:rsid w:val="00773AE6"/>
    <w:rsid w:val="00773E14"/>
    <w:rsid w:val="00774236"/>
    <w:rsid w:val="00774712"/>
    <w:rsid w:val="007747CD"/>
    <w:rsid w:val="00774DBC"/>
    <w:rsid w:val="00775AD7"/>
    <w:rsid w:val="00775BDB"/>
    <w:rsid w:val="00775FDF"/>
    <w:rsid w:val="007761EA"/>
    <w:rsid w:val="0077644F"/>
    <w:rsid w:val="007764A3"/>
    <w:rsid w:val="007765F6"/>
    <w:rsid w:val="00776ADA"/>
    <w:rsid w:val="00777606"/>
    <w:rsid w:val="00777970"/>
    <w:rsid w:val="007779F7"/>
    <w:rsid w:val="007802E5"/>
    <w:rsid w:val="007810A3"/>
    <w:rsid w:val="00781218"/>
    <w:rsid w:val="0078146A"/>
    <w:rsid w:val="0078165C"/>
    <w:rsid w:val="007819A9"/>
    <w:rsid w:val="00781A5F"/>
    <w:rsid w:val="0078237B"/>
    <w:rsid w:val="007825CE"/>
    <w:rsid w:val="007825F7"/>
    <w:rsid w:val="00782927"/>
    <w:rsid w:val="00782A09"/>
    <w:rsid w:val="007834F6"/>
    <w:rsid w:val="0078386C"/>
    <w:rsid w:val="007838FB"/>
    <w:rsid w:val="0078438B"/>
    <w:rsid w:val="00784486"/>
    <w:rsid w:val="007849A6"/>
    <w:rsid w:val="00784E4F"/>
    <w:rsid w:val="00785C94"/>
    <w:rsid w:val="00785C9F"/>
    <w:rsid w:val="00786469"/>
    <w:rsid w:val="0078658D"/>
    <w:rsid w:val="0078667F"/>
    <w:rsid w:val="007867AC"/>
    <w:rsid w:val="007871C6"/>
    <w:rsid w:val="00787C9B"/>
    <w:rsid w:val="00787D5B"/>
    <w:rsid w:val="00790BCC"/>
    <w:rsid w:val="00791076"/>
    <w:rsid w:val="0079123A"/>
    <w:rsid w:val="0079162D"/>
    <w:rsid w:val="00792672"/>
    <w:rsid w:val="00792792"/>
    <w:rsid w:val="0079294B"/>
    <w:rsid w:val="00792DF2"/>
    <w:rsid w:val="00793359"/>
    <w:rsid w:val="0079429C"/>
    <w:rsid w:val="0079532A"/>
    <w:rsid w:val="00795BA3"/>
    <w:rsid w:val="00795DE4"/>
    <w:rsid w:val="00795ED5"/>
    <w:rsid w:val="00796773"/>
    <w:rsid w:val="00796CD2"/>
    <w:rsid w:val="0079784C"/>
    <w:rsid w:val="0079790F"/>
    <w:rsid w:val="00797F0C"/>
    <w:rsid w:val="007A0068"/>
    <w:rsid w:val="007A097D"/>
    <w:rsid w:val="007A1548"/>
    <w:rsid w:val="007A193F"/>
    <w:rsid w:val="007A1EE2"/>
    <w:rsid w:val="007A255B"/>
    <w:rsid w:val="007A2590"/>
    <w:rsid w:val="007A28CE"/>
    <w:rsid w:val="007A2E1C"/>
    <w:rsid w:val="007A30B2"/>
    <w:rsid w:val="007A371B"/>
    <w:rsid w:val="007A4223"/>
    <w:rsid w:val="007A4231"/>
    <w:rsid w:val="007A553D"/>
    <w:rsid w:val="007A599C"/>
    <w:rsid w:val="007A61DD"/>
    <w:rsid w:val="007A64CB"/>
    <w:rsid w:val="007A6952"/>
    <w:rsid w:val="007A6E21"/>
    <w:rsid w:val="007B08E8"/>
    <w:rsid w:val="007B0AB8"/>
    <w:rsid w:val="007B0B96"/>
    <w:rsid w:val="007B1226"/>
    <w:rsid w:val="007B138D"/>
    <w:rsid w:val="007B165C"/>
    <w:rsid w:val="007B1F15"/>
    <w:rsid w:val="007B2B80"/>
    <w:rsid w:val="007B2F4D"/>
    <w:rsid w:val="007B3132"/>
    <w:rsid w:val="007B31CC"/>
    <w:rsid w:val="007B3CED"/>
    <w:rsid w:val="007B44A7"/>
    <w:rsid w:val="007B4B28"/>
    <w:rsid w:val="007B4C59"/>
    <w:rsid w:val="007B4D5D"/>
    <w:rsid w:val="007B54C9"/>
    <w:rsid w:val="007B5ACB"/>
    <w:rsid w:val="007B7AB6"/>
    <w:rsid w:val="007B7B7D"/>
    <w:rsid w:val="007B7D9F"/>
    <w:rsid w:val="007C0414"/>
    <w:rsid w:val="007C0914"/>
    <w:rsid w:val="007C0AE8"/>
    <w:rsid w:val="007C0B6B"/>
    <w:rsid w:val="007C1391"/>
    <w:rsid w:val="007C15FC"/>
    <w:rsid w:val="007C185D"/>
    <w:rsid w:val="007C1880"/>
    <w:rsid w:val="007C19D6"/>
    <w:rsid w:val="007C1D68"/>
    <w:rsid w:val="007C1DA1"/>
    <w:rsid w:val="007C1E1D"/>
    <w:rsid w:val="007C248D"/>
    <w:rsid w:val="007C26DD"/>
    <w:rsid w:val="007C276C"/>
    <w:rsid w:val="007C278F"/>
    <w:rsid w:val="007C2C76"/>
    <w:rsid w:val="007C2ED9"/>
    <w:rsid w:val="007C331C"/>
    <w:rsid w:val="007C3576"/>
    <w:rsid w:val="007C41A0"/>
    <w:rsid w:val="007C4231"/>
    <w:rsid w:val="007C44FC"/>
    <w:rsid w:val="007C45C3"/>
    <w:rsid w:val="007C491B"/>
    <w:rsid w:val="007C4EC8"/>
    <w:rsid w:val="007C51CF"/>
    <w:rsid w:val="007C5357"/>
    <w:rsid w:val="007C5A02"/>
    <w:rsid w:val="007C5A3D"/>
    <w:rsid w:val="007C6289"/>
    <w:rsid w:val="007C6707"/>
    <w:rsid w:val="007C73B6"/>
    <w:rsid w:val="007D00B9"/>
    <w:rsid w:val="007D074D"/>
    <w:rsid w:val="007D0D64"/>
    <w:rsid w:val="007D1F1E"/>
    <w:rsid w:val="007D398D"/>
    <w:rsid w:val="007D3EB4"/>
    <w:rsid w:val="007D3EBA"/>
    <w:rsid w:val="007D425A"/>
    <w:rsid w:val="007D4366"/>
    <w:rsid w:val="007D4E4E"/>
    <w:rsid w:val="007D54CA"/>
    <w:rsid w:val="007D5A60"/>
    <w:rsid w:val="007D5DC7"/>
    <w:rsid w:val="007D64CC"/>
    <w:rsid w:val="007D67AD"/>
    <w:rsid w:val="007D72C3"/>
    <w:rsid w:val="007D75F2"/>
    <w:rsid w:val="007D79CC"/>
    <w:rsid w:val="007D7BF9"/>
    <w:rsid w:val="007D7C64"/>
    <w:rsid w:val="007E0B90"/>
    <w:rsid w:val="007E0EA4"/>
    <w:rsid w:val="007E0EE7"/>
    <w:rsid w:val="007E145F"/>
    <w:rsid w:val="007E2E68"/>
    <w:rsid w:val="007E31DC"/>
    <w:rsid w:val="007E3A61"/>
    <w:rsid w:val="007E438A"/>
    <w:rsid w:val="007E4537"/>
    <w:rsid w:val="007E4D65"/>
    <w:rsid w:val="007E4FC2"/>
    <w:rsid w:val="007E5049"/>
    <w:rsid w:val="007E507E"/>
    <w:rsid w:val="007E53CA"/>
    <w:rsid w:val="007E5847"/>
    <w:rsid w:val="007E5B34"/>
    <w:rsid w:val="007E5C9B"/>
    <w:rsid w:val="007E62D6"/>
    <w:rsid w:val="007E6D23"/>
    <w:rsid w:val="007E6EB7"/>
    <w:rsid w:val="007E7409"/>
    <w:rsid w:val="007E76F3"/>
    <w:rsid w:val="007E7855"/>
    <w:rsid w:val="007F08A9"/>
    <w:rsid w:val="007F1840"/>
    <w:rsid w:val="007F1AEC"/>
    <w:rsid w:val="007F254C"/>
    <w:rsid w:val="007F2B9E"/>
    <w:rsid w:val="007F414E"/>
    <w:rsid w:val="007F44C0"/>
    <w:rsid w:val="007F482C"/>
    <w:rsid w:val="007F48A3"/>
    <w:rsid w:val="007F4AFE"/>
    <w:rsid w:val="007F4BA4"/>
    <w:rsid w:val="007F4F3B"/>
    <w:rsid w:val="007F5EA8"/>
    <w:rsid w:val="007F60FC"/>
    <w:rsid w:val="007F63D8"/>
    <w:rsid w:val="007F6FE0"/>
    <w:rsid w:val="007F7163"/>
    <w:rsid w:val="007F761B"/>
    <w:rsid w:val="007F7944"/>
    <w:rsid w:val="007F7C2C"/>
    <w:rsid w:val="007F7E71"/>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51A6"/>
    <w:rsid w:val="00805452"/>
    <w:rsid w:val="008057A1"/>
    <w:rsid w:val="00805AD4"/>
    <w:rsid w:val="00805CEB"/>
    <w:rsid w:val="00805D4E"/>
    <w:rsid w:val="008060F2"/>
    <w:rsid w:val="0080638F"/>
    <w:rsid w:val="008072A8"/>
    <w:rsid w:val="00807BA4"/>
    <w:rsid w:val="00810F3C"/>
    <w:rsid w:val="0081101B"/>
    <w:rsid w:val="0081149D"/>
    <w:rsid w:val="00812189"/>
    <w:rsid w:val="00812767"/>
    <w:rsid w:val="00812836"/>
    <w:rsid w:val="00812B4C"/>
    <w:rsid w:val="00813072"/>
    <w:rsid w:val="00814DBB"/>
    <w:rsid w:val="00815413"/>
    <w:rsid w:val="008154C3"/>
    <w:rsid w:val="00815687"/>
    <w:rsid w:val="00815C7B"/>
    <w:rsid w:val="00815EB1"/>
    <w:rsid w:val="00815FCA"/>
    <w:rsid w:val="008160FB"/>
    <w:rsid w:val="0081661A"/>
    <w:rsid w:val="008166E2"/>
    <w:rsid w:val="008167C9"/>
    <w:rsid w:val="008168D9"/>
    <w:rsid w:val="0081754C"/>
    <w:rsid w:val="00817CA8"/>
    <w:rsid w:val="00820220"/>
    <w:rsid w:val="00820319"/>
    <w:rsid w:val="0082064E"/>
    <w:rsid w:val="00820CB5"/>
    <w:rsid w:val="0082172C"/>
    <w:rsid w:val="00821E08"/>
    <w:rsid w:val="0082266F"/>
    <w:rsid w:val="00822A31"/>
    <w:rsid w:val="00822C5A"/>
    <w:rsid w:val="00823783"/>
    <w:rsid w:val="00823A9D"/>
    <w:rsid w:val="00823EDF"/>
    <w:rsid w:val="0082447D"/>
    <w:rsid w:val="0082453C"/>
    <w:rsid w:val="00824604"/>
    <w:rsid w:val="00824704"/>
    <w:rsid w:val="0082547D"/>
    <w:rsid w:val="00825490"/>
    <w:rsid w:val="008255E9"/>
    <w:rsid w:val="00825752"/>
    <w:rsid w:val="0082764B"/>
    <w:rsid w:val="00830368"/>
    <w:rsid w:val="00830556"/>
    <w:rsid w:val="00830590"/>
    <w:rsid w:val="00830B9F"/>
    <w:rsid w:val="00830F8E"/>
    <w:rsid w:val="008312B0"/>
    <w:rsid w:val="0083134A"/>
    <w:rsid w:val="00831456"/>
    <w:rsid w:val="0083180A"/>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227"/>
    <w:rsid w:val="0083779B"/>
    <w:rsid w:val="00837AB6"/>
    <w:rsid w:val="00837BDE"/>
    <w:rsid w:val="00837CCB"/>
    <w:rsid w:val="0084032E"/>
    <w:rsid w:val="00840A7C"/>
    <w:rsid w:val="00840A95"/>
    <w:rsid w:val="0084258C"/>
    <w:rsid w:val="00842715"/>
    <w:rsid w:val="00842BEE"/>
    <w:rsid w:val="00842E05"/>
    <w:rsid w:val="00842E21"/>
    <w:rsid w:val="00843230"/>
    <w:rsid w:val="0084346F"/>
    <w:rsid w:val="00843B82"/>
    <w:rsid w:val="00843C69"/>
    <w:rsid w:val="0084421B"/>
    <w:rsid w:val="00844569"/>
    <w:rsid w:val="00844E81"/>
    <w:rsid w:val="00845169"/>
    <w:rsid w:val="00845245"/>
    <w:rsid w:val="008455A6"/>
    <w:rsid w:val="008455FF"/>
    <w:rsid w:val="00845A8B"/>
    <w:rsid w:val="00845B0E"/>
    <w:rsid w:val="00846A55"/>
    <w:rsid w:val="0084702D"/>
    <w:rsid w:val="00850933"/>
    <w:rsid w:val="00850C97"/>
    <w:rsid w:val="008513A9"/>
    <w:rsid w:val="00852DEA"/>
    <w:rsid w:val="00853237"/>
    <w:rsid w:val="00853EAA"/>
    <w:rsid w:val="00854221"/>
    <w:rsid w:val="00854CEB"/>
    <w:rsid w:val="00854FF1"/>
    <w:rsid w:val="00855C31"/>
    <w:rsid w:val="008565BF"/>
    <w:rsid w:val="00856D3C"/>
    <w:rsid w:val="00856EC5"/>
    <w:rsid w:val="00857392"/>
    <w:rsid w:val="00857E4A"/>
    <w:rsid w:val="00857F8F"/>
    <w:rsid w:val="008601EC"/>
    <w:rsid w:val="00860288"/>
    <w:rsid w:val="00860358"/>
    <w:rsid w:val="00860E78"/>
    <w:rsid w:val="00861165"/>
    <w:rsid w:val="008612F7"/>
    <w:rsid w:val="008613D0"/>
    <w:rsid w:val="008616EB"/>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723"/>
    <w:rsid w:val="00867971"/>
    <w:rsid w:val="008700C9"/>
    <w:rsid w:val="00870291"/>
    <w:rsid w:val="00870EB9"/>
    <w:rsid w:val="00870F5A"/>
    <w:rsid w:val="0087129C"/>
    <w:rsid w:val="008712FA"/>
    <w:rsid w:val="00871AF8"/>
    <w:rsid w:val="00871BEB"/>
    <w:rsid w:val="00871C13"/>
    <w:rsid w:val="00872156"/>
    <w:rsid w:val="00872D37"/>
    <w:rsid w:val="00873568"/>
    <w:rsid w:val="00873C2E"/>
    <w:rsid w:val="008752FB"/>
    <w:rsid w:val="008753AA"/>
    <w:rsid w:val="00875C65"/>
    <w:rsid w:val="00875F52"/>
    <w:rsid w:val="008762A4"/>
    <w:rsid w:val="008765B0"/>
    <w:rsid w:val="008765D1"/>
    <w:rsid w:val="00876D3B"/>
    <w:rsid w:val="00876EC4"/>
    <w:rsid w:val="008777F4"/>
    <w:rsid w:val="00877BFE"/>
    <w:rsid w:val="00880153"/>
    <w:rsid w:val="00880932"/>
    <w:rsid w:val="008819B1"/>
    <w:rsid w:val="00881B6A"/>
    <w:rsid w:val="00881B9E"/>
    <w:rsid w:val="00883008"/>
    <w:rsid w:val="0088300E"/>
    <w:rsid w:val="0088318D"/>
    <w:rsid w:val="00883815"/>
    <w:rsid w:val="00883A8A"/>
    <w:rsid w:val="00883D46"/>
    <w:rsid w:val="00883D7F"/>
    <w:rsid w:val="00883ECE"/>
    <w:rsid w:val="00884068"/>
    <w:rsid w:val="0088499F"/>
    <w:rsid w:val="00884E99"/>
    <w:rsid w:val="00886F11"/>
    <w:rsid w:val="00886F35"/>
    <w:rsid w:val="0088713B"/>
    <w:rsid w:val="00887406"/>
    <w:rsid w:val="00887458"/>
    <w:rsid w:val="00887C49"/>
    <w:rsid w:val="00887D87"/>
    <w:rsid w:val="00890F29"/>
    <w:rsid w:val="00891550"/>
    <w:rsid w:val="00891D45"/>
    <w:rsid w:val="00891E2F"/>
    <w:rsid w:val="008923C7"/>
    <w:rsid w:val="00892452"/>
    <w:rsid w:val="00892944"/>
    <w:rsid w:val="008929C6"/>
    <w:rsid w:val="00892C22"/>
    <w:rsid w:val="00892D34"/>
    <w:rsid w:val="00893180"/>
    <w:rsid w:val="00893573"/>
    <w:rsid w:val="008935EB"/>
    <w:rsid w:val="00893E7A"/>
    <w:rsid w:val="00894CA4"/>
    <w:rsid w:val="0089517E"/>
    <w:rsid w:val="00895A1B"/>
    <w:rsid w:val="00895A9F"/>
    <w:rsid w:val="00896A4F"/>
    <w:rsid w:val="008975C4"/>
    <w:rsid w:val="00897CE0"/>
    <w:rsid w:val="008A0953"/>
    <w:rsid w:val="008A102D"/>
    <w:rsid w:val="008A2DD7"/>
    <w:rsid w:val="008A3350"/>
    <w:rsid w:val="008A337E"/>
    <w:rsid w:val="008A3637"/>
    <w:rsid w:val="008A3CD3"/>
    <w:rsid w:val="008A3E4C"/>
    <w:rsid w:val="008A43E5"/>
    <w:rsid w:val="008A48D8"/>
    <w:rsid w:val="008A5219"/>
    <w:rsid w:val="008A5344"/>
    <w:rsid w:val="008A57DF"/>
    <w:rsid w:val="008A5A78"/>
    <w:rsid w:val="008A65A3"/>
    <w:rsid w:val="008A673B"/>
    <w:rsid w:val="008A67AE"/>
    <w:rsid w:val="008A681C"/>
    <w:rsid w:val="008A6AB6"/>
    <w:rsid w:val="008A6B63"/>
    <w:rsid w:val="008A6E01"/>
    <w:rsid w:val="008A6F4C"/>
    <w:rsid w:val="008A704F"/>
    <w:rsid w:val="008A7362"/>
    <w:rsid w:val="008A7B6A"/>
    <w:rsid w:val="008A7CD0"/>
    <w:rsid w:val="008A7E35"/>
    <w:rsid w:val="008B0033"/>
    <w:rsid w:val="008B0581"/>
    <w:rsid w:val="008B088D"/>
    <w:rsid w:val="008B10F0"/>
    <w:rsid w:val="008B1D95"/>
    <w:rsid w:val="008B22C0"/>
    <w:rsid w:val="008B243A"/>
    <w:rsid w:val="008B2870"/>
    <w:rsid w:val="008B2ACD"/>
    <w:rsid w:val="008B2F38"/>
    <w:rsid w:val="008B31E4"/>
    <w:rsid w:val="008B354E"/>
    <w:rsid w:val="008B3C2C"/>
    <w:rsid w:val="008B3E27"/>
    <w:rsid w:val="008B43D0"/>
    <w:rsid w:val="008B5668"/>
    <w:rsid w:val="008B581B"/>
    <w:rsid w:val="008B5AB9"/>
    <w:rsid w:val="008B6587"/>
    <w:rsid w:val="008B6611"/>
    <w:rsid w:val="008B70AE"/>
    <w:rsid w:val="008B71A7"/>
    <w:rsid w:val="008B747B"/>
    <w:rsid w:val="008B76E4"/>
    <w:rsid w:val="008B7CCF"/>
    <w:rsid w:val="008C063F"/>
    <w:rsid w:val="008C099E"/>
    <w:rsid w:val="008C1101"/>
    <w:rsid w:val="008C13B0"/>
    <w:rsid w:val="008C1578"/>
    <w:rsid w:val="008C16B8"/>
    <w:rsid w:val="008C22C1"/>
    <w:rsid w:val="008C23DF"/>
    <w:rsid w:val="008C2902"/>
    <w:rsid w:val="008C31DC"/>
    <w:rsid w:val="008C330E"/>
    <w:rsid w:val="008C3CA0"/>
    <w:rsid w:val="008C3F0C"/>
    <w:rsid w:val="008C4FDC"/>
    <w:rsid w:val="008C5ACF"/>
    <w:rsid w:val="008C6AE2"/>
    <w:rsid w:val="008C703A"/>
    <w:rsid w:val="008C7633"/>
    <w:rsid w:val="008C77D0"/>
    <w:rsid w:val="008D00FC"/>
    <w:rsid w:val="008D0916"/>
    <w:rsid w:val="008D0940"/>
    <w:rsid w:val="008D0C37"/>
    <w:rsid w:val="008D0D4E"/>
    <w:rsid w:val="008D0E4E"/>
    <w:rsid w:val="008D10F4"/>
    <w:rsid w:val="008D287C"/>
    <w:rsid w:val="008D2929"/>
    <w:rsid w:val="008D2E7A"/>
    <w:rsid w:val="008D3142"/>
    <w:rsid w:val="008D31D1"/>
    <w:rsid w:val="008D3734"/>
    <w:rsid w:val="008D38D6"/>
    <w:rsid w:val="008D3B4B"/>
    <w:rsid w:val="008D3EB6"/>
    <w:rsid w:val="008D402D"/>
    <w:rsid w:val="008D411D"/>
    <w:rsid w:val="008D4169"/>
    <w:rsid w:val="008D443C"/>
    <w:rsid w:val="008D4E65"/>
    <w:rsid w:val="008D57F3"/>
    <w:rsid w:val="008D6821"/>
    <w:rsid w:val="008D73DA"/>
    <w:rsid w:val="008D7923"/>
    <w:rsid w:val="008E051D"/>
    <w:rsid w:val="008E07C0"/>
    <w:rsid w:val="008E0842"/>
    <w:rsid w:val="008E159E"/>
    <w:rsid w:val="008E1751"/>
    <w:rsid w:val="008E176E"/>
    <w:rsid w:val="008E1DF2"/>
    <w:rsid w:val="008E21EC"/>
    <w:rsid w:val="008E26D7"/>
    <w:rsid w:val="008E2BD8"/>
    <w:rsid w:val="008E340E"/>
    <w:rsid w:val="008E354C"/>
    <w:rsid w:val="008E35FD"/>
    <w:rsid w:val="008E3A10"/>
    <w:rsid w:val="008E3CA1"/>
    <w:rsid w:val="008E3D09"/>
    <w:rsid w:val="008E4896"/>
    <w:rsid w:val="008E536F"/>
    <w:rsid w:val="008E566E"/>
    <w:rsid w:val="008E5ABC"/>
    <w:rsid w:val="008E61EC"/>
    <w:rsid w:val="008E65FA"/>
    <w:rsid w:val="008E6AB3"/>
    <w:rsid w:val="008E6DA1"/>
    <w:rsid w:val="008E7820"/>
    <w:rsid w:val="008E7FFB"/>
    <w:rsid w:val="008F127C"/>
    <w:rsid w:val="008F17CF"/>
    <w:rsid w:val="008F1B62"/>
    <w:rsid w:val="008F2105"/>
    <w:rsid w:val="008F25EF"/>
    <w:rsid w:val="008F2A35"/>
    <w:rsid w:val="008F3203"/>
    <w:rsid w:val="008F323A"/>
    <w:rsid w:val="008F3AB2"/>
    <w:rsid w:val="008F41C8"/>
    <w:rsid w:val="008F4544"/>
    <w:rsid w:val="008F4743"/>
    <w:rsid w:val="008F47D5"/>
    <w:rsid w:val="008F5031"/>
    <w:rsid w:val="008F50D7"/>
    <w:rsid w:val="008F512E"/>
    <w:rsid w:val="008F52B6"/>
    <w:rsid w:val="008F6273"/>
    <w:rsid w:val="008F6A9D"/>
    <w:rsid w:val="008F6AB2"/>
    <w:rsid w:val="008F6D08"/>
    <w:rsid w:val="008F6D4E"/>
    <w:rsid w:val="008F6F74"/>
    <w:rsid w:val="008F708C"/>
    <w:rsid w:val="008F7254"/>
    <w:rsid w:val="008F7762"/>
    <w:rsid w:val="008F7ABC"/>
    <w:rsid w:val="008F7DDC"/>
    <w:rsid w:val="008F7E31"/>
    <w:rsid w:val="008F7FA8"/>
    <w:rsid w:val="00900E7C"/>
    <w:rsid w:val="0090143B"/>
    <w:rsid w:val="00901811"/>
    <w:rsid w:val="00901D9C"/>
    <w:rsid w:val="009024BD"/>
    <w:rsid w:val="009033FA"/>
    <w:rsid w:val="009034AC"/>
    <w:rsid w:val="009042AD"/>
    <w:rsid w:val="009044AD"/>
    <w:rsid w:val="009047B4"/>
    <w:rsid w:val="00904A27"/>
    <w:rsid w:val="00904A7E"/>
    <w:rsid w:val="009052D1"/>
    <w:rsid w:val="009059B6"/>
    <w:rsid w:val="00905E4B"/>
    <w:rsid w:val="00906430"/>
    <w:rsid w:val="00906A32"/>
    <w:rsid w:val="00906C44"/>
    <w:rsid w:val="00906EAB"/>
    <w:rsid w:val="009071FE"/>
    <w:rsid w:val="00907242"/>
    <w:rsid w:val="00907C53"/>
    <w:rsid w:val="00907D28"/>
    <w:rsid w:val="00907FC1"/>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4D68"/>
    <w:rsid w:val="00914F33"/>
    <w:rsid w:val="00915204"/>
    <w:rsid w:val="00915248"/>
    <w:rsid w:val="00915323"/>
    <w:rsid w:val="00916FA9"/>
    <w:rsid w:val="00917138"/>
    <w:rsid w:val="00917467"/>
    <w:rsid w:val="0091757E"/>
    <w:rsid w:val="009179EE"/>
    <w:rsid w:val="00917C20"/>
    <w:rsid w:val="009205A1"/>
    <w:rsid w:val="00920F09"/>
    <w:rsid w:val="00920F2D"/>
    <w:rsid w:val="00921671"/>
    <w:rsid w:val="0092183C"/>
    <w:rsid w:val="00922641"/>
    <w:rsid w:val="009226DD"/>
    <w:rsid w:val="00923500"/>
    <w:rsid w:val="00923C8E"/>
    <w:rsid w:val="00923ED7"/>
    <w:rsid w:val="009240E4"/>
    <w:rsid w:val="009241AD"/>
    <w:rsid w:val="00924B3F"/>
    <w:rsid w:val="009255EE"/>
    <w:rsid w:val="00925C7E"/>
    <w:rsid w:val="009260C7"/>
    <w:rsid w:val="00926548"/>
    <w:rsid w:val="009268EA"/>
    <w:rsid w:val="0092752E"/>
    <w:rsid w:val="009278F3"/>
    <w:rsid w:val="00927B2D"/>
    <w:rsid w:val="00930D5A"/>
    <w:rsid w:val="00930FF9"/>
    <w:rsid w:val="00931525"/>
    <w:rsid w:val="009317D4"/>
    <w:rsid w:val="00931836"/>
    <w:rsid w:val="00931CE4"/>
    <w:rsid w:val="00931DB2"/>
    <w:rsid w:val="00931FE4"/>
    <w:rsid w:val="009321E3"/>
    <w:rsid w:val="0093274D"/>
    <w:rsid w:val="00932901"/>
    <w:rsid w:val="00932A4D"/>
    <w:rsid w:val="00932AEC"/>
    <w:rsid w:val="009334B3"/>
    <w:rsid w:val="00933B7C"/>
    <w:rsid w:val="00933EC2"/>
    <w:rsid w:val="00934124"/>
    <w:rsid w:val="00934256"/>
    <w:rsid w:val="009343E8"/>
    <w:rsid w:val="009351FC"/>
    <w:rsid w:val="00935A2C"/>
    <w:rsid w:val="00935D02"/>
    <w:rsid w:val="00936181"/>
    <w:rsid w:val="009363E0"/>
    <w:rsid w:val="00936B18"/>
    <w:rsid w:val="009377EE"/>
    <w:rsid w:val="00937EF6"/>
    <w:rsid w:val="00940AD3"/>
    <w:rsid w:val="00941245"/>
    <w:rsid w:val="009416E5"/>
    <w:rsid w:val="00941A21"/>
    <w:rsid w:val="00941F09"/>
    <w:rsid w:val="009422E1"/>
    <w:rsid w:val="009427F5"/>
    <w:rsid w:val="00942E12"/>
    <w:rsid w:val="00942EC5"/>
    <w:rsid w:val="00944E17"/>
    <w:rsid w:val="00945253"/>
    <w:rsid w:val="00945529"/>
    <w:rsid w:val="00946409"/>
    <w:rsid w:val="00946624"/>
    <w:rsid w:val="00947433"/>
    <w:rsid w:val="009477B2"/>
    <w:rsid w:val="00947A1E"/>
    <w:rsid w:val="0095081A"/>
    <w:rsid w:val="00950FAA"/>
    <w:rsid w:val="0095189E"/>
    <w:rsid w:val="00951B35"/>
    <w:rsid w:val="00952196"/>
    <w:rsid w:val="00952F92"/>
    <w:rsid w:val="00953005"/>
    <w:rsid w:val="009531F0"/>
    <w:rsid w:val="00953433"/>
    <w:rsid w:val="00953883"/>
    <w:rsid w:val="009543FF"/>
    <w:rsid w:val="0095445F"/>
    <w:rsid w:val="00954DFF"/>
    <w:rsid w:val="00954E7E"/>
    <w:rsid w:val="00955B96"/>
    <w:rsid w:val="0095618D"/>
    <w:rsid w:val="00956B12"/>
    <w:rsid w:val="00957274"/>
    <w:rsid w:val="009577F0"/>
    <w:rsid w:val="009602B8"/>
    <w:rsid w:val="0096050D"/>
    <w:rsid w:val="0096103F"/>
    <w:rsid w:val="0096110F"/>
    <w:rsid w:val="00961D41"/>
    <w:rsid w:val="00961E75"/>
    <w:rsid w:val="009623EF"/>
    <w:rsid w:val="00962484"/>
    <w:rsid w:val="0096250B"/>
    <w:rsid w:val="00962AC2"/>
    <w:rsid w:val="00963798"/>
    <w:rsid w:val="00963F69"/>
    <w:rsid w:val="009643B2"/>
    <w:rsid w:val="00964F2F"/>
    <w:rsid w:val="009650CD"/>
    <w:rsid w:val="00965336"/>
    <w:rsid w:val="00965AA5"/>
    <w:rsid w:val="00965E72"/>
    <w:rsid w:val="00965F60"/>
    <w:rsid w:val="00966224"/>
    <w:rsid w:val="009672F3"/>
    <w:rsid w:val="00967C6A"/>
    <w:rsid w:val="00967D71"/>
    <w:rsid w:val="0097092D"/>
    <w:rsid w:val="009711A6"/>
    <w:rsid w:val="00971562"/>
    <w:rsid w:val="0097169E"/>
    <w:rsid w:val="00971A32"/>
    <w:rsid w:val="00971B01"/>
    <w:rsid w:val="00971B32"/>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2527"/>
    <w:rsid w:val="00982C56"/>
    <w:rsid w:val="00984229"/>
    <w:rsid w:val="00984888"/>
    <w:rsid w:val="00984CD8"/>
    <w:rsid w:val="00985C48"/>
    <w:rsid w:val="0098604F"/>
    <w:rsid w:val="00986800"/>
    <w:rsid w:val="00986A3C"/>
    <w:rsid w:val="00986DB7"/>
    <w:rsid w:val="00986E0D"/>
    <w:rsid w:val="00987453"/>
    <w:rsid w:val="009879C9"/>
    <w:rsid w:val="00987BF6"/>
    <w:rsid w:val="00990065"/>
    <w:rsid w:val="009906AF"/>
    <w:rsid w:val="00990C45"/>
    <w:rsid w:val="009920EB"/>
    <w:rsid w:val="00992410"/>
    <w:rsid w:val="00992577"/>
    <w:rsid w:val="0099289C"/>
    <w:rsid w:val="00993307"/>
    <w:rsid w:val="00993789"/>
    <w:rsid w:val="0099399D"/>
    <w:rsid w:val="00993C05"/>
    <w:rsid w:val="00994432"/>
    <w:rsid w:val="00994A42"/>
    <w:rsid w:val="00994D41"/>
    <w:rsid w:val="00995648"/>
    <w:rsid w:val="009956D5"/>
    <w:rsid w:val="00995EBF"/>
    <w:rsid w:val="00995F44"/>
    <w:rsid w:val="009961D1"/>
    <w:rsid w:val="00996307"/>
    <w:rsid w:val="0099643A"/>
    <w:rsid w:val="00996E57"/>
    <w:rsid w:val="00996F2C"/>
    <w:rsid w:val="00997073"/>
    <w:rsid w:val="009977A8"/>
    <w:rsid w:val="009A0E2C"/>
    <w:rsid w:val="009A1230"/>
    <w:rsid w:val="009A1336"/>
    <w:rsid w:val="009A160B"/>
    <w:rsid w:val="009A1CE7"/>
    <w:rsid w:val="009A1E02"/>
    <w:rsid w:val="009A239E"/>
    <w:rsid w:val="009A24A7"/>
    <w:rsid w:val="009A2F54"/>
    <w:rsid w:val="009A3789"/>
    <w:rsid w:val="009A37CC"/>
    <w:rsid w:val="009A3C70"/>
    <w:rsid w:val="009A3CCB"/>
    <w:rsid w:val="009A479C"/>
    <w:rsid w:val="009A544B"/>
    <w:rsid w:val="009A653E"/>
    <w:rsid w:val="009A6661"/>
    <w:rsid w:val="009A70AC"/>
    <w:rsid w:val="009A7A48"/>
    <w:rsid w:val="009B075F"/>
    <w:rsid w:val="009B093B"/>
    <w:rsid w:val="009B0E2B"/>
    <w:rsid w:val="009B1607"/>
    <w:rsid w:val="009B1788"/>
    <w:rsid w:val="009B1D06"/>
    <w:rsid w:val="009B1F16"/>
    <w:rsid w:val="009B2CD9"/>
    <w:rsid w:val="009B3BFA"/>
    <w:rsid w:val="009B3F96"/>
    <w:rsid w:val="009B41F6"/>
    <w:rsid w:val="009B4A69"/>
    <w:rsid w:val="009B53F8"/>
    <w:rsid w:val="009B5587"/>
    <w:rsid w:val="009B56D6"/>
    <w:rsid w:val="009B594A"/>
    <w:rsid w:val="009B5964"/>
    <w:rsid w:val="009B59D6"/>
    <w:rsid w:val="009B649B"/>
    <w:rsid w:val="009B6522"/>
    <w:rsid w:val="009B6693"/>
    <w:rsid w:val="009B6B8C"/>
    <w:rsid w:val="009B7D12"/>
    <w:rsid w:val="009B7E39"/>
    <w:rsid w:val="009B7EBF"/>
    <w:rsid w:val="009C091F"/>
    <w:rsid w:val="009C0F2F"/>
    <w:rsid w:val="009C1112"/>
    <w:rsid w:val="009C234E"/>
    <w:rsid w:val="009C2886"/>
    <w:rsid w:val="009C2E8C"/>
    <w:rsid w:val="009C2EEC"/>
    <w:rsid w:val="009C2F64"/>
    <w:rsid w:val="009C3386"/>
    <w:rsid w:val="009C3489"/>
    <w:rsid w:val="009C364D"/>
    <w:rsid w:val="009C3BAF"/>
    <w:rsid w:val="009C3E5C"/>
    <w:rsid w:val="009C429A"/>
    <w:rsid w:val="009C469F"/>
    <w:rsid w:val="009C4A58"/>
    <w:rsid w:val="009C4D79"/>
    <w:rsid w:val="009C4DF6"/>
    <w:rsid w:val="009C5310"/>
    <w:rsid w:val="009C5717"/>
    <w:rsid w:val="009C572B"/>
    <w:rsid w:val="009C6430"/>
    <w:rsid w:val="009C6991"/>
    <w:rsid w:val="009C7DB7"/>
    <w:rsid w:val="009D073A"/>
    <w:rsid w:val="009D0E70"/>
    <w:rsid w:val="009D0F51"/>
    <w:rsid w:val="009D11D0"/>
    <w:rsid w:val="009D121B"/>
    <w:rsid w:val="009D1382"/>
    <w:rsid w:val="009D163A"/>
    <w:rsid w:val="009D19DF"/>
    <w:rsid w:val="009D1B28"/>
    <w:rsid w:val="009D1DC0"/>
    <w:rsid w:val="009D1F21"/>
    <w:rsid w:val="009D305E"/>
    <w:rsid w:val="009D33C4"/>
    <w:rsid w:val="009D4392"/>
    <w:rsid w:val="009D4784"/>
    <w:rsid w:val="009D4F24"/>
    <w:rsid w:val="009D51DB"/>
    <w:rsid w:val="009D5718"/>
    <w:rsid w:val="009D57C5"/>
    <w:rsid w:val="009D6C01"/>
    <w:rsid w:val="009D71A9"/>
    <w:rsid w:val="009E0207"/>
    <w:rsid w:val="009E137F"/>
    <w:rsid w:val="009E1717"/>
    <w:rsid w:val="009E1737"/>
    <w:rsid w:val="009E1F38"/>
    <w:rsid w:val="009E22C8"/>
    <w:rsid w:val="009E2537"/>
    <w:rsid w:val="009E26BA"/>
    <w:rsid w:val="009E3052"/>
    <w:rsid w:val="009E38E5"/>
    <w:rsid w:val="009E3EDF"/>
    <w:rsid w:val="009E4189"/>
    <w:rsid w:val="009E41C0"/>
    <w:rsid w:val="009E4261"/>
    <w:rsid w:val="009E4561"/>
    <w:rsid w:val="009E492A"/>
    <w:rsid w:val="009E4A46"/>
    <w:rsid w:val="009E5246"/>
    <w:rsid w:val="009E60DC"/>
    <w:rsid w:val="009E62BC"/>
    <w:rsid w:val="009E6B21"/>
    <w:rsid w:val="009E7E3B"/>
    <w:rsid w:val="009E7F6E"/>
    <w:rsid w:val="009F0336"/>
    <w:rsid w:val="009F0427"/>
    <w:rsid w:val="009F0538"/>
    <w:rsid w:val="009F0770"/>
    <w:rsid w:val="009F08AD"/>
    <w:rsid w:val="009F08EA"/>
    <w:rsid w:val="009F0F10"/>
    <w:rsid w:val="009F16BE"/>
    <w:rsid w:val="009F1EF6"/>
    <w:rsid w:val="009F20AA"/>
    <w:rsid w:val="009F222B"/>
    <w:rsid w:val="009F31F9"/>
    <w:rsid w:val="009F4657"/>
    <w:rsid w:val="009F47EE"/>
    <w:rsid w:val="009F52F8"/>
    <w:rsid w:val="009F5AE6"/>
    <w:rsid w:val="009F63AD"/>
    <w:rsid w:val="009F65AA"/>
    <w:rsid w:val="009F6689"/>
    <w:rsid w:val="009F6CF0"/>
    <w:rsid w:val="009F6E1C"/>
    <w:rsid w:val="009F6FE1"/>
    <w:rsid w:val="009F786D"/>
    <w:rsid w:val="009F7911"/>
    <w:rsid w:val="009F7914"/>
    <w:rsid w:val="009F7969"/>
    <w:rsid w:val="009F7975"/>
    <w:rsid w:val="009F7E9D"/>
    <w:rsid w:val="00A000F7"/>
    <w:rsid w:val="00A0019D"/>
    <w:rsid w:val="00A0186E"/>
    <w:rsid w:val="00A01A83"/>
    <w:rsid w:val="00A03400"/>
    <w:rsid w:val="00A036B7"/>
    <w:rsid w:val="00A03D88"/>
    <w:rsid w:val="00A03F0B"/>
    <w:rsid w:val="00A04090"/>
    <w:rsid w:val="00A0419E"/>
    <w:rsid w:val="00A04598"/>
    <w:rsid w:val="00A048D3"/>
    <w:rsid w:val="00A04B28"/>
    <w:rsid w:val="00A04F28"/>
    <w:rsid w:val="00A0524F"/>
    <w:rsid w:val="00A05323"/>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4E4F"/>
    <w:rsid w:val="00A1568B"/>
    <w:rsid w:val="00A15FF1"/>
    <w:rsid w:val="00A16253"/>
    <w:rsid w:val="00A16714"/>
    <w:rsid w:val="00A16AD0"/>
    <w:rsid w:val="00A17306"/>
    <w:rsid w:val="00A17313"/>
    <w:rsid w:val="00A1783B"/>
    <w:rsid w:val="00A2002E"/>
    <w:rsid w:val="00A20470"/>
    <w:rsid w:val="00A206FD"/>
    <w:rsid w:val="00A20FD7"/>
    <w:rsid w:val="00A210D9"/>
    <w:rsid w:val="00A21829"/>
    <w:rsid w:val="00A219F1"/>
    <w:rsid w:val="00A21D9A"/>
    <w:rsid w:val="00A22940"/>
    <w:rsid w:val="00A22950"/>
    <w:rsid w:val="00A229C8"/>
    <w:rsid w:val="00A2329B"/>
    <w:rsid w:val="00A2370B"/>
    <w:rsid w:val="00A2472D"/>
    <w:rsid w:val="00A26534"/>
    <w:rsid w:val="00A2659A"/>
    <w:rsid w:val="00A266CB"/>
    <w:rsid w:val="00A268E3"/>
    <w:rsid w:val="00A26A4F"/>
    <w:rsid w:val="00A26BEB"/>
    <w:rsid w:val="00A270A2"/>
    <w:rsid w:val="00A27391"/>
    <w:rsid w:val="00A27427"/>
    <w:rsid w:val="00A2768A"/>
    <w:rsid w:val="00A279AE"/>
    <w:rsid w:val="00A27C79"/>
    <w:rsid w:val="00A27EE9"/>
    <w:rsid w:val="00A307C0"/>
    <w:rsid w:val="00A311B3"/>
    <w:rsid w:val="00A319DD"/>
    <w:rsid w:val="00A324D6"/>
    <w:rsid w:val="00A32761"/>
    <w:rsid w:val="00A32F0E"/>
    <w:rsid w:val="00A3321E"/>
    <w:rsid w:val="00A335F2"/>
    <w:rsid w:val="00A336DF"/>
    <w:rsid w:val="00A33A79"/>
    <w:rsid w:val="00A33D55"/>
    <w:rsid w:val="00A33EB4"/>
    <w:rsid w:val="00A35EA3"/>
    <w:rsid w:val="00A36770"/>
    <w:rsid w:val="00A36A24"/>
    <w:rsid w:val="00A36C2B"/>
    <w:rsid w:val="00A36F4E"/>
    <w:rsid w:val="00A3790E"/>
    <w:rsid w:val="00A37D61"/>
    <w:rsid w:val="00A40465"/>
    <w:rsid w:val="00A40718"/>
    <w:rsid w:val="00A40C28"/>
    <w:rsid w:val="00A40FC0"/>
    <w:rsid w:val="00A41195"/>
    <w:rsid w:val="00A41365"/>
    <w:rsid w:val="00A416CA"/>
    <w:rsid w:val="00A419C1"/>
    <w:rsid w:val="00A42BB1"/>
    <w:rsid w:val="00A43B64"/>
    <w:rsid w:val="00A440B1"/>
    <w:rsid w:val="00A4450C"/>
    <w:rsid w:val="00A448C2"/>
    <w:rsid w:val="00A44B6B"/>
    <w:rsid w:val="00A454F0"/>
    <w:rsid w:val="00A4563E"/>
    <w:rsid w:val="00A46176"/>
    <w:rsid w:val="00A46521"/>
    <w:rsid w:val="00A467AE"/>
    <w:rsid w:val="00A46E29"/>
    <w:rsid w:val="00A46E5F"/>
    <w:rsid w:val="00A47390"/>
    <w:rsid w:val="00A47766"/>
    <w:rsid w:val="00A47F1C"/>
    <w:rsid w:val="00A50246"/>
    <w:rsid w:val="00A50CDF"/>
    <w:rsid w:val="00A50F1F"/>
    <w:rsid w:val="00A51A11"/>
    <w:rsid w:val="00A51D73"/>
    <w:rsid w:val="00A51D80"/>
    <w:rsid w:val="00A52266"/>
    <w:rsid w:val="00A53277"/>
    <w:rsid w:val="00A53382"/>
    <w:rsid w:val="00A53813"/>
    <w:rsid w:val="00A53932"/>
    <w:rsid w:val="00A53B77"/>
    <w:rsid w:val="00A542BE"/>
    <w:rsid w:val="00A5456A"/>
    <w:rsid w:val="00A54F9B"/>
    <w:rsid w:val="00A55B5C"/>
    <w:rsid w:val="00A55EA8"/>
    <w:rsid w:val="00A56122"/>
    <w:rsid w:val="00A561AC"/>
    <w:rsid w:val="00A57727"/>
    <w:rsid w:val="00A57842"/>
    <w:rsid w:val="00A57987"/>
    <w:rsid w:val="00A60164"/>
    <w:rsid w:val="00A6036B"/>
    <w:rsid w:val="00A61040"/>
    <w:rsid w:val="00A61C60"/>
    <w:rsid w:val="00A61C79"/>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67C6A"/>
    <w:rsid w:val="00A70830"/>
    <w:rsid w:val="00A70E5D"/>
    <w:rsid w:val="00A70FC2"/>
    <w:rsid w:val="00A71339"/>
    <w:rsid w:val="00A72031"/>
    <w:rsid w:val="00A72A13"/>
    <w:rsid w:val="00A73A57"/>
    <w:rsid w:val="00A7465D"/>
    <w:rsid w:val="00A74683"/>
    <w:rsid w:val="00A74E13"/>
    <w:rsid w:val="00A755D8"/>
    <w:rsid w:val="00A75A80"/>
    <w:rsid w:val="00A75DB0"/>
    <w:rsid w:val="00A764F2"/>
    <w:rsid w:val="00A76FEF"/>
    <w:rsid w:val="00A77188"/>
    <w:rsid w:val="00A774FF"/>
    <w:rsid w:val="00A77994"/>
    <w:rsid w:val="00A779BC"/>
    <w:rsid w:val="00A80267"/>
    <w:rsid w:val="00A804BA"/>
    <w:rsid w:val="00A80DCA"/>
    <w:rsid w:val="00A80EF6"/>
    <w:rsid w:val="00A8159E"/>
    <w:rsid w:val="00A815CD"/>
    <w:rsid w:val="00A8174F"/>
    <w:rsid w:val="00A824A6"/>
    <w:rsid w:val="00A82E9C"/>
    <w:rsid w:val="00A836BF"/>
    <w:rsid w:val="00A83879"/>
    <w:rsid w:val="00A83B2E"/>
    <w:rsid w:val="00A83B4A"/>
    <w:rsid w:val="00A844BE"/>
    <w:rsid w:val="00A84518"/>
    <w:rsid w:val="00A848EE"/>
    <w:rsid w:val="00A84B87"/>
    <w:rsid w:val="00A85DBC"/>
    <w:rsid w:val="00A8600F"/>
    <w:rsid w:val="00A86065"/>
    <w:rsid w:val="00A86124"/>
    <w:rsid w:val="00A86D04"/>
    <w:rsid w:val="00A872C1"/>
    <w:rsid w:val="00A874C7"/>
    <w:rsid w:val="00A87F33"/>
    <w:rsid w:val="00A90291"/>
    <w:rsid w:val="00A90538"/>
    <w:rsid w:val="00A908DD"/>
    <w:rsid w:val="00A9097A"/>
    <w:rsid w:val="00A90CDA"/>
    <w:rsid w:val="00A91F8E"/>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55FC"/>
    <w:rsid w:val="00AA6B6E"/>
    <w:rsid w:val="00AA6D00"/>
    <w:rsid w:val="00AA7280"/>
    <w:rsid w:val="00AA740C"/>
    <w:rsid w:val="00AA7E3D"/>
    <w:rsid w:val="00AB0229"/>
    <w:rsid w:val="00AB09CC"/>
    <w:rsid w:val="00AB1649"/>
    <w:rsid w:val="00AB2838"/>
    <w:rsid w:val="00AB2893"/>
    <w:rsid w:val="00AB3025"/>
    <w:rsid w:val="00AB4218"/>
    <w:rsid w:val="00AB4D7C"/>
    <w:rsid w:val="00AB51FF"/>
    <w:rsid w:val="00AB614E"/>
    <w:rsid w:val="00AB6B98"/>
    <w:rsid w:val="00AB739E"/>
    <w:rsid w:val="00AB751A"/>
    <w:rsid w:val="00AB7C55"/>
    <w:rsid w:val="00AB7F89"/>
    <w:rsid w:val="00AC18F6"/>
    <w:rsid w:val="00AC1A00"/>
    <w:rsid w:val="00AC1D67"/>
    <w:rsid w:val="00AC1F3C"/>
    <w:rsid w:val="00AC28D3"/>
    <w:rsid w:val="00AC2B6D"/>
    <w:rsid w:val="00AC30A5"/>
    <w:rsid w:val="00AC315C"/>
    <w:rsid w:val="00AC3373"/>
    <w:rsid w:val="00AC33D1"/>
    <w:rsid w:val="00AC3408"/>
    <w:rsid w:val="00AC35CF"/>
    <w:rsid w:val="00AC3F19"/>
    <w:rsid w:val="00AC437D"/>
    <w:rsid w:val="00AC4640"/>
    <w:rsid w:val="00AC5A9F"/>
    <w:rsid w:val="00AC5D32"/>
    <w:rsid w:val="00AC5E42"/>
    <w:rsid w:val="00AC5F79"/>
    <w:rsid w:val="00AC6139"/>
    <w:rsid w:val="00AC6AD7"/>
    <w:rsid w:val="00AC6AD9"/>
    <w:rsid w:val="00AC73A5"/>
    <w:rsid w:val="00AC7778"/>
    <w:rsid w:val="00AC7C8E"/>
    <w:rsid w:val="00AD0355"/>
    <w:rsid w:val="00AD0D14"/>
    <w:rsid w:val="00AD1426"/>
    <w:rsid w:val="00AD1623"/>
    <w:rsid w:val="00AD1B47"/>
    <w:rsid w:val="00AD23DD"/>
    <w:rsid w:val="00AD25A0"/>
    <w:rsid w:val="00AD2DE7"/>
    <w:rsid w:val="00AD2E18"/>
    <w:rsid w:val="00AD31E1"/>
    <w:rsid w:val="00AD3D8F"/>
    <w:rsid w:val="00AD3E91"/>
    <w:rsid w:val="00AD4148"/>
    <w:rsid w:val="00AD489B"/>
    <w:rsid w:val="00AD4B4A"/>
    <w:rsid w:val="00AD4C39"/>
    <w:rsid w:val="00AD5407"/>
    <w:rsid w:val="00AD5676"/>
    <w:rsid w:val="00AD5AFA"/>
    <w:rsid w:val="00AD5CCC"/>
    <w:rsid w:val="00AD65A7"/>
    <w:rsid w:val="00AD6EA1"/>
    <w:rsid w:val="00AD6F97"/>
    <w:rsid w:val="00AD7AAD"/>
    <w:rsid w:val="00AE0176"/>
    <w:rsid w:val="00AE0E06"/>
    <w:rsid w:val="00AE1989"/>
    <w:rsid w:val="00AE1DDE"/>
    <w:rsid w:val="00AE3219"/>
    <w:rsid w:val="00AE3A80"/>
    <w:rsid w:val="00AE3C09"/>
    <w:rsid w:val="00AE479D"/>
    <w:rsid w:val="00AE4A18"/>
    <w:rsid w:val="00AE4BCE"/>
    <w:rsid w:val="00AE4D1B"/>
    <w:rsid w:val="00AE4D73"/>
    <w:rsid w:val="00AE5129"/>
    <w:rsid w:val="00AE59E7"/>
    <w:rsid w:val="00AE659E"/>
    <w:rsid w:val="00AE6DEB"/>
    <w:rsid w:val="00AE6FD8"/>
    <w:rsid w:val="00AE76BA"/>
    <w:rsid w:val="00AE76EA"/>
    <w:rsid w:val="00AF04B2"/>
    <w:rsid w:val="00AF0516"/>
    <w:rsid w:val="00AF1205"/>
    <w:rsid w:val="00AF123C"/>
    <w:rsid w:val="00AF148C"/>
    <w:rsid w:val="00AF14EA"/>
    <w:rsid w:val="00AF1A22"/>
    <w:rsid w:val="00AF1C16"/>
    <w:rsid w:val="00AF239A"/>
    <w:rsid w:val="00AF397A"/>
    <w:rsid w:val="00AF4215"/>
    <w:rsid w:val="00AF42C6"/>
    <w:rsid w:val="00AF42FB"/>
    <w:rsid w:val="00AF4B3C"/>
    <w:rsid w:val="00AF4E6A"/>
    <w:rsid w:val="00AF4FD3"/>
    <w:rsid w:val="00AF55A3"/>
    <w:rsid w:val="00AF5ED1"/>
    <w:rsid w:val="00AF6240"/>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20C"/>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26B"/>
    <w:rsid w:val="00B11C93"/>
    <w:rsid w:val="00B1218A"/>
    <w:rsid w:val="00B122D2"/>
    <w:rsid w:val="00B125EA"/>
    <w:rsid w:val="00B1295D"/>
    <w:rsid w:val="00B136AF"/>
    <w:rsid w:val="00B13987"/>
    <w:rsid w:val="00B140F6"/>
    <w:rsid w:val="00B141EF"/>
    <w:rsid w:val="00B14849"/>
    <w:rsid w:val="00B1484E"/>
    <w:rsid w:val="00B15A9C"/>
    <w:rsid w:val="00B15C2B"/>
    <w:rsid w:val="00B1632B"/>
    <w:rsid w:val="00B16489"/>
    <w:rsid w:val="00B16C7E"/>
    <w:rsid w:val="00B17850"/>
    <w:rsid w:val="00B20315"/>
    <w:rsid w:val="00B2077F"/>
    <w:rsid w:val="00B207E8"/>
    <w:rsid w:val="00B20BE6"/>
    <w:rsid w:val="00B2166D"/>
    <w:rsid w:val="00B21E44"/>
    <w:rsid w:val="00B22F6A"/>
    <w:rsid w:val="00B233B7"/>
    <w:rsid w:val="00B24AEB"/>
    <w:rsid w:val="00B24BD6"/>
    <w:rsid w:val="00B24CEA"/>
    <w:rsid w:val="00B2545D"/>
    <w:rsid w:val="00B25569"/>
    <w:rsid w:val="00B25947"/>
    <w:rsid w:val="00B25DE2"/>
    <w:rsid w:val="00B26106"/>
    <w:rsid w:val="00B2610F"/>
    <w:rsid w:val="00B2631F"/>
    <w:rsid w:val="00B271B6"/>
    <w:rsid w:val="00B274B5"/>
    <w:rsid w:val="00B279BB"/>
    <w:rsid w:val="00B27B97"/>
    <w:rsid w:val="00B27CBA"/>
    <w:rsid w:val="00B303DA"/>
    <w:rsid w:val="00B306CF"/>
    <w:rsid w:val="00B3085B"/>
    <w:rsid w:val="00B30A8D"/>
    <w:rsid w:val="00B30C05"/>
    <w:rsid w:val="00B30C8E"/>
    <w:rsid w:val="00B3199F"/>
    <w:rsid w:val="00B31FF7"/>
    <w:rsid w:val="00B32F68"/>
    <w:rsid w:val="00B33964"/>
    <w:rsid w:val="00B33C7B"/>
    <w:rsid w:val="00B33D20"/>
    <w:rsid w:val="00B33EBF"/>
    <w:rsid w:val="00B33FBB"/>
    <w:rsid w:val="00B34224"/>
    <w:rsid w:val="00B3434C"/>
    <w:rsid w:val="00B34B95"/>
    <w:rsid w:val="00B34DD4"/>
    <w:rsid w:val="00B3507A"/>
    <w:rsid w:val="00B3531A"/>
    <w:rsid w:val="00B35336"/>
    <w:rsid w:val="00B36DCD"/>
    <w:rsid w:val="00B3715B"/>
    <w:rsid w:val="00B37169"/>
    <w:rsid w:val="00B378E4"/>
    <w:rsid w:val="00B37993"/>
    <w:rsid w:val="00B37CAA"/>
    <w:rsid w:val="00B37E7D"/>
    <w:rsid w:val="00B410BE"/>
    <w:rsid w:val="00B410D5"/>
    <w:rsid w:val="00B41856"/>
    <w:rsid w:val="00B41AA1"/>
    <w:rsid w:val="00B41C40"/>
    <w:rsid w:val="00B42A27"/>
    <w:rsid w:val="00B431D1"/>
    <w:rsid w:val="00B43AAC"/>
    <w:rsid w:val="00B4468A"/>
    <w:rsid w:val="00B455DD"/>
    <w:rsid w:val="00B46718"/>
    <w:rsid w:val="00B46D60"/>
    <w:rsid w:val="00B46DE6"/>
    <w:rsid w:val="00B47977"/>
    <w:rsid w:val="00B47D93"/>
    <w:rsid w:val="00B505CC"/>
    <w:rsid w:val="00B506D0"/>
    <w:rsid w:val="00B50B9C"/>
    <w:rsid w:val="00B50E42"/>
    <w:rsid w:val="00B514AB"/>
    <w:rsid w:val="00B515F7"/>
    <w:rsid w:val="00B528AE"/>
    <w:rsid w:val="00B53972"/>
    <w:rsid w:val="00B54607"/>
    <w:rsid w:val="00B54771"/>
    <w:rsid w:val="00B54862"/>
    <w:rsid w:val="00B54880"/>
    <w:rsid w:val="00B55A82"/>
    <w:rsid w:val="00B55CA9"/>
    <w:rsid w:val="00B55F8D"/>
    <w:rsid w:val="00B56409"/>
    <w:rsid w:val="00B566E7"/>
    <w:rsid w:val="00B577C3"/>
    <w:rsid w:val="00B5785F"/>
    <w:rsid w:val="00B603FF"/>
    <w:rsid w:val="00B606A8"/>
    <w:rsid w:val="00B61757"/>
    <w:rsid w:val="00B61E88"/>
    <w:rsid w:val="00B6201D"/>
    <w:rsid w:val="00B6269D"/>
    <w:rsid w:val="00B62B83"/>
    <w:rsid w:val="00B63007"/>
    <w:rsid w:val="00B64139"/>
    <w:rsid w:val="00B64C12"/>
    <w:rsid w:val="00B654AD"/>
    <w:rsid w:val="00B658B3"/>
    <w:rsid w:val="00B6594E"/>
    <w:rsid w:val="00B65C90"/>
    <w:rsid w:val="00B65DA5"/>
    <w:rsid w:val="00B65DF6"/>
    <w:rsid w:val="00B667CA"/>
    <w:rsid w:val="00B66B72"/>
    <w:rsid w:val="00B66B85"/>
    <w:rsid w:val="00B670AC"/>
    <w:rsid w:val="00B67170"/>
    <w:rsid w:val="00B674E9"/>
    <w:rsid w:val="00B676AF"/>
    <w:rsid w:val="00B67832"/>
    <w:rsid w:val="00B679D4"/>
    <w:rsid w:val="00B67D56"/>
    <w:rsid w:val="00B70AD2"/>
    <w:rsid w:val="00B70CF2"/>
    <w:rsid w:val="00B70DAF"/>
    <w:rsid w:val="00B71F5D"/>
    <w:rsid w:val="00B72530"/>
    <w:rsid w:val="00B7253A"/>
    <w:rsid w:val="00B72A19"/>
    <w:rsid w:val="00B72D7A"/>
    <w:rsid w:val="00B72DA4"/>
    <w:rsid w:val="00B72E1C"/>
    <w:rsid w:val="00B72F3C"/>
    <w:rsid w:val="00B7306F"/>
    <w:rsid w:val="00B73779"/>
    <w:rsid w:val="00B73FEE"/>
    <w:rsid w:val="00B73FF0"/>
    <w:rsid w:val="00B74D0A"/>
    <w:rsid w:val="00B74DD0"/>
    <w:rsid w:val="00B755B3"/>
    <w:rsid w:val="00B75D43"/>
    <w:rsid w:val="00B76FA5"/>
    <w:rsid w:val="00B76FEE"/>
    <w:rsid w:val="00B77013"/>
    <w:rsid w:val="00B771AD"/>
    <w:rsid w:val="00B77215"/>
    <w:rsid w:val="00B7765F"/>
    <w:rsid w:val="00B7783F"/>
    <w:rsid w:val="00B807B9"/>
    <w:rsid w:val="00B809FD"/>
    <w:rsid w:val="00B80A12"/>
    <w:rsid w:val="00B80CCB"/>
    <w:rsid w:val="00B80FCA"/>
    <w:rsid w:val="00B8123D"/>
    <w:rsid w:val="00B8137F"/>
    <w:rsid w:val="00B81562"/>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F7F"/>
    <w:rsid w:val="00B86FB3"/>
    <w:rsid w:val="00B8711C"/>
    <w:rsid w:val="00B8721A"/>
    <w:rsid w:val="00B872BE"/>
    <w:rsid w:val="00B87568"/>
    <w:rsid w:val="00B878DD"/>
    <w:rsid w:val="00B87B79"/>
    <w:rsid w:val="00B87BC8"/>
    <w:rsid w:val="00B90224"/>
    <w:rsid w:val="00B90337"/>
    <w:rsid w:val="00B90779"/>
    <w:rsid w:val="00B90CD6"/>
    <w:rsid w:val="00B90F4B"/>
    <w:rsid w:val="00B918CA"/>
    <w:rsid w:val="00B92049"/>
    <w:rsid w:val="00B934BA"/>
    <w:rsid w:val="00B937F7"/>
    <w:rsid w:val="00B93F30"/>
    <w:rsid w:val="00B943BE"/>
    <w:rsid w:val="00B94621"/>
    <w:rsid w:val="00B950CC"/>
    <w:rsid w:val="00B95830"/>
    <w:rsid w:val="00B9594E"/>
    <w:rsid w:val="00B95F9C"/>
    <w:rsid w:val="00B96082"/>
    <w:rsid w:val="00B967A5"/>
    <w:rsid w:val="00B9705C"/>
    <w:rsid w:val="00B971A2"/>
    <w:rsid w:val="00B9744E"/>
    <w:rsid w:val="00B979C3"/>
    <w:rsid w:val="00B979F1"/>
    <w:rsid w:val="00B97D95"/>
    <w:rsid w:val="00BA013F"/>
    <w:rsid w:val="00BA036B"/>
    <w:rsid w:val="00BA040B"/>
    <w:rsid w:val="00BA09B8"/>
    <w:rsid w:val="00BA11E1"/>
    <w:rsid w:val="00BA1B86"/>
    <w:rsid w:val="00BA1E04"/>
    <w:rsid w:val="00BA29FA"/>
    <w:rsid w:val="00BA31B7"/>
    <w:rsid w:val="00BA4839"/>
    <w:rsid w:val="00BA4B5B"/>
    <w:rsid w:val="00BA4CE5"/>
    <w:rsid w:val="00BA558E"/>
    <w:rsid w:val="00BA5B80"/>
    <w:rsid w:val="00BA5CC5"/>
    <w:rsid w:val="00BA6440"/>
    <w:rsid w:val="00BA6851"/>
    <w:rsid w:val="00BA7234"/>
    <w:rsid w:val="00BB0C17"/>
    <w:rsid w:val="00BB15DF"/>
    <w:rsid w:val="00BB17B6"/>
    <w:rsid w:val="00BB1922"/>
    <w:rsid w:val="00BB1F11"/>
    <w:rsid w:val="00BB2762"/>
    <w:rsid w:val="00BB2961"/>
    <w:rsid w:val="00BB296B"/>
    <w:rsid w:val="00BB2AF5"/>
    <w:rsid w:val="00BB3129"/>
    <w:rsid w:val="00BB3850"/>
    <w:rsid w:val="00BB3B2B"/>
    <w:rsid w:val="00BB3C9C"/>
    <w:rsid w:val="00BB3E7C"/>
    <w:rsid w:val="00BB41F3"/>
    <w:rsid w:val="00BB4988"/>
    <w:rsid w:val="00BB55D4"/>
    <w:rsid w:val="00BB628C"/>
    <w:rsid w:val="00BB660D"/>
    <w:rsid w:val="00BB66D7"/>
    <w:rsid w:val="00BB7133"/>
    <w:rsid w:val="00BB7574"/>
    <w:rsid w:val="00BB76C0"/>
    <w:rsid w:val="00BB78BC"/>
    <w:rsid w:val="00BC0603"/>
    <w:rsid w:val="00BC0662"/>
    <w:rsid w:val="00BC1F5B"/>
    <w:rsid w:val="00BC29D7"/>
    <w:rsid w:val="00BC32A0"/>
    <w:rsid w:val="00BC3345"/>
    <w:rsid w:val="00BC33EB"/>
    <w:rsid w:val="00BC3677"/>
    <w:rsid w:val="00BC3678"/>
    <w:rsid w:val="00BC5145"/>
    <w:rsid w:val="00BC514A"/>
    <w:rsid w:val="00BC6122"/>
    <w:rsid w:val="00BC6F43"/>
    <w:rsid w:val="00BC7118"/>
    <w:rsid w:val="00BC78E8"/>
    <w:rsid w:val="00BC799A"/>
    <w:rsid w:val="00BC7E61"/>
    <w:rsid w:val="00BD08ED"/>
    <w:rsid w:val="00BD15A1"/>
    <w:rsid w:val="00BD16AD"/>
    <w:rsid w:val="00BD1B91"/>
    <w:rsid w:val="00BD34C8"/>
    <w:rsid w:val="00BD3C46"/>
    <w:rsid w:val="00BD3D05"/>
    <w:rsid w:val="00BD444E"/>
    <w:rsid w:val="00BD48CA"/>
    <w:rsid w:val="00BD4CCC"/>
    <w:rsid w:val="00BD4F24"/>
    <w:rsid w:val="00BD559F"/>
    <w:rsid w:val="00BD59F0"/>
    <w:rsid w:val="00BD5A34"/>
    <w:rsid w:val="00BD5C2C"/>
    <w:rsid w:val="00BD5EC9"/>
    <w:rsid w:val="00BD6307"/>
    <w:rsid w:val="00BD6986"/>
    <w:rsid w:val="00BD69A8"/>
    <w:rsid w:val="00BD6D71"/>
    <w:rsid w:val="00BD7346"/>
    <w:rsid w:val="00BE0A46"/>
    <w:rsid w:val="00BE0C61"/>
    <w:rsid w:val="00BE1B19"/>
    <w:rsid w:val="00BE2049"/>
    <w:rsid w:val="00BE2374"/>
    <w:rsid w:val="00BE2D14"/>
    <w:rsid w:val="00BE2F7B"/>
    <w:rsid w:val="00BE359F"/>
    <w:rsid w:val="00BE36E8"/>
    <w:rsid w:val="00BE4311"/>
    <w:rsid w:val="00BE43DD"/>
    <w:rsid w:val="00BE4AC0"/>
    <w:rsid w:val="00BE4B82"/>
    <w:rsid w:val="00BE50D5"/>
    <w:rsid w:val="00BE6885"/>
    <w:rsid w:val="00BE74A1"/>
    <w:rsid w:val="00BF0498"/>
    <w:rsid w:val="00BF04E2"/>
    <w:rsid w:val="00BF05F5"/>
    <w:rsid w:val="00BF0741"/>
    <w:rsid w:val="00BF0953"/>
    <w:rsid w:val="00BF0AA1"/>
    <w:rsid w:val="00BF0C73"/>
    <w:rsid w:val="00BF17C6"/>
    <w:rsid w:val="00BF2136"/>
    <w:rsid w:val="00BF22AF"/>
    <w:rsid w:val="00BF3BEE"/>
    <w:rsid w:val="00BF3DE1"/>
    <w:rsid w:val="00BF43D6"/>
    <w:rsid w:val="00BF4458"/>
    <w:rsid w:val="00BF4610"/>
    <w:rsid w:val="00BF49B6"/>
    <w:rsid w:val="00BF5860"/>
    <w:rsid w:val="00BF7027"/>
    <w:rsid w:val="00BF7C30"/>
    <w:rsid w:val="00BF7D32"/>
    <w:rsid w:val="00C0035D"/>
    <w:rsid w:val="00C00911"/>
    <w:rsid w:val="00C00C29"/>
    <w:rsid w:val="00C00CE5"/>
    <w:rsid w:val="00C011F4"/>
    <w:rsid w:val="00C01582"/>
    <w:rsid w:val="00C01B67"/>
    <w:rsid w:val="00C01D00"/>
    <w:rsid w:val="00C025FA"/>
    <w:rsid w:val="00C026D4"/>
    <w:rsid w:val="00C02EAF"/>
    <w:rsid w:val="00C0348C"/>
    <w:rsid w:val="00C034A6"/>
    <w:rsid w:val="00C03C38"/>
    <w:rsid w:val="00C03C8F"/>
    <w:rsid w:val="00C03C98"/>
    <w:rsid w:val="00C04395"/>
    <w:rsid w:val="00C0491D"/>
    <w:rsid w:val="00C04A57"/>
    <w:rsid w:val="00C05273"/>
    <w:rsid w:val="00C05F65"/>
    <w:rsid w:val="00C06660"/>
    <w:rsid w:val="00C07289"/>
    <w:rsid w:val="00C0778F"/>
    <w:rsid w:val="00C07EFC"/>
    <w:rsid w:val="00C101BC"/>
    <w:rsid w:val="00C10615"/>
    <w:rsid w:val="00C112E9"/>
    <w:rsid w:val="00C123DD"/>
    <w:rsid w:val="00C13279"/>
    <w:rsid w:val="00C134D6"/>
    <w:rsid w:val="00C137F8"/>
    <w:rsid w:val="00C141BF"/>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EC2"/>
    <w:rsid w:val="00C24394"/>
    <w:rsid w:val="00C24812"/>
    <w:rsid w:val="00C2496E"/>
    <w:rsid w:val="00C24E85"/>
    <w:rsid w:val="00C25C36"/>
    <w:rsid w:val="00C25CCA"/>
    <w:rsid w:val="00C25FAF"/>
    <w:rsid w:val="00C266A4"/>
    <w:rsid w:val="00C270D7"/>
    <w:rsid w:val="00C27137"/>
    <w:rsid w:val="00C27564"/>
    <w:rsid w:val="00C30C8F"/>
    <w:rsid w:val="00C30D2B"/>
    <w:rsid w:val="00C318CA"/>
    <w:rsid w:val="00C31C5D"/>
    <w:rsid w:val="00C31D8E"/>
    <w:rsid w:val="00C31E6F"/>
    <w:rsid w:val="00C325CB"/>
    <w:rsid w:val="00C328C2"/>
    <w:rsid w:val="00C32A66"/>
    <w:rsid w:val="00C33105"/>
    <w:rsid w:val="00C33CC1"/>
    <w:rsid w:val="00C33E5A"/>
    <w:rsid w:val="00C33FD7"/>
    <w:rsid w:val="00C3426A"/>
    <w:rsid w:val="00C34689"/>
    <w:rsid w:val="00C3497F"/>
    <w:rsid w:val="00C34A6D"/>
    <w:rsid w:val="00C34C85"/>
    <w:rsid w:val="00C34E4A"/>
    <w:rsid w:val="00C35AE5"/>
    <w:rsid w:val="00C35D78"/>
    <w:rsid w:val="00C36322"/>
    <w:rsid w:val="00C3642C"/>
    <w:rsid w:val="00C365C0"/>
    <w:rsid w:val="00C3697A"/>
    <w:rsid w:val="00C3749E"/>
    <w:rsid w:val="00C3790D"/>
    <w:rsid w:val="00C37B3C"/>
    <w:rsid w:val="00C37BA1"/>
    <w:rsid w:val="00C37F52"/>
    <w:rsid w:val="00C404FD"/>
    <w:rsid w:val="00C40FF2"/>
    <w:rsid w:val="00C41230"/>
    <w:rsid w:val="00C4147B"/>
    <w:rsid w:val="00C415C8"/>
    <w:rsid w:val="00C41601"/>
    <w:rsid w:val="00C41D22"/>
    <w:rsid w:val="00C438F5"/>
    <w:rsid w:val="00C43A50"/>
    <w:rsid w:val="00C43FA1"/>
    <w:rsid w:val="00C44144"/>
    <w:rsid w:val="00C4499B"/>
    <w:rsid w:val="00C4499F"/>
    <w:rsid w:val="00C44C9E"/>
    <w:rsid w:val="00C44CC6"/>
    <w:rsid w:val="00C44D28"/>
    <w:rsid w:val="00C44F23"/>
    <w:rsid w:val="00C455F5"/>
    <w:rsid w:val="00C45BD9"/>
    <w:rsid w:val="00C45C38"/>
    <w:rsid w:val="00C46436"/>
    <w:rsid w:val="00C46C30"/>
    <w:rsid w:val="00C46D5D"/>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77C"/>
    <w:rsid w:val="00C55AB5"/>
    <w:rsid w:val="00C55C93"/>
    <w:rsid w:val="00C55FA2"/>
    <w:rsid w:val="00C560CB"/>
    <w:rsid w:val="00C564B4"/>
    <w:rsid w:val="00C5788A"/>
    <w:rsid w:val="00C57958"/>
    <w:rsid w:val="00C60E05"/>
    <w:rsid w:val="00C61251"/>
    <w:rsid w:val="00C61DD9"/>
    <w:rsid w:val="00C626AE"/>
    <w:rsid w:val="00C62E45"/>
    <w:rsid w:val="00C6322C"/>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2EF"/>
    <w:rsid w:val="00C71753"/>
    <w:rsid w:val="00C71FAC"/>
    <w:rsid w:val="00C72202"/>
    <w:rsid w:val="00C723B7"/>
    <w:rsid w:val="00C72709"/>
    <w:rsid w:val="00C72A3F"/>
    <w:rsid w:val="00C74319"/>
    <w:rsid w:val="00C74793"/>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EC2"/>
    <w:rsid w:val="00C81240"/>
    <w:rsid w:val="00C81613"/>
    <w:rsid w:val="00C81FBF"/>
    <w:rsid w:val="00C82109"/>
    <w:rsid w:val="00C827D4"/>
    <w:rsid w:val="00C82C32"/>
    <w:rsid w:val="00C839DE"/>
    <w:rsid w:val="00C83BE6"/>
    <w:rsid w:val="00C83CE5"/>
    <w:rsid w:val="00C83E23"/>
    <w:rsid w:val="00C84335"/>
    <w:rsid w:val="00C84D1F"/>
    <w:rsid w:val="00C858ED"/>
    <w:rsid w:val="00C85A21"/>
    <w:rsid w:val="00C85EC7"/>
    <w:rsid w:val="00C86FD6"/>
    <w:rsid w:val="00C87577"/>
    <w:rsid w:val="00C8764E"/>
    <w:rsid w:val="00C87DB4"/>
    <w:rsid w:val="00C87FF3"/>
    <w:rsid w:val="00C90011"/>
    <w:rsid w:val="00C9019A"/>
    <w:rsid w:val="00C904FD"/>
    <w:rsid w:val="00C90AA5"/>
    <w:rsid w:val="00C92251"/>
    <w:rsid w:val="00C929C1"/>
    <w:rsid w:val="00C93076"/>
    <w:rsid w:val="00C9467E"/>
    <w:rsid w:val="00C94BFC"/>
    <w:rsid w:val="00C94FF6"/>
    <w:rsid w:val="00C9508B"/>
    <w:rsid w:val="00C95A55"/>
    <w:rsid w:val="00C95CDE"/>
    <w:rsid w:val="00C968DB"/>
    <w:rsid w:val="00C96FA1"/>
    <w:rsid w:val="00C9715E"/>
    <w:rsid w:val="00C97809"/>
    <w:rsid w:val="00CA0242"/>
    <w:rsid w:val="00CA0FC3"/>
    <w:rsid w:val="00CA19ED"/>
    <w:rsid w:val="00CA1A00"/>
    <w:rsid w:val="00CA1BF7"/>
    <w:rsid w:val="00CA1C7F"/>
    <w:rsid w:val="00CA2B5A"/>
    <w:rsid w:val="00CA30B0"/>
    <w:rsid w:val="00CA31AF"/>
    <w:rsid w:val="00CA3E06"/>
    <w:rsid w:val="00CA43FB"/>
    <w:rsid w:val="00CA4595"/>
    <w:rsid w:val="00CA4DDB"/>
    <w:rsid w:val="00CA65AD"/>
    <w:rsid w:val="00CA7100"/>
    <w:rsid w:val="00CA75B8"/>
    <w:rsid w:val="00CA7DDC"/>
    <w:rsid w:val="00CA7EB8"/>
    <w:rsid w:val="00CB0316"/>
    <w:rsid w:val="00CB0578"/>
    <w:rsid w:val="00CB0DC6"/>
    <w:rsid w:val="00CB1877"/>
    <w:rsid w:val="00CB1B32"/>
    <w:rsid w:val="00CB1EC5"/>
    <w:rsid w:val="00CB253E"/>
    <w:rsid w:val="00CB2DF7"/>
    <w:rsid w:val="00CB2EE5"/>
    <w:rsid w:val="00CB31BD"/>
    <w:rsid w:val="00CB339D"/>
    <w:rsid w:val="00CB4188"/>
    <w:rsid w:val="00CB43E8"/>
    <w:rsid w:val="00CB4DB6"/>
    <w:rsid w:val="00CB52B3"/>
    <w:rsid w:val="00CB52B8"/>
    <w:rsid w:val="00CB5381"/>
    <w:rsid w:val="00CB5A0E"/>
    <w:rsid w:val="00CB5FC7"/>
    <w:rsid w:val="00CB6C22"/>
    <w:rsid w:val="00CB6E83"/>
    <w:rsid w:val="00CB76A1"/>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DA5"/>
    <w:rsid w:val="00CC7EB6"/>
    <w:rsid w:val="00CD0B0F"/>
    <w:rsid w:val="00CD0D27"/>
    <w:rsid w:val="00CD0D4D"/>
    <w:rsid w:val="00CD0E0B"/>
    <w:rsid w:val="00CD0E85"/>
    <w:rsid w:val="00CD181F"/>
    <w:rsid w:val="00CD211A"/>
    <w:rsid w:val="00CD25E6"/>
    <w:rsid w:val="00CD27E8"/>
    <w:rsid w:val="00CD2BF8"/>
    <w:rsid w:val="00CD2CE6"/>
    <w:rsid w:val="00CD2D2A"/>
    <w:rsid w:val="00CD2E8E"/>
    <w:rsid w:val="00CD34E4"/>
    <w:rsid w:val="00CD387E"/>
    <w:rsid w:val="00CD3BBC"/>
    <w:rsid w:val="00CD4AFC"/>
    <w:rsid w:val="00CD4B98"/>
    <w:rsid w:val="00CD561C"/>
    <w:rsid w:val="00CD5BC4"/>
    <w:rsid w:val="00CD5E0C"/>
    <w:rsid w:val="00CD6060"/>
    <w:rsid w:val="00CD60D2"/>
    <w:rsid w:val="00CD60EB"/>
    <w:rsid w:val="00CD63B5"/>
    <w:rsid w:val="00CD690A"/>
    <w:rsid w:val="00CD6CA1"/>
    <w:rsid w:val="00CD6D65"/>
    <w:rsid w:val="00CD7B47"/>
    <w:rsid w:val="00CD7CFF"/>
    <w:rsid w:val="00CD7D25"/>
    <w:rsid w:val="00CD7F02"/>
    <w:rsid w:val="00CE048F"/>
    <w:rsid w:val="00CE0B5C"/>
    <w:rsid w:val="00CE0C77"/>
    <w:rsid w:val="00CE1A2A"/>
    <w:rsid w:val="00CE1B2A"/>
    <w:rsid w:val="00CE3244"/>
    <w:rsid w:val="00CE4737"/>
    <w:rsid w:val="00CE4885"/>
    <w:rsid w:val="00CE4E51"/>
    <w:rsid w:val="00CE5354"/>
    <w:rsid w:val="00CE67D2"/>
    <w:rsid w:val="00CE68EA"/>
    <w:rsid w:val="00CE6AC0"/>
    <w:rsid w:val="00CE6E78"/>
    <w:rsid w:val="00CE79A9"/>
    <w:rsid w:val="00CE7FD3"/>
    <w:rsid w:val="00CF02A2"/>
    <w:rsid w:val="00CF0C5C"/>
    <w:rsid w:val="00CF0D1A"/>
    <w:rsid w:val="00CF0D59"/>
    <w:rsid w:val="00CF0F60"/>
    <w:rsid w:val="00CF15A4"/>
    <w:rsid w:val="00CF241F"/>
    <w:rsid w:val="00CF2858"/>
    <w:rsid w:val="00CF28BD"/>
    <w:rsid w:val="00CF2F09"/>
    <w:rsid w:val="00CF318C"/>
    <w:rsid w:val="00CF34DA"/>
    <w:rsid w:val="00CF3562"/>
    <w:rsid w:val="00CF35A0"/>
    <w:rsid w:val="00CF38FD"/>
    <w:rsid w:val="00CF3C9D"/>
    <w:rsid w:val="00CF3E8E"/>
    <w:rsid w:val="00CF3EA6"/>
    <w:rsid w:val="00CF3FF0"/>
    <w:rsid w:val="00CF46D3"/>
    <w:rsid w:val="00CF4929"/>
    <w:rsid w:val="00CF4B77"/>
    <w:rsid w:val="00CF5069"/>
    <w:rsid w:val="00CF5700"/>
    <w:rsid w:val="00CF5A41"/>
    <w:rsid w:val="00CF5EEC"/>
    <w:rsid w:val="00CF6285"/>
    <w:rsid w:val="00CF67E8"/>
    <w:rsid w:val="00CF68EE"/>
    <w:rsid w:val="00CF6A87"/>
    <w:rsid w:val="00CF6E69"/>
    <w:rsid w:val="00CF7790"/>
    <w:rsid w:val="00D00334"/>
    <w:rsid w:val="00D003AA"/>
    <w:rsid w:val="00D0106B"/>
    <w:rsid w:val="00D0110D"/>
    <w:rsid w:val="00D01390"/>
    <w:rsid w:val="00D017CC"/>
    <w:rsid w:val="00D01CB6"/>
    <w:rsid w:val="00D02162"/>
    <w:rsid w:val="00D025C9"/>
    <w:rsid w:val="00D028A2"/>
    <w:rsid w:val="00D02C36"/>
    <w:rsid w:val="00D03172"/>
    <w:rsid w:val="00D031C6"/>
    <w:rsid w:val="00D0350A"/>
    <w:rsid w:val="00D0364D"/>
    <w:rsid w:val="00D039C8"/>
    <w:rsid w:val="00D03B59"/>
    <w:rsid w:val="00D042F1"/>
    <w:rsid w:val="00D04335"/>
    <w:rsid w:val="00D0507B"/>
    <w:rsid w:val="00D0535C"/>
    <w:rsid w:val="00D058AB"/>
    <w:rsid w:val="00D05B28"/>
    <w:rsid w:val="00D05B3B"/>
    <w:rsid w:val="00D05F5C"/>
    <w:rsid w:val="00D06597"/>
    <w:rsid w:val="00D065A1"/>
    <w:rsid w:val="00D06BBE"/>
    <w:rsid w:val="00D07445"/>
    <w:rsid w:val="00D10020"/>
    <w:rsid w:val="00D10D58"/>
    <w:rsid w:val="00D1171A"/>
    <w:rsid w:val="00D11D13"/>
    <w:rsid w:val="00D11DBF"/>
    <w:rsid w:val="00D1239F"/>
    <w:rsid w:val="00D1253A"/>
    <w:rsid w:val="00D126C6"/>
    <w:rsid w:val="00D12741"/>
    <w:rsid w:val="00D12BF9"/>
    <w:rsid w:val="00D12ED8"/>
    <w:rsid w:val="00D133AD"/>
    <w:rsid w:val="00D14122"/>
    <w:rsid w:val="00D150D1"/>
    <w:rsid w:val="00D15418"/>
    <w:rsid w:val="00D15657"/>
    <w:rsid w:val="00D15BB5"/>
    <w:rsid w:val="00D1613F"/>
    <w:rsid w:val="00D16C15"/>
    <w:rsid w:val="00D16F0F"/>
    <w:rsid w:val="00D21CF4"/>
    <w:rsid w:val="00D22202"/>
    <w:rsid w:val="00D2240E"/>
    <w:rsid w:val="00D2280E"/>
    <w:rsid w:val="00D22ADD"/>
    <w:rsid w:val="00D230D9"/>
    <w:rsid w:val="00D23353"/>
    <w:rsid w:val="00D235A7"/>
    <w:rsid w:val="00D238F4"/>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C4E"/>
    <w:rsid w:val="00D33274"/>
    <w:rsid w:val="00D33E04"/>
    <w:rsid w:val="00D34301"/>
    <w:rsid w:val="00D34AC1"/>
    <w:rsid w:val="00D34CCF"/>
    <w:rsid w:val="00D352D0"/>
    <w:rsid w:val="00D35614"/>
    <w:rsid w:val="00D3573B"/>
    <w:rsid w:val="00D35899"/>
    <w:rsid w:val="00D358D2"/>
    <w:rsid w:val="00D35A29"/>
    <w:rsid w:val="00D35A69"/>
    <w:rsid w:val="00D369B1"/>
    <w:rsid w:val="00D36C79"/>
    <w:rsid w:val="00D36DD6"/>
    <w:rsid w:val="00D36E6F"/>
    <w:rsid w:val="00D36EA1"/>
    <w:rsid w:val="00D37234"/>
    <w:rsid w:val="00D377A2"/>
    <w:rsid w:val="00D37A5A"/>
    <w:rsid w:val="00D400F3"/>
    <w:rsid w:val="00D411E4"/>
    <w:rsid w:val="00D412A8"/>
    <w:rsid w:val="00D4197E"/>
    <w:rsid w:val="00D41DFE"/>
    <w:rsid w:val="00D42347"/>
    <w:rsid w:val="00D4295A"/>
    <w:rsid w:val="00D42D47"/>
    <w:rsid w:val="00D42D96"/>
    <w:rsid w:val="00D43045"/>
    <w:rsid w:val="00D43F37"/>
    <w:rsid w:val="00D45103"/>
    <w:rsid w:val="00D45DA6"/>
    <w:rsid w:val="00D46170"/>
    <w:rsid w:val="00D46326"/>
    <w:rsid w:val="00D47568"/>
    <w:rsid w:val="00D47AD4"/>
    <w:rsid w:val="00D47BAD"/>
    <w:rsid w:val="00D50607"/>
    <w:rsid w:val="00D506AA"/>
    <w:rsid w:val="00D50900"/>
    <w:rsid w:val="00D5107C"/>
    <w:rsid w:val="00D5274D"/>
    <w:rsid w:val="00D52960"/>
    <w:rsid w:val="00D5297B"/>
    <w:rsid w:val="00D53529"/>
    <w:rsid w:val="00D53880"/>
    <w:rsid w:val="00D53C14"/>
    <w:rsid w:val="00D53E43"/>
    <w:rsid w:val="00D54295"/>
    <w:rsid w:val="00D54507"/>
    <w:rsid w:val="00D55C84"/>
    <w:rsid w:val="00D5611C"/>
    <w:rsid w:val="00D5680B"/>
    <w:rsid w:val="00D56D92"/>
    <w:rsid w:val="00D56EB2"/>
    <w:rsid w:val="00D57113"/>
    <w:rsid w:val="00D579AC"/>
    <w:rsid w:val="00D60099"/>
    <w:rsid w:val="00D60A7A"/>
    <w:rsid w:val="00D6136C"/>
    <w:rsid w:val="00D6208A"/>
    <w:rsid w:val="00D62193"/>
    <w:rsid w:val="00D62257"/>
    <w:rsid w:val="00D62442"/>
    <w:rsid w:val="00D62888"/>
    <w:rsid w:val="00D62ADB"/>
    <w:rsid w:val="00D6300B"/>
    <w:rsid w:val="00D632C9"/>
    <w:rsid w:val="00D634FD"/>
    <w:rsid w:val="00D6364C"/>
    <w:rsid w:val="00D638E0"/>
    <w:rsid w:val="00D63E73"/>
    <w:rsid w:val="00D6405C"/>
    <w:rsid w:val="00D6435D"/>
    <w:rsid w:val="00D6526A"/>
    <w:rsid w:val="00D65C51"/>
    <w:rsid w:val="00D65D5E"/>
    <w:rsid w:val="00D65EE4"/>
    <w:rsid w:val="00D6634D"/>
    <w:rsid w:val="00D663D5"/>
    <w:rsid w:val="00D6691D"/>
    <w:rsid w:val="00D66C86"/>
    <w:rsid w:val="00D67FA8"/>
    <w:rsid w:val="00D70026"/>
    <w:rsid w:val="00D700E9"/>
    <w:rsid w:val="00D714EB"/>
    <w:rsid w:val="00D719D6"/>
    <w:rsid w:val="00D71B3D"/>
    <w:rsid w:val="00D71CC7"/>
    <w:rsid w:val="00D71FB2"/>
    <w:rsid w:val="00D7226D"/>
    <w:rsid w:val="00D725F8"/>
    <w:rsid w:val="00D7261B"/>
    <w:rsid w:val="00D72D5A"/>
    <w:rsid w:val="00D73AB0"/>
    <w:rsid w:val="00D73B9F"/>
    <w:rsid w:val="00D73E9E"/>
    <w:rsid w:val="00D74391"/>
    <w:rsid w:val="00D74516"/>
    <w:rsid w:val="00D74A7A"/>
    <w:rsid w:val="00D74DE6"/>
    <w:rsid w:val="00D75137"/>
    <w:rsid w:val="00D75154"/>
    <w:rsid w:val="00D751CE"/>
    <w:rsid w:val="00D753E1"/>
    <w:rsid w:val="00D76089"/>
    <w:rsid w:val="00D7684C"/>
    <w:rsid w:val="00D76C15"/>
    <w:rsid w:val="00D772EA"/>
    <w:rsid w:val="00D77C2B"/>
    <w:rsid w:val="00D77E06"/>
    <w:rsid w:val="00D80E9E"/>
    <w:rsid w:val="00D81199"/>
    <w:rsid w:val="00D81759"/>
    <w:rsid w:val="00D81D6A"/>
    <w:rsid w:val="00D82213"/>
    <w:rsid w:val="00D825C0"/>
    <w:rsid w:val="00D82BDA"/>
    <w:rsid w:val="00D83B79"/>
    <w:rsid w:val="00D841BA"/>
    <w:rsid w:val="00D8464C"/>
    <w:rsid w:val="00D84A0D"/>
    <w:rsid w:val="00D84D26"/>
    <w:rsid w:val="00D85813"/>
    <w:rsid w:val="00D86327"/>
    <w:rsid w:val="00D873FF"/>
    <w:rsid w:val="00D8772F"/>
    <w:rsid w:val="00D877FE"/>
    <w:rsid w:val="00D87DED"/>
    <w:rsid w:val="00D87E47"/>
    <w:rsid w:val="00D904DD"/>
    <w:rsid w:val="00D90C0E"/>
    <w:rsid w:val="00D911CA"/>
    <w:rsid w:val="00D9156B"/>
    <w:rsid w:val="00D91CA0"/>
    <w:rsid w:val="00D91D2E"/>
    <w:rsid w:val="00D91DF6"/>
    <w:rsid w:val="00D92177"/>
    <w:rsid w:val="00D922BA"/>
    <w:rsid w:val="00D924D7"/>
    <w:rsid w:val="00D9306B"/>
    <w:rsid w:val="00D936A9"/>
    <w:rsid w:val="00D94577"/>
    <w:rsid w:val="00D94725"/>
    <w:rsid w:val="00D948A9"/>
    <w:rsid w:val="00D951DD"/>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747"/>
    <w:rsid w:val="00DA3916"/>
    <w:rsid w:val="00DA3CE3"/>
    <w:rsid w:val="00DA3EDE"/>
    <w:rsid w:val="00DA41E4"/>
    <w:rsid w:val="00DA4725"/>
    <w:rsid w:val="00DA484C"/>
    <w:rsid w:val="00DA5214"/>
    <w:rsid w:val="00DA5396"/>
    <w:rsid w:val="00DA55D7"/>
    <w:rsid w:val="00DA5FD3"/>
    <w:rsid w:val="00DA68D4"/>
    <w:rsid w:val="00DA6CBE"/>
    <w:rsid w:val="00DB0A3A"/>
    <w:rsid w:val="00DB111A"/>
    <w:rsid w:val="00DB1747"/>
    <w:rsid w:val="00DB1C70"/>
    <w:rsid w:val="00DB1C7D"/>
    <w:rsid w:val="00DB1D7F"/>
    <w:rsid w:val="00DB2F0A"/>
    <w:rsid w:val="00DB3046"/>
    <w:rsid w:val="00DB3C29"/>
    <w:rsid w:val="00DB409D"/>
    <w:rsid w:val="00DB414A"/>
    <w:rsid w:val="00DB4B86"/>
    <w:rsid w:val="00DB4D5B"/>
    <w:rsid w:val="00DB5F8D"/>
    <w:rsid w:val="00DB6622"/>
    <w:rsid w:val="00DB676B"/>
    <w:rsid w:val="00DB694B"/>
    <w:rsid w:val="00DB7198"/>
    <w:rsid w:val="00DB7286"/>
    <w:rsid w:val="00DB7539"/>
    <w:rsid w:val="00DB7628"/>
    <w:rsid w:val="00DB7A5E"/>
    <w:rsid w:val="00DB7EFC"/>
    <w:rsid w:val="00DB7F26"/>
    <w:rsid w:val="00DC075C"/>
    <w:rsid w:val="00DC0846"/>
    <w:rsid w:val="00DC15A5"/>
    <w:rsid w:val="00DC1798"/>
    <w:rsid w:val="00DC1A65"/>
    <w:rsid w:val="00DC2C88"/>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C7F93"/>
    <w:rsid w:val="00DD0856"/>
    <w:rsid w:val="00DD0F1E"/>
    <w:rsid w:val="00DD1A67"/>
    <w:rsid w:val="00DD24B7"/>
    <w:rsid w:val="00DD2991"/>
    <w:rsid w:val="00DD3AD4"/>
    <w:rsid w:val="00DD4816"/>
    <w:rsid w:val="00DD4B3B"/>
    <w:rsid w:val="00DD4C3D"/>
    <w:rsid w:val="00DD5B20"/>
    <w:rsid w:val="00DD6493"/>
    <w:rsid w:val="00DD6DB1"/>
    <w:rsid w:val="00DD6EF2"/>
    <w:rsid w:val="00DD70D1"/>
    <w:rsid w:val="00DD7F89"/>
    <w:rsid w:val="00DE0429"/>
    <w:rsid w:val="00DE0AAA"/>
    <w:rsid w:val="00DE1523"/>
    <w:rsid w:val="00DE15D8"/>
    <w:rsid w:val="00DE1B78"/>
    <w:rsid w:val="00DE1FC0"/>
    <w:rsid w:val="00DE28C9"/>
    <w:rsid w:val="00DE2F6D"/>
    <w:rsid w:val="00DE3010"/>
    <w:rsid w:val="00DE36E2"/>
    <w:rsid w:val="00DE3863"/>
    <w:rsid w:val="00DE39BC"/>
    <w:rsid w:val="00DE3FF3"/>
    <w:rsid w:val="00DE4214"/>
    <w:rsid w:val="00DE433B"/>
    <w:rsid w:val="00DE4849"/>
    <w:rsid w:val="00DE4D60"/>
    <w:rsid w:val="00DE5584"/>
    <w:rsid w:val="00DE5753"/>
    <w:rsid w:val="00DE5969"/>
    <w:rsid w:val="00DE5EDD"/>
    <w:rsid w:val="00DE64D3"/>
    <w:rsid w:val="00DE6542"/>
    <w:rsid w:val="00DE6738"/>
    <w:rsid w:val="00DE697D"/>
    <w:rsid w:val="00DE6CFD"/>
    <w:rsid w:val="00DE6EC8"/>
    <w:rsid w:val="00DE6F01"/>
    <w:rsid w:val="00DE740F"/>
    <w:rsid w:val="00DF0553"/>
    <w:rsid w:val="00DF0908"/>
    <w:rsid w:val="00DF0991"/>
    <w:rsid w:val="00DF0D95"/>
    <w:rsid w:val="00DF10C2"/>
    <w:rsid w:val="00DF19A7"/>
    <w:rsid w:val="00DF2CBC"/>
    <w:rsid w:val="00DF2CDE"/>
    <w:rsid w:val="00DF32CA"/>
    <w:rsid w:val="00DF3402"/>
    <w:rsid w:val="00DF3437"/>
    <w:rsid w:val="00DF3EB2"/>
    <w:rsid w:val="00DF470E"/>
    <w:rsid w:val="00DF4FD8"/>
    <w:rsid w:val="00DF5089"/>
    <w:rsid w:val="00DF50B2"/>
    <w:rsid w:val="00DF5D3C"/>
    <w:rsid w:val="00DF5FAD"/>
    <w:rsid w:val="00DF5FE5"/>
    <w:rsid w:val="00DF6729"/>
    <w:rsid w:val="00DF683A"/>
    <w:rsid w:val="00DF7E08"/>
    <w:rsid w:val="00DF7E59"/>
    <w:rsid w:val="00DF7F5B"/>
    <w:rsid w:val="00E0114C"/>
    <w:rsid w:val="00E018C3"/>
    <w:rsid w:val="00E01C53"/>
    <w:rsid w:val="00E02404"/>
    <w:rsid w:val="00E02A5D"/>
    <w:rsid w:val="00E02AFE"/>
    <w:rsid w:val="00E02B44"/>
    <w:rsid w:val="00E0349F"/>
    <w:rsid w:val="00E0397A"/>
    <w:rsid w:val="00E03C59"/>
    <w:rsid w:val="00E03DB3"/>
    <w:rsid w:val="00E04DFF"/>
    <w:rsid w:val="00E0520E"/>
    <w:rsid w:val="00E053A6"/>
    <w:rsid w:val="00E05865"/>
    <w:rsid w:val="00E0615B"/>
    <w:rsid w:val="00E06BC6"/>
    <w:rsid w:val="00E06CC1"/>
    <w:rsid w:val="00E06CFF"/>
    <w:rsid w:val="00E06D81"/>
    <w:rsid w:val="00E0713A"/>
    <w:rsid w:val="00E07540"/>
    <w:rsid w:val="00E078DF"/>
    <w:rsid w:val="00E07980"/>
    <w:rsid w:val="00E07ACA"/>
    <w:rsid w:val="00E07C6B"/>
    <w:rsid w:val="00E10627"/>
    <w:rsid w:val="00E10BE7"/>
    <w:rsid w:val="00E10C5A"/>
    <w:rsid w:val="00E10DCE"/>
    <w:rsid w:val="00E1137E"/>
    <w:rsid w:val="00E113B6"/>
    <w:rsid w:val="00E12536"/>
    <w:rsid w:val="00E128D9"/>
    <w:rsid w:val="00E129ED"/>
    <w:rsid w:val="00E12F28"/>
    <w:rsid w:val="00E13582"/>
    <w:rsid w:val="00E13C6E"/>
    <w:rsid w:val="00E13D12"/>
    <w:rsid w:val="00E14190"/>
    <w:rsid w:val="00E1450F"/>
    <w:rsid w:val="00E1457B"/>
    <w:rsid w:val="00E14592"/>
    <w:rsid w:val="00E1467B"/>
    <w:rsid w:val="00E14705"/>
    <w:rsid w:val="00E1493C"/>
    <w:rsid w:val="00E1511F"/>
    <w:rsid w:val="00E157FD"/>
    <w:rsid w:val="00E15911"/>
    <w:rsid w:val="00E16521"/>
    <w:rsid w:val="00E1663D"/>
    <w:rsid w:val="00E1670D"/>
    <w:rsid w:val="00E1701B"/>
    <w:rsid w:val="00E1752D"/>
    <w:rsid w:val="00E1796E"/>
    <w:rsid w:val="00E17C26"/>
    <w:rsid w:val="00E202C9"/>
    <w:rsid w:val="00E20417"/>
    <w:rsid w:val="00E20606"/>
    <w:rsid w:val="00E20771"/>
    <w:rsid w:val="00E207AB"/>
    <w:rsid w:val="00E2119A"/>
    <w:rsid w:val="00E218F4"/>
    <w:rsid w:val="00E21BBA"/>
    <w:rsid w:val="00E21F2E"/>
    <w:rsid w:val="00E21FDD"/>
    <w:rsid w:val="00E22E6C"/>
    <w:rsid w:val="00E23140"/>
    <w:rsid w:val="00E23618"/>
    <w:rsid w:val="00E23680"/>
    <w:rsid w:val="00E241A4"/>
    <w:rsid w:val="00E24DCE"/>
    <w:rsid w:val="00E25021"/>
    <w:rsid w:val="00E250C2"/>
    <w:rsid w:val="00E252BC"/>
    <w:rsid w:val="00E25770"/>
    <w:rsid w:val="00E25D36"/>
    <w:rsid w:val="00E264BC"/>
    <w:rsid w:val="00E26783"/>
    <w:rsid w:val="00E268E5"/>
    <w:rsid w:val="00E27071"/>
    <w:rsid w:val="00E30D01"/>
    <w:rsid w:val="00E31CA7"/>
    <w:rsid w:val="00E31D49"/>
    <w:rsid w:val="00E32078"/>
    <w:rsid w:val="00E3258B"/>
    <w:rsid w:val="00E327B0"/>
    <w:rsid w:val="00E328FB"/>
    <w:rsid w:val="00E32AFC"/>
    <w:rsid w:val="00E32B26"/>
    <w:rsid w:val="00E32B74"/>
    <w:rsid w:val="00E33343"/>
    <w:rsid w:val="00E33A73"/>
    <w:rsid w:val="00E33AB0"/>
    <w:rsid w:val="00E33D78"/>
    <w:rsid w:val="00E35B80"/>
    <w:rsid w:val="00E3699F"/>
    <w:rsid w:val="00E36CC5"/>
    <w:rsid w:val="00E3723D"/>
    <w:rsid w:val="00E37BBF"/>
    <w:rsid w:val="00E40223"/>
    <w:rsid w:val="00E403CC"/>
    <w:rsid w:val="00E404BD"/>
    <w:rsid w:val="00E40780"/>
    <w:rsid w:val="00E412F6"/>
    <w:rsid w:val="00E4132C"/>
    <w:rsid w:val="00E41B95"/>
    <w:rsid w:val="00E41BEE"/>
    <w:rsid w:val="00E42004"/>
    <w:rsid w:val="00E42221"/>
    <w:rsid w:val="00E4253A"/>
    <w:rsid w:val="00E42D59"/>
    <w:rsid w:val="00E436B8"/>
    <w:rsid w:val="00E43894"/>
    <w:rsid w:val="00E440A1"/>
    <w:rsid w:val="00E44391"/>
    <w:rsid w:val="00E45147"/>
    <w:rsid w:val="00E4544C"/>
    <w:rsid w:val="00E4571A"/>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458A"/>
    <w:rsid w:val="00E55161"/>
    <w:rsid w:val="00E5558C"/>
    <w:rsid w:val="00E55A79"/>
    <w:rsid w:val="00E5609B"/>
    <w:rsid w:val="00E561CF"/>
    <w:rsid w:val="00E562C7"/>
    <w:rsid w:val="00E566DE"/>
    <w:rsid w:val="00E56D99"/>
    <w:rsid w:val="00E575FE"/>
    <w:rsid w:val="00E57F7D"/>
    <w:rsid w:val="00E60560"/>
    <w:rsid w:val="00E62648"/>
    <w:rsid w:val="00E62B5F"/>
    <w:rsid w:val="00E62D38"/>
    <w:rsid w:val="00E6320F"/>
    <w:rsid w:val="00E6335B"/>
    <w:rsid w:val="00E633B4"/>
    <w:rsid w:val="00E6340F"/>
    <w:rsid w:val="00E639C5"/>
    <w:rsid w:val="00E64823"/>
    <w:rsid w:val="00E64959"/>
    <w:rsid w:val="00E654CD"/>
    <w:rsid w:val="00E654F3"/>
    <w:rsid w:val="00E660BD"/>
    <w:rsid w:val="00E66620"/>
    <w:rsid w:val="00E66703"/>
    <w:rsid w:val="00E66782"/>
    <w:rsid w:val="00E6718D"/>
    <w:rsid w:val="00E67404"/>
    <w:rsid w:val="00E679F7"/>
    <w:rsid w:val="00E70017"/>
    <w:rsid w:val="00E7036F"/>
    <w:rsid w:val="00E70DA1"/>
    <w:rsid w:val="00E70E55"/>
    <w:rsid w:val="00E71795"/>
    <w:rsid w:val="00E71A8A"/>
    <w:rsid w:val="00E71CFC"/>
    <w:rsid w:val="00E72EED"/>
    <w:rsid w:val="00E731FD"/>
    <w:rsid w:val="00E736A1"/>
    <w:rsid w:val="00E73E15"/>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EC6"/>
    <w:rsid w:val="00E778A8"/>
    <w:rsid w:val="00E779C0"/>
    <w:rsid w:val="00E77BA0"/>
    <w:rsid w:val="00E77EEF"/>
    <w:rsid w:val="00E80855"/>
    <w:rsid w:val="00E813F3"/>
    <w:rsid w:val="00E82089"/>
    <w:rsid w:val="00E824D6"/>
    <w:rsid w:val="00E824FC"/>
    <w:rsid w:val="00E82765"/>
    <w:rsid w:val="00E82A02"/>
    <w:rsid w:val="00E832CF"/>
    <w:rsid w:val="00E84183"/>
    <w:rsid w:val="00E84916"/>
    <w:rsid w:val="00E85EF7"/>
    <w:rsid w:val="00E86033"/>
    <w:rsid w:val="00E860FB"/>
    <w:rsid w:val="00E86325"/>
    <w:rsid w:val="00E86489"/>
    <w:rsid w:val="00E868E9"/>
    <w:rsid w:val="00E87994"/>
    <w:rsid w:val="00E87AF3"/>
    <w:rsid w:val="00E87DF6"/>
    <w:rsid w:val="00E87E06"/>
    <w:rsid w:val="00E90019"/>
    <w:rsid w:val="00E90040"/>
    <w:rsid w:val="00E905EF"/>
    <w:rsid w:val="00E90D55"/>
    <w:rsid w:val="00E917CF"/>
    <w:rsid w:val="00E91D5D"/>
    <w:rsid w:val="00E91DBE"/>
    <w:rsid w:val="00E922B1"/>
    <w:rsid w:val="00E92BC1"/>
    <w:rsid w:val="00E93D79"/>
    <w:rsid w:val="00E941DA"/>
    <w:rsid w:val="00E94437"/>
    <w:rsid w:val="00E944BF"/>
    <w:rsid w:val="00E948F1"/>
    <w:rsid w:val="00E95042"/>
    <w:rsid w:val="00E96109"/>
    <w:rsid w:val="00E963D2"/>
    <w:rsid w:val="00E9685D"/>
    <w:rsid w:val="00E97864"/>
    <w:rsid w:val="00E97A84"/>
    <w:rsid w:val="00E97B78"/>
    <w:rsid w:val="00EA03B7"/>
    <w:rsid w:val="00EA059C"/>
    <w:rsid w:val="00EA0B59"/>
    <w:rsid w:val="00EA153E"/>
    <w:rsid w:val="00EA1B16"/>
    <w:rsid w:val="00EA1E30"/>
    <w:rsid w:val="00EA1EC8"/>
    <w:rsid w:val="00EA2767"/>
    <w:rsid w:val="00EA2C1B"/>
    <w:rsid w:val="00EA2CC1"/>
    <w:rsid w:val="00EA41DE"/>
    <w:rsid w:val="00EA43C2"/>
    <w:rsid w:val="00EA44DD"/>
    <w:rsid w:val="00EA48C7"/>
    <w:rsid w:val="00EA4CDC"/>
    <w:rsid w:val="00EA646F"/>
    <w:rsid w:val="00EA69A7"/>
    <w:rsid w:val="00EA6A68"/>
    <w:rsid w:val="00EA6CEB"/>
    <w:rsid w:val="00EA75B5"/>
    <w:rsid w:val="00EA7C69"/>
    <w:rsid w:val="00EB0237"/>
    <w:rsid w:val="00EB040B"/>
    <w:rsid w:val="00EB0A9F"/>
    <w:rsid w:val="00EB0EC6"/>
    <w:rsid w:val="00EB0F13"/>
    <w:rsid w:val="00EB13DD"/>
    <w:rsid w:val="00EB1979"/>
    <w:rsid w:val="00EB1A3F"/>
    <w:rsid w:val="00EB1A5E"/>
    <w:rsid w:val="00EB1DBC"/>
    <w:rsid w:val="00EB2601"/>
    <w:rsid w:val="00EB2DD6"/>
    <w:rsid w:val="00EB343C"/>
    <w:rsid w:val="00EB37EF"/>
    <w:rsid w:val="00EB409E"/>
    <w:rsid w:val="00EB561A"/>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41B"/>
    <w:rsid w:val="00EC68C1"/>
    <w:rsid w:val="00EC6A5B"/>
    <w:rsid w:val="00EC6EB2"/>
    <w:rsid w:val="00EC6F5C"/>
    <w:rsid w:val="00EC78D7"/>
    <w:rsid w:val="00EC7944"/>
    <w:rsid w:val="00ED0A6D"/>
    <w:rsid w:val="00ED0B35"/>
    <w:rsid w:val="00ED0D4A"/>
    <w:rsid w:val="00ED0DB0"/>
    <w:rsid w:val="00ED1212"/>
    <w:rsid w:val="00ED169B"/>
    <w:rsid w:val="00ED1D21"/>
    <w:rsid w:val="00ED2B5D"/>
    <w:rsid w:val="00ED3C00"/>
    <w:rsid w:val="00ED49EB"/>
    <w:rsid w:val="00ED4B24"/>
    <w:rsid w:val="00ED4DA5"/>
    <w:rsid w:val="00ED5373"/>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E60"/>
    <w:rsid w:val="00EE354D"/>
    <w:rsid w:val="00EE3752"/>
    <w:rsid w:val="00EE37F7"/>
    <w:rsid w:val="00EE3B5C"/>
    <w:rsid w:val="00EE50E2"/>
    <w:rsid w:val="00EE54F4"/>
    <w:rsid w:val="00EE5709"/>
    <w:rsid w:val="00EE5985"/>
    <w:rsid w:val="00EE5AB5"/>
    <w:rsid w:val="00EE5C54"/>
    <w:rsid w:val="00EE6724"/>
    <w:rsid w:val="00EE6C2D"/>
    <w:rsid w:val="00EE762F"/>
    <w:rsid w:val="00EE79BA"/>
    <w:rsid w:val="00EE7A9A"/>
    <w:rsid w:val="00EF01C4"/>
    <w:rsid w:val="00EF05FF"/>
    <w:rsid w:val="00EF08FF"/>
    <w:rsid w:val="00EF0D21"/>
    <w:rsid w:val="00EF0FF3"/>
    <w:rsid w:val="00EF1143"/>
    <w:rsid w:val="00EF1341"/>
    <w:rsid w:val="00EF1793"/>
    <w:rsid w:val="00EF192C"/>
    <w:rsid w:val="00EF1BAC"/>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CAD"/>
    <w:rsid w:val="00EF76C7"/>
    <w:rsid w:val="00EF7EF1"/>
    <w:rsid w:val="00F0014B"/>
    <w:rsid w:val="00F00448"/>
    <w:rsid w:val="00F00928"/>
    <w:rsid w:val="00F00E7C"/>
    <w:rsid w:val="00F01467"/>
    <w:rsid w:val="00F01B8D"/>
    <w:rsid w:val="00F01D65"/>
    <w:rsid w:val="00F023E8"/>
    <w:rsid w:val="00F02632"/>
    <w:rsid w:val="00F028E3"/>
    <w:rsid w:val="00F02B2D"/>
    <w:rsid w:val="00F02D3A"/>
    <w:rsid w:val="00F02E5F"/>
    <w:rsid w:val="00F03F8C"/>
    <w:rsid w:val="00F043F9"/>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58C"/>
    <w:rsid w:val="00F10D43"/>
    <w:rsid w:val="00F115B8"/>
    <w:rsid w:val="00F117FC"/>
    <w:rsid w:val="00F11848"/>
    <w:rsid w:val="00F1248A"/>
    <w:rsid w:val="00F12DCD"/>
    <w:rsid w:val="00F13DD3"/>
    <w:rsid w:val="00F14499"/>
    <w:rsid w:val="00F14597"/>
    <w:rsid w:val="00F147E3"/>
    <w:rsid w:val="00F149EA"/>
    <w:rsid w:val="00F14BDE"/>
    <w:rsid w:val="00F15814"/>
    <w:rsid w:val="00F158E2"/>
    <w:rsid w:val="00F15A30"/>
    <w:rsid w:val="00F16248"/>
    <w:rsid w:val="00F16301"/>
    <w:rsid w:val="00F16BEF"/>
    <w:rsid w:val="00F16C7C"/>
    <w:rsid w:val="00F1743D"/>
    <w:rsid w:val="00F175A6"/>
    <w:rsid w:val="00F17604"/>
    <w:rsid w:val="00F176E7"/>
    <w:rsid w:val="00F17F1B"/>
    <w:rsid w:val="00F202C0"/>
    <w:rsid w:val="00F20F49"/>
    <w:rsid w:val="00F2187F"/>
    <w:rsid w:val="00F2207E"/>
    <w:rsid w:val="00F22A21"/>
    <w:rsid w:val="00F22E3C"/>
    <w:rsid w:val="00F22E5D"/>
    <w:rsid w:val="00F23588"/>
    <w:rsid w:val="00F235C9"/>
    <w:rsid w:val="00F237C2"/>
    <w:rsid w:val="00F23808"/>
    <w:rsid w:val="00F23C1D"/>
    <w:rsid w:val="00F23D7E"/>
    <w:rsid w:val="00F23F31"/>
    <w:rsid w:val="00F23F98"/>
    <w:rsid w:val="00F254EB"/>
    <w:rsid w:val="00F25857"/>
    <w:rsid w:val="00F25C8C"/>
    <w:rsid w:val="00F272E8"/>
    <w:rsid w:val="00F27789"/>
    <w:rsid w:val="00F27B3D"/>
    <w:rsid w:val="00F27C7C"/>
    <w:rsid w:val="00F30731"/>
    <w:rsid w:val="00F30997"/>
    <w:rsid w:val="00F30CF4"/>
    <w:rsid w:val="00F30DCE"/>
    <w:rsid w:val="00F31641"/>
    <w:rsid w:val="00F32216"/>
    <w:rsid w:val="00F3227A"/>
    <w:rsid w:val="00F32E31"/>
    <w:rsid w:val="00F32E3F"/>
    <w:rsid w:val="00F33088"/>
    <w:rsid w:val="00F337FE"/>
    <w:rsid w:val="00F33DE2"/>
    <w:rsid w:val="00F33E60"/>
    <w:rsid w:val="00F3436A"/>
    <w:rsid w:val="00F34403"/>
    <w:rsid w:val="00F3456C"/>
    <w:rsid w:val="00F3461D"/>
    <w:rsid w:val="00F346CC"/>
    <w:rsid w:val="00F35391"/>
    <w:rsid w:val="00F35472"/>
    <w:rsid w:val="00F35707"/>
    <w:rsid w:val="00F370CD"/>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4D4"/>
    <w:rsid w:val="00F43861"/>
    <w:rsid w:val="00F4395C"/>
    <w:rsid w:val="00F43BC7"/>
    <w:rsid w:val="00F44E5F"/>
    <w:rsid w:val="00F44F16"/>
    <w:rsid w:val="00F454CF"/>
    <w:rsid w:val="00F45AC5"/>
    <w:rsid w:val="00F45E54"/>
    <w:rsid w:val="00F4611C"/>
    <w:rsid w:val="00F46BBA"/>
    <w:rsid w:val="00F47ECC"/>
    <w:rsid w:val="00F50151"/>
    <w:rsid w:val="00F50AE2"/>
    <w:rsid w:val="00F51020"/>
    <w:rsid w:val="00F51378"/>
    <w:rsid w:val="00F51B78"/>
    <w:rsid w:val="00F52111"/>
    <w:rsid w:val="00F52974"/>
    <w:rsid w:val="00F535C5"/>
    <w:rsid w:val="00F53AAC"/>
    <w:rsid w:val="00F53AD4"/>
    <w:rsid w:val="00F5495D"/>
    <w:rsid w:val="00F54965"/>
    <w:rsid w:val="00F54B1C"/>
    <w:rsid w:val="00F5551D"/>
    <w:rsid w:val="00F565B9"/>
    <w:rsid w:val="00F56971"/>
    <w:rsid w:val="00F574B6"/>
    <w:rsid w:val="00F57657"/>
    <w:rsid w:val="00F57775"/>
    <w:rsid w:val="00F578E0"/>
    <w:rsid w:val="00F579E6"/>
    <w:rsid w:val="00F57EE7"/>
    <w:rsid w:val="00F60E8B"/>
    <w:rsid w:val="00F6108E"/>
    <w:rsid w:val="00F61472"/>
    <w:rsid w:val="00F61C9F"/>
    <w:rsid w:val="00F61CC9"/>
    <w:rsid w:val="00F61DDC"/>
    <w:rsid w:val="00F622F8"/>
    <w:rsid w:val="00F629B3"/>
    <w:rsid w:val="00F632A5"/>
    <w:rsid w:val="00F63339"/>
    <w:rsid w:val="00F634F8"/>
    <w:rsid w:val="00F6369B"/>
    <w:rsid w:val="00F637B8"/>
    <w:rsid w:val="00F64843"/>
    <w:rsid w:val="00F65353"/>
    <w:rsid w:val="00F65361"/>
    <w:rsid w:val="00F65648"/>
    <w:rsid w:val="00F65900"/>
    <w:rsid w:val="00F65A38"/>
    <w:rsid w:val="00F66115"/>
    <w:rsid w:val="00F66B6E"/>
    <w:rsid w:val="00F67172"/>
    <w:rsid w:val="00F6757B"/>
    <w:rsid w:val="00F67D79"/>
    <w:rsid w:val="00F70007"/>
    <w:rsid w:val="00F70122"/>
    <w:rsid w:val="00F70C04"/>
    <w:rsid w:val="00F70FCE"/>
    <w:rsid w:val="00F71398"/>
    <w:rsid w:val="00F71790"/>
    <w:rsid w:val="00F719D3"/>
    <w:rsid w:val="00F71BE6"/>
    <w:rsid w:val="00F7239B"/>
    <w:rsid w:val="00F724B9"/>
    <w:rsid w:val="00F7298C"/>
    <w:rsid w:val="00F72C4B"/>
    <w:rsid w:val="00F730B4"/>
    <w:rsid w:val="00F730DE"/>
    <w:rsid w:val="00F73C5A"/>
    <w:rsid w:val="00F740DE"/>
    <w:rsid w:val="00F74406"/>
    <w:rsid w:val="00F7474E"/>
    <w:rsid w:val="00F74CF8"/>
    <w:rsid w:val="00F75362"/>
    <w:rsid w:val="00F763BD"/>
    <w:rsid w:val="00F76899"/>
    <w:rsid w:val="00F77939"/>
    <w:rsid w:val="00F77B8F"/>
    <w:rsid w:val="00F802DE"/>
    <w:rsid w:val="00F80380"/>
    <w:rsid w:val="00F80515"/>
    <w:rsid w:val="00F80954"/>
    <w:rsid w:val="00F8215E"/>
    <w:rsid w:val="00F8256E"/>
    <w:rsid w:val="00F828E9"/>
    <w:rsid w:val="00F82A23"/>
    <w:rsid w:val="00F82ABA"/>
    <w:rsid w:val="00F82C51"/>
    <w:rsid w:val="00F82CAE"/>
    <w:rsid w:val="00F82FB3"/>
    <w:rsid w:val="00F83300"/>
    <w:rsid w:val="00F8398F"/>
    <w:rsid w:val="00F83E03"/>
    <w:rsid w:val="00F84058"/>
    <w:rsid w:val="00F8406F"/>
    <w:rsid w:val="00F84542"/>
    <w:rsid w:val="00F84BC1"/>
    <w:rsid w:val="00F851F3"/>
    <w:rsid w:val="00F85294"/>
    <w:rsid w:val="00F85311"/>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3AF"/>
    <w:rsid w:val="00F91435"/>
    <w:rsid w:val="00F914BF"/>
    <w:rsid w:val="00F91509"/>
    <w:rsid w:val="00F91885"/>
    <w:rsid w:val="00F92025"/>
    <w:rsid w:val="00F93CB3"/>
    <w:rsid w:val="00F93D9A"/>
    <w:rsid w:val="00F93FB2"/>
    <w:rsid w:val="00F9418C"/>
    <w:rsid w:val="00F94464"/>
    <w:rsid w:val="00F94697"/>
    <w:rsid w:val="00F94EBD"/>
    <w:rsid w:val="00F952FE"/>
    <w:rsid w:val="00F95793"/>
    <w:rsid w:val="00F9612D"/>
    <w:rsid w:val="00F966A5"/>
    <w:rsid w:val="00F96849"/>
    <w:rsid w:val="00F969EF"/>
    <w:rsid w:val="00F96E6C"/>
    <w:rsid w:val="00F97097"/>
    <w:rsid w:val="00F974BE"/>
    <w:rsid w:val="00F97D72"/>
    <w:rsid w:val="00FA05F8"/>
    <w:rsid w:val="00FA0D72"/>
    <w:rsid w:val="00FA0FFB"/>
    <w:rsid w:val="00FA1521"/>
    <w:rsid w:val="00FA1D1B"/>
    <w:rsid w:val="00FA222C"/>
    <w:rsid w:val="00FA26C7"/>
    <w:rsid w:val="00FA2FAE"/>
    <w:rsid w:val="00FA35BE"/>
    <w:rsid w:val="00FA36EF"/>
    <w:rsid w:val="00FA3BA8"/>
    <w:rsid w:val="00FA3F84"/>
    <w:rsid w:val="00FA4C6E"/>
    <w:rsid w:val="00FA4FFE"/>
    <w:rsid w:val="00FA51EB"/>
    <w:rsid w:val="00FA550B"/>
    <w:rsid w:val="00FA5928"/>
    <w:rsid w:val="00FA623F"/>
    <w:rsid w:val="00FA6B28"/>
    <w:rsid w:val="00FA714C"/>
    <w:rsid w:val="00FA79CE"/>
    <w:rsid w:val="00FA7B46"/>
    <w:rsid w:val="00FA7D7C"/>
    <w:rsid w:val="00FB02CC"/>
    <w:rsid w:val="00FB20D3"/>
    <w:rsid w:val="00FB22E5"/>
    <w:rsid w:val="00FB2B5C"/>
    <w:rsid w:val="00FB3006"/>
    <w:rsid w:val="00FB3AC4"/>
    <w:rsid w:val="00FB3CDB"/>
    <w:rsid w:val="00FB4279"/>
    <w:rsid w:val="00FB4330"/>
    <w:rsid w:val="00FB443F"/>
    <w:rsid w:val="00FB4496"/>
    <w:rsid w:val="00FB45C5"/>
    <w:rsid w:val="00FB4F38"/>
    <w:rsid w:val="00FB5381"/>
    <w:rsid w:val="00FB552D"/>
    <w:rsid w:val="00FB6A7D"/>
    <w:rsid w:val="00FB776E"/>
    <w:rsid w:val="00FB791D"/>
    <w:rsid w:val="00FB7CDD"/>
    <w:rsid w:val="00FC0159"/>
    <w:rsid w:val="00FC03C5"/>
    <w:rsid w:val="00FC078B"/>
    <w:rsid w:val="00FC0A77"/>
    <w:rsid w:val="00FC101B"/>
    <w:rsid w:val="00FC18D0"/>
    <w:rsid w:val="00FC2324"/>
    <w:rsid w:val="00FC2461"/>
    <w:rsid w:val="00FC2B8E"/>
    <w:rsid w:val="00FC2C06"/>
    <w:rsid w:val="00FC3779"/>
    <w:rsid w:val="00FC384C"/>
    <w:rsid w:val="00FC3A77"/>
    <w:rsid w:val="00FC3C23"/>
    <w:rsid w:val="00FC4241"/>
    <w:rsid w:val="00FC42C9"/>
    <w:rsid w:val="00FC4550"/>
    <w:rsid w:val="00FC4EEF"/>
    <w:rsid w:val="00FC4F80"/>
    <w:rsid w:val="00FC5125"/>
    <w:rsid w:val="00FC51FF"/>
    <w:rsid w:val="00FC5E52"/>
    <w:rsid w:val="00FC5FB4"/>
    <w:rsid w:val="00FC6544"/>
    <w:rsid w:val="00FC67F8"/>
    <w:rsid w:val="00FC6AD2"/>
    <w:rsid w:val="00FC6EB7"/>
    <w:rsid w:val="00FC742E"/>
    <w:rsid w:val="00FC7D61"/>
    <w:rsid w:val="00FC7E74"/>
    <w:rsid w:val="00FD0264"/>
    <w:rsid w:val="00FD0D02"/>
    <w:rsid w:val="00FD0D84"/>
    <w:rsid w:val="00FD109E"/>
    <w:rsid w:val="00FD1524"/>
    <w:rsid w:val="00FD2443"/>
    <w:rsid w:val="00FD356B"/>
    <w:rsid w:val="00FD3B6B"/>
    <w:rsid w:val="00FD44DB"/>
    <w:rsid w:val="00FD479E"/>
    <w:rsid w:val="00FD47D1"/>
    <w:rsid w:val="00FD49C9"/>
    <w:rsid w:val="00FD4D08"/>
    <w:rsid w:val="00FD57F3"/>
    <w:rsid w:val="00FD5ADC"/>
    <w:rsid w:val="00FD5FB3"/>
    <w:rsid w:val="00FD6582"/>
    <w:rsid w:val="00FD6C60"/>
    <w:rsid w:val="00FD6CE3"/>
    <w:rsid w:val="00FD7820"/>
    <w:rsid w:val="00FD79E2"/>
    <w:rsid w:val="00FD7A43"/>
    <w:rsid w:val="00FD7DDA"/>
    <w:rsid w:val="00FE01BF"/>
    <w:rsid w:val="00FE1E9F"/>
    <w:rsid w:val="00FE3134"/>
    <w:rsid w:val="00FE40AE"/>
    <w:rsid w:val="00FE45A3"/>
    <w:rsid w:val="00FE4FBB"/>
    <w:rsid w:val="00FE55E8"/>
    <w:rsid w:val="00FE5BC9"/>
    <w:rsid w:val="00FE6D74"/>
    <w:rsid w:val="00FE790F"/>
    <w:rsid w:val="00FF0833"/>
    <w:rsid w:val="00FF0CE8"/>
    <w:rsid w:val="00FF129C"/>
    <w:rsid w:val="00FF1EC8"/>
    <w:rsid w:val="00FF23F0"/>
    <w:rsid w:val="00FF2C74"/>
    <w:rsid w:val="00FF2F27"/>
    <w:rsid w:val="00FF2FA1"/>
    <w:rsid w:val="00FF473D"/>
    <w:rsid w:val="00FF475B"/>
    <w:rsid w:val="00FF48BE"/>
    <w:rsid w:val="00FF4E65"/>
    <w:rsid w:val="00FF50AE"/>
    <w:rsid w:val="00FF50CA"/>
    <w:rsid w:val="00FF51DF"/>
    <w:rsid w:val="00FF5E97"/>
    <w:rsid w:val="00FF61B0"/>
    <w:rsid w:val="00FF61FF"/>
    <w:rsid w:val="00FF6E79"/>
    <w:rsid w:val="00FF6F65"/>
    <w:rsid w:val="00FF720E"/>
    <w:rsid w:val="00FF7552"/>
    <w:rsid w:val="00FF767E"/>
    <w:rsid w:val="00FF7804"/>
    <w:rsid w:val="00FF78D7"/>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0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3D7EDA"/>
    <w:pPr>
      <w:tabs>
        <w:tab w:val="right" w:leader="dot" w:pos="9072"/>
      </w:tabs>
      <w:spacing w:before="120" w:after="120"/>
      <w:jc w:val="left"/>
    </w:pPr>
    <w:rPr>
      <w:b/>
      <w:sz w:val="24"/>
    </w:rPr>
  </w:style>
  <w:style w:type="paragraph" w:styleId="TOC2">
    <w:name w:val="toc 2"/>
    <w:basedOn w:val="Normal"/>
    <w:next w:val="Normal"/>
    <w:autoRedefine/>
    <w:uiPriority w:val="39"/>
    <w:unhideWhenUsed/>
    <w:rsid w:val="002F346C"/>
    <w:pPr>
      <w:tabs>
        <w:tab w:val="left" w:pos="660"/>
        <w:tab w:val="right" w:leader="dot" w:pos="9072"/>
      </w:tabs>
      <w:spacing w:after="120"/>
      <w:ind w:left="221"/>
      <w:jc w:val="left"/>
    </w:pPr>
    <w:rPr>
      <w:b/>
      <w:szCs w:val="22"/>
    </w:rPr>
  </w:style>
  <w:style w:type="paragraph" w:styleId="TOC3">
    <w:name w:val="toc 3"/>
    <w:basedOn w:val="Normal"/>
    <w:next w:val="Normal"/>
    <w:autoRedefine/>
    <w:uiPriority w:val="39"/>
    <w:unhideWhenUsed/>
    <w:rsid w:val="003D7EDA"/>
    <w:pPr>
      <w:tabs>
        <w:tab w:val="left" w:pos="1100"/>
        <w:tab w:val="right" w:leader="dot" w:pos="9072"/>
      </w:tabs>
      <w:spacing w:before="120" w:after="120"/>
      <w:ind w:left="442"/>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3D7EDA"/>
    <w:pPr>
      <w:tabs>
        <w:tab w:val="right" w:leader="dot" w:pos="9072"/>
      </w:tabs>
      <w:spacing w:before="120" w:after="120"/>
      <w:jc w:val="left"/>
    </w:pPr>
    <w:rPr>
      <w:b/>
      <w:sz w:val="24"/>
    </w:rPr>
  </w:style>
  <w:style w:type="paragraph" w:styleId="TOC2">
    <w:name w:val="toc 2"/>
    <w:basedOn w:val="Normal"/>
    <w:next w:val="Normal"/>
    <w:autoRedefine/>
    <w:uiPriority w:val="39"/>
    <w:unhideWhenUsed/>
    <w:rsid w:val="002F346C"/>
    <w:pPr>
      <w:tabs>
        <w:tab w:val="left" w:pos="660"/>
        <w:tab w:val="right" w:leader="dot" w:pos="9072"/>
      </w:tabs>
      <w:spacing w:after="120"/>
      <w:ind w:left="221"/>
      <w:jc w:val="left"/>
    </w:pPr>
    <w:rPr>
      <w:b/>
      <w:szCs w:val="22"/>
    </w:rPr>
  </w:style>
  <w:style w:type="paragraph" w:styleId="TOC3">
    <w:name w:val="toc 3"/>
    <w:basedOn w:val="Normal"/>
    <w:next w:val="Normal"/>
    <w:autoRedefine/>
    <w:uiPriority w:val="39"/>
    <w:unhideWhenUsed/>
    <w:rsid w:val="003D7EDA"/>
    <w:pPr>
      <w:tabs>
        <w:tab w:val="left" w:pos="1100"/>
        <w:tab w:val="right" w:leader="dot" w:pos="9072"/>
      </w:tabs>
      <w:spacing w:before="120" w:after="120"/>
      <w:ind w:left="442"/>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6664276">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0865114">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39877521">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13908798">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6%20Annual%20Report\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c-fps01\data$\Education%20(Current)\DHB%20Reports\2016%20Annual%20Report\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c-fps01\data$\Education%20(Current)\DHB%20Reports\2016%20Annual%20Report\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c-fps01\data$\Education%20(Current)\DHB%20Reports\2016%20Annual%20Report\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dc-fps01\data$\Education%20(Current)\DHB%20Reports\2016%20Annual%20Report\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0"/>
          <c:order val="0"/>
          <c:cat>
            <c:strRef>
              <c:f>'Number per year'!$A$1:$E$1</c:f>
              <c:strCache>
                <c:ptCount val="5"/>
                <c:pt idx="0">
                  <c:v>2011/2012</c:v>
                </c:pt>
                <c:pt idx="1">
                  <c:v>2012/2013</c:v>
                </c:pt>
                <c:pt idx="2">
                  <c:v>2013/2014</c:v>
                </c:pt>
                <c:pt idx="3">
                  <c:v>2014/2015</c:v>
                </c:pt>
                <c:pt idx="4">
                  <c:v>2015/2016</c:v>
                </c:pt>
              </c:strCache>
            </c:strRef>
          </c:cat>
          <c:val>
            <c:numRef>
              <c:f>'Number per year'!$A$2:$E$2</c:f>
              <c:numCache>
                <c:formatCode>General</c:formatCode>
                <c:ptCount val="5"/>
                <c:pt idx="0">
                  <c:v>610</c:v>
                </c:pt>
                <c:pt idx="1">
                  <c:v>616</c:v>
                </c:pt>
                <c:pt idx="2">
                  <c:v>660</c:v>
                </c:pt>
                <c:pt idx="3">
                  <c:v>757</c:v>
                </c:pt>
                <c:pt idx="4">
                  <c:v>805</c:v>
                </c:pt>
              </c:numCache>
            </c:numRef>
          </c:val>
          <c:smooth val="0"/>
        </c:ser>
        <c:dLbls>
          <c:showLegendKey val="0"/>
          <c:showVal val="0"/>
          <c:showCatName val="0"/>
          <c:showSerName val="0"/>
          <c:showPercent val="0"/>
          <c:showBubbleSize val="0"/>
        </c:dLbls>
        <c:marker val="1"/>
        <c:smooth val="0"/>
        <c:axId val="73820032"/>
        <c:axId val="73821568"/>
      </c:lineChart>
      <c:catAx>
        <c:axId val="73820032"/>
        <c:scaling>
          <c:orientation val="minMax"/>
        </c:scaling>
        <c:delete val="0"/>
        <c:axPos val="b"/>
        <c:majorTickMark val="out"/>
        <c:minorTickMark val="none"/>
        <c:tickLblPos val="nextTo"/>
        <c:crossAx val="73821568"/>
        <c:crosses val="autoZero"/>
        <c:auto val="1"/>
        <c:lblAlgn val="ctr"/>
        <c:lblOffset val="100"/>
        <c:noMultiLvlLbl val="0"/>
      </c:catAx>
      <c:valAx>
        <c:axId val="73821568"/>
        <c:scaling>
          <c:orientation val="minMax"/>
        </c:scaling>
        <c:delete val="0"/>
        <c:axPos val="l"/>
        <c:majorGridlines/>
        <c:numFmt formatCode="General" sourceLinked="1"/>
        <c:majorTickMark val="out"/>
        <c:minorTickMark val="none"/>
        <c:tickLblPos val="nextTo"/>
        <c:crossAx val="738200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0"/>
          <c:order val="0"/>
          <c:cat>
            <c:strRef>
              <c:f>'Rate per year'!$A$1:$E$1</c:f>
              <c:strCache>
                <c:ptCount val="5"/>
                <c:pt idx="0">
                  <c:v>2011/2012</c:v>
                </c:pt>
                <c:pt idx="1">
                  <c:v>2012/2013</c:v>
                </c:pt>
                <c:pt idx="2">
                  <c:v>2013/2014</c:v>
                </c:pt>
                <c:pt idx="3">
                  <c:v>2014/2015</c:v>
                </c:pt>
                <c:pt idx="4">
                  <c:v>2015/2016</c:v>
                </c:pt>
              </c:strCache>
            </c:strRef>
          </c:cat>
          <c:val>
            <c:numRef>
              <c:f>'Rate per year'!$A$2:$E$2</c:f>
              <c:numCache>
                <c:formatCode>General</c:formatCode>
                <c:ptCount val="5"/>
                <c:pt idx="0">
                  <c:v>67.8</c:v>
                </c:pt>
                <c:pt idx="1">
                  <c:v>67.47</c:v>
                </c:pt>
                <c:pt idx="2">
                  <c:v>72.08</c:v>
                </c:pt>
                <c:pt idx="3">
                  <c:v>80.569999999999993</c:v>
                </c:pt>
                <c:pt idx="4">
                  <c:v>84.55</c:v>
                </c:pt>
              </c:numCache>
            </c:numRef>
          </c:val>
          <c:smooth val="0"/>
        </c:ser>
        <c:dLbls>
          <c:showLegendKey val="0"/>
          <c:showVal val="0"/>
          <c:showCatName val="0"/>
          <c:showSerName val="0"/>
          <c:showPercent val="0"/>
          <c:showBubbleSize val="0"/>
        </c:dLbls>
        <c:marker val="1"/>
        <c:smooth val="0"/>
        <c:axId val="80036992"/>
        <c:axId val="80038528"/>
      </c:lineChart>
      <c:catAx>
        <c:axId val="80036992"/>
        <c:scaling>
          <c:orientation val="minMax"/>
        </c:scaling>
        <c:delete val="0"/>
        <c:axPos val="b"/>
        <c:majorTickMark val="out"/>
        <c:minorTickMark val="none"/>
        <c:tickLblPos val="nextTo"/>
        <c:crossAx val="80038528"/>
        <c:crosses val="autoZero"/>
        <c:auto val="1"/>
        <c:lblAlgn val="ctr"/>
        <c:lblOffset val="100"/>
        <c:noMultiLvlLbl val="0"/>
      </c:catAx>
      <c:valAx>
        <c:axId val="80038528"/>
        <c:scaling>
          <c:orientation val="minMax"/>
        </c:scaling>
        <c:delete val="0"/>
        <c:axPos val="l"/>
        <c:majorGridlines/>
        <c:numFmt formatCode="General" sourceLinked="1"/>
        <c:majorTickMark val="out"/>
        <c:minorTickMark val="none"/>
        <c:tickLblPos val="nextTo"/>
        <c:crossAx val="800369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'Service type'!$B$1</c:f>
              <c:strCache>
                <c:ptCount val="1"/>
                <c:pt idx="0">
                  <c:v>Number</c:v>
                </c:pt>
              </c:strCache>
            </c:strRef>
          </c:tx>
          <c:spPr>
            <a:solidFill>
              <a:srgbClr val="C00000"/>
            </a:solidFill>
          </c:spPr>
          <c:invertIfNegative val="0"/>
          <c:cat>
            <c:strRef>
              <c:f>'Service type'!$A$2:$A$11</c:f>
              <c:strCache>
                <c:ptCount val="10"/>
                <c:pt idx="0">
                  <c:v>Other</c:v>
                </c:pt>
                <c:pt idx="1">
                  <c:v>Anaesthetics/pain medicine</c:v>
                </c:pt>
                <c:pt idx="2">
                  <c:v>Alcohol and drug</c:v>
                </c:pt>
                <c:pt idx="3">
                  <c:v>Paediatrics</c:v>
                </c:pt>
                <c:pt idx="4">
                  <c:v>Diagnostics</c:v>
                </c:pt>
                <c:pt idx="5">
                  <c:v>Maternity</c:v>
                </c:pt>
                <c:pt idx="6">
                  <c:v>Emergency department </c:v>
                </c:pt>
                <c:pt idx="7">
                  <c:v>General medicine</c:v>
                </c:pt>
                <c:pt idx="8">
                  <c:v>Mental health</c:v>
                </c:pt>
                <c:pt idx="9">
                  <c:v>Surgery </c:v>
                </c:pt>
              </c:strCache>
            </c:strRef>
          </c:cat>
          <c:val>
            <c:numRef>
              <c:f>'Service type'!$B$2:$B$11</c:f>
              <c:numCache>
                <c:formatCode>General</c:formatCode>
                <c:ptCount val="10"/>
                <c:pt idx="0">
                  <c:v>49</c:v>
                </c:pt>
                <c:pt idx="1">
                  <c:v>9</c:v>
                </c:pt>
                <c:pt idx="2">
                  <c:v>13</c:v>
                </c:pt>
                <c:pt idx="3">
                  <c:v>16</c:v>
                </c:pt>
                <c:pt idx="4">
                  <c:v>21</c:v>
                </c:pt>
                <c:pt idx="5">
                  <c:v>53</c:v>
                </c:pt>
                <c:pt idx="6">
                  <c:v>103</c:v>
                </c:pt>
                <c:pt idx="7">
                  <c:v>138</c:v>
                </c:pt>
                <c:pt idx="8">
                  <c:v>180</c:v>
                </c:pt>
                <c:pt idx="9">
                  <c:v>262</c:v>
                </c:pt>
              </c:numCache>
            </c:numRef>
          </c:val>
        </c:ser>
        <c:dLbls>
          <c:showLegendKey val="0"/>
          <c:showVal val="0"/>
          <c:showCatName val="0"/>
          <c:showSerName val="0"/>
          <c:showPercent val="0"/>
          <c:showBubbleSize val="0"/>
        </c:dLbls>
        <c:gapWidth val="150"/>
        <c:axId val="80054912"/>
        <c:axId val="80068992"/>
      </c:barChart>
      <c:catAx>
        <c:axId val="80054912"/>
        <c:scaling>
          <c:orientation val="minMax"/>
        </c:scaling>
        <c:delete val="0"/>
        <c:axPos val="l"/>
        <c:majorTickMark val="out"/>
        <c:minorTickMark val="none"/>
        <c:tickLblPos val="nextTo"/>
        <c:crossAx val="80068992"/>
        <c:crosses val="autoZero"/>
        <c:auto val="1"/>
        <c:lblAlgn val="ctr"/>
        <c:lblOffset val="100"/>
        <c:noMultiLvlLbl val="0"/>
      </c:catAx>
      <c:valAx>
        <c:axId val="80068992"/>
        <c:scaling>
          <c:orientation val="minMax"/>
        </c:scaling>
        <c:delete val="0"/>
        <c:axPos val="b"/>
        <c:majorGridlines/>
        <c:numFmt formatCode="General" sourceLinked="1"/>
        <c:majorTickMark val="out"/>
        <c:minorTickMark val="none"/>
        <c:tickLblPos val="nextTo"/>
        <c:crossAx val="800549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Issues!$B$1</c:f>
              <c:strCache>
                <c:ptCount val="1"/>
                <c:pt idx="0">
                  <c:v>Primary issue (%)</c:v>
                </c:pt>
              </c:strCache>
            </c:strRef>
          </c:tx>
          <c:spPr>
            <a:solidFill>
              <a:srgbClr val="0070C0"/>
            </a:solidFill>
          </c:spPr>
          <c:invertIfNegative val="0"/>
          <c:cat>
            <c:strRef>
              <c:f>Issues!$A$2:$A$8</c:f>
              <c:strCache>
                <c:ptCount val="7"/>
                <c:pt idx="0">
                  <c:v>Inadequate coordination of care/treatment</c:v>
                </c:pt>
                <c:pt idx="1">
                  <c:v>Failure to communicate effectively with consumer</c:v>
                </c:pt>
                <c:pt idx="2">
                  <c:v>Failure to communicate effectively with family</c:v>
                </c:pt>
                <c:pt idx="3">
                  <c:v>Disrespectful manner/attitude</c:v>
                </c:pt>
                <c:pt idx="4">
                  <c:v>Inadequate/inappropriate treatment</c:v>
                </c:pt>
                <c:pt idx="5">
                  <c:v>Unexpected treatment outcome</c:v>
                </c:pt>
                <c:pt idx="6">
                  <c:v>Missed/incorrect/delayed diagnosis</c:v>
                </c:pt>
              </c:strCache>
            </c:strRef>
          </c:cat>
          <c:val>
            <c:numRef>
              <c:f>Issues!$B$2:$B$8</c:f>
              <c:numCache>
                <c:formatCode>General</c:formatCode>
                <c:ptCount val="7"/>
                <c:pt idx="0">
                  <c:v>1</c:v>
                </c:pt>
                <c:pt idx="1">
                  <c:v>2</c:v>
                </c:pt>
                <c:pt idx="2">
                  <c:v>2</c:v>
                </c:pt>
                <c:pt idx="3">
                  <c:v>5</c:v>
                </c:pt>
                <c:pt idx="4">
                  <c:v>9</c:v>
                </c:pt>
                <c:pt idx="5">
                  <c:v>10</c:v>
                </c:pt>
                <c:pt idx="6">
                  <c:v>16</c:v>
                </c:pt>
              </c:numCache>
            </c:numRef>
          </c:val>
        </c:ser>
        <c:ser>
          <c:idx val="1"/>
          <c:order val="1"/>
          <c:tx>
            <c:strRef>
              <c:f>Issues!$C$1</c:f>
              <c:strCache>
                <c:ptCount val="1"/>
                <c:pt idx="0">
                  <c:v>All issues (%)</c:v>
                </c:pt>
              </c:strCache>
            </c:strRef>
          </c:tx>
          <c:spPr>
            <a:solidFill>
              <a:srgbClr val="C00000"/>
            </a:solidFill>
          </c:spPr>
          <c:invertIfNegative val="0"/>
          <c:cat>
            <c:strRef>
              <c:f>Issues!$A$2:$A$8</c:f>
              <c:strCache>
                <c:ptCount val="7"/>
                <c:pt idx="0">
                  <c:v>Inadequate coordination of care/treatment</c:v>
                </c:pt>
                <c:pt idx="1">
                  <c:v>Failure to communicate effectively with consumer</c:v>
                </c:pt>
                <c:pt idx="2">
                  <c:v>Failure to communicate effectively with family</c:v>
                </c:pt>
                <c:pt idx="3">
                  <c:v>Disrespectful manner/attitude</c:v>
                </c:pt>
                <c:pt idx="4">
                  <c:v>Inadequate/inappropriate treatment</c:v>
                </c:pt>
                <c:pt idx="5">
                  <c:v>Unexpected treatment outcome</c:v>
                </c:pt>
                <c:pt idx="6">
                  <c:v>Missed/incorrect/delayed diagnosis</c:v>
                </c:pt>
              </c:strCache>
            </c:strRef>
          </c:cat>
          <c:val>
            <c:numRef>
              <c:f>Issues!$C$2:$C$8</c:f>
              <c:numCache>
                <c:formatCode>General</c:formatCode>
                <c:ptCount val="7"/>
                <c:pt idx="0">
                  <c:v>24</c:v>
                </c:pt>
                <c:pt idx="1">
                  <c:v>38</c:v>
                </c:pt>
                <c:pt idx="2">
                  <c:v>24</c:v>
                </c:pt>
                <c:pt idx="3">
                  <c:v>25</c:v>
                </c:pt>
                <c:pt idx="4">
                  <c:v>43</c:v>
                </c:pt>
                <c:pt idx="5">
                  <c:v>19</c:v>
                </c:pt>
                <c:pt idx="6">
                  <c:v>23</c:v>
                </c:pt>
              </c:numCache>
            </c:numRef>
          </c:val>
        </c:ser>
        <c:dLbls>
          <c:showLegendKey val="0"/>
          <c:showVal val="0"/>
          <c:showCatName val="0"/>
          <c:showSerName val="0"/>
          <c:showPercent val="0"/>
          <c:showBubbleSize val="0"/>
        </c:dLbls>
        <c:gapWidth val="150"/>
        <c:axId val="85803776"/>
        <c:axId val="85805312"/>
      </c:barChart>
      <c:catAx>
        <c:axId val="85803776"/>
        <c:scaling>
          <c:orientation val="minMax"/>
        </c:scaling>
        <c:delete val="0"/>
        <c:axPos val="l"/>
        <c:majorTickMark val="out"/>
        <c:minorTickMark val="none"/>
        <c:tickLblPos val="nextTo"/>
        <c:crossAx val="85805312"/>
        <c:crosses val="autoZero"/>
        <c:auto val="1"/>
        <c:lblAlgn val="ctr"/>
        <c:lblOffset val="100"/>
        <c:noMultiLvlLbl val="0"/>
      </c:catAx>
      <c:valAx>
        <c:axId val="85805312"/>
        <c:scaling>
          <c:orientation val="minMax"/>
        </c:scaling>
        <c:delete val="0"/>
        <c:axPos val="b"/>
        <c:majorGridlines/>
        <c:numFmt formatCode="General" sourceLinked="1"/>
        <c:majorTickMark val="out"/>
        <c:minorTickMark val="none"/>
        <c:tickLblPos val="nextTo"/>
        <c:crossAx val="858037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Sheet4!$A$3</c:f>
              <c:strCache>
                <c:ptCount val="1"/>
                <c:pt idx="0">
                  <c:v>Total complaints closed</c:v>
                </c:pt>
              </c:strCache>
            </c:strRef>
          </c:tx>
          <c:cat>
            <c:strRef>
              <c:f>Sheet4!$B$1:$F$2</c:f>
              <c:strCache>
                <c:ptCount val="5"/>
                <c:pt idx="0">
                  <c:v>2011/2012</c:v>
                </c:pt>
                <c:pt idx="1">
                  <c:v>2012/2013</c:v>
                </c:pt>
                <c:pt idx="2">
                  <c:v>2013/2014</c:v>
                </c:pt>
                <c:pt idx="3">
                  <c:v>2014/2015</c:v>
                </c:pt>
                <c:pt idx="4">
                  <c:v>2015/2016</c:v>
                </c:pt>
              </c:strCache>
            </c:strRef>
          </c:cat>
          <c:val>
            <c:numRef>
              <c:f>Sheet4!$B$3:$F$3</c:f>
              <c:numCache>
                <c:formatCode>General</c:formatCode>
                <c:ptCount val="5"/>
                <c:pt idx="0">
                  <c:v>519</c:v>
                </c:pt>
                <c:pt idx="1">
                  <c:v>591</c:v>
                </c:pt>
                <c:pt idx="2">
                  <c:v>691</c:v>
                </c:pt>
                <c:pt idx="3">
                  <c:v>754</c:v>
                </c:pt>
                <c:pt idx="4">
                  <c:v>847</c:v>
                </c:pt>
              </c:numCache>
            </c:numRef>
          </c:val>
          <c:smooth val="0"/>
        </c:ser>
        <c:dLbls>
          <c:showLegendKey val="0"/>
          <c:showVal val="0"/>
          <c:showCatName val="0"/>
          <c:showSerName val="0"/>
          <c:showPercent val="0"/>
          <c:showBubbleSize val="0"/>
        </c:dLbls>
        <c:marker val="1"/>
        <c:smooth val="0"/>
        <c:axId val="85833600"/>
        <c:axId val="85835136"/>
      </c:lineChart>
      <c:catAx>
        <c:axId val="85833600"/>
        <c:scaling>
          <c:orientation val="minMax"/>
        </c:scaling>
        <c:delete val="0"/>
        <c:axPos val="b"/>
        <c:majorTickMark val="out"/>
        <c:minorTickMark val="none"/>
        <c:tickLblPos val="nextTo"/>
        <c:crossAx val="85835136"/>
        <c:crosses val="autoZero"/>
        <c:auto val="1"/>
        <c:lblAlgn val="ctr"/>
        <c:lblOffset val="100"/>
        <c:noMultiLvlLbl val="0"/>
      </c:catAx>
      <c:valAx>
        <c:axId val="85835136"/>
        <c:scaling>
          <c:orientation val="minMax"/>
        </c:scaling>
        <c:delete val="0"/>
        <c:axPos val="l"/>
        <c:majorGridlines/>
        <c:numFmt formatCode="General" sourceLinked="1"/>
        <c:majorTickMark val="out"/>
        <c:minorTickMark val="none"/>
        <c:tickLblPos val="nextTo"/>
        <c:crossAx val="85833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C410-A0C4-46D7-B6C2-C11A3407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139EF33A.dotm</Template>
  <TotalTime>0</TotalTime>
  <Pages>39</Pages>
  <Words>10797</Words>
  <Characters>61544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2017-03-23T00:26:00Z</dcterms:created>
  <dcterms:modified xsi:type="dcterms:W3CDTF">2017-03-23T00:28:00Z</dcterms:modified>
</cp:coreProperties>
</file>