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25073A" w14:textId="4A295306" w:rsidR="000D30CB" w:rsidRDefault="007B69D5" w:rsidP="00B22C2F">
      <w:pPr>
        <w:ind w:left="-1418" w:right="-1413"/>
      </w:pPr>
      <w:r>
        <w:rPr>
          <w:noProof/>
        </w:rPr>
        <mc:AlternateContent>
          <mc:Choice Requires="wps">
            <w:drawing>
              <wp:anchor distT="0" distB="0" distL="114300" distR="114300" simplePos="0" relativeHeight="251658240" behindDoc="0" locked="0" layoutInCell="1" allowOverlap="1" wp14:anchorId="63D7020A" wp14:editId="74BD5550">
                <wp:simplePos x="0" y="0"/>
                <wp:positionH relativeFrom="page">
                  <wp:align>right</wp:align>
                </wp:positionH>
                <wp:positionV relativeFrom="paragraph">
                  <wp:posOffset>4072890</wp:posOffset>
                </wp:positionV>
                <wp:extent cx="7772400" cy="3159760"/>
                <wp:effectExtent l="0" t="0" r="0" b="2540"/>
                <wp:wrapNone/>
                <wp:docPr id="182970155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3159760"/>
                        </a:xfrm>
                        <a:prstGeom prst="rect">
                          <a:avLst/>
                        </a:prstGeom>
                        <a:solidFill>
                          <a:srgbClr val="A619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76230E" w14:textId="49CA710A" w:rsidR="000D30CB" w:rsidRPr="00404CA0" w:rsidRDefault="004C7C48" w:rsidP="000D30CB">
                            <w:pPr>
                              <w:spacing w:before="720" w:after="0"/>
                              <w:jc w:val="center"/>
                              <w:rPr>
                                <w:rFonts w:cs="Aldhabi"/>
                                <w:b/>
                                <w:color w:val="FFFFFF" w:themeColor="background1"/>
                                <w:sz w:val="48"/>
                                <w:szCs w:val="48"/>
                              </w:rPr>
                            </w:pPr>
                            <w:r>
                              <w:rPr>
                                <w:rFonts w:cs="Aldhabi"/>
                                <w:b/>
                                <w:color w:val="FFFFFF" w:themeColor="background1"/>
                                <w:sz w:val="48"/>
                                <w:szCs w:val="48"/>
                              </w:rPr>
                              <w:t xml:space="preserve">Executive </w:t>
                            </w:r>
                            <w:r w:rsidR="000D30CB">
                              <w:rPr>
                                <w:rFonts w:cs="Aldhabi"/>
                                <w:b/>
                                <w:color w:val="FFFFFF" w:themeColor="background1"/>
                                <w:sz w:val="48"/>
                                <w:szCs w:val="48"/>
                              </w:rPr>
                              <w:t>Summary</w:t>
                            </w:r>
                            <w:r w:rsidR="000D30CB" w:rsidRPr="00404CA0">
                              <w:rPr>
                                <w:rFonts w:cs="Aldhabi"/>
                                <w:b/>
                                <w:color w:val="FFFFFF" w:themeColor="background1"/>
                                <w:sz w:val="48"/>
                                <w:szCs w:val="48"/>
                              </w:rPr>
                              <w:t xml:space="preserve"> | </w:t>
                            </w:r>
                            <w:r w:rsidR="00DB48DD">
                              <w:rPr>
                                <w:rFonts w:cs="Aldhabi"/>
                                <w:b/>
                                <w:color w:val="FFFFFF" w:themeColor="background1"/>
                                <w:sz w:val="48"/>
                                <w:szCs w:val="48"/>
                              </w:rPr>
                              <w:t>Whakar</w:t>
                            </w:r>
                            <w:r w:rsidR="007D68A8">
                              <w:rPr>
                                <w:rFonts w:cs="Aldhabi"/>
                                <w:b/>
                                <w:color w:val="FFFFFF" w:themeColor="background1"/>
                                <w:sz w:val="48"/>
                                <w:szCs w:val="48"/>
                              </w:rPr>
                              <w:t>āpopototanga</w:t>
                            </w:r>
                          </w:p>
                          <w:p w14:paraId="76673522" w14:textId="77777777" w:rsidR="000D30CB" w:rsidRDefault="000D30CB" w:rsidP="000D30CB">
                            <w:pPr>
                              <w:shd w:val="clear" w:color="auto" w:fill="A6192E"/>
                              <w:spacing w:before="480" w:after="0"/>
                              <w:jc w:val="center"/>
                              <w:rPr>
                                <w:b/>
                                <w:color w:val="FFFFFF" w:themeColor="background1"/>
                                <w:sz w:val="28"/>
                                <w:szCs w:val="28"/>
                              </w:rPr>
                            </w:pPr>
                            <w:r w:rsidRPr="00404CA0">
                              <w:rPr>
                                <w:b/>
                                <w:color w:val="FFFFFF" w:themeColor="background1"/>
                                <w:sz w:val="28"/>
                                <w:szCs w:val="28"/>
                              </w:rPr>
                              <w:t xml:space="preserve">Review of the Health and Disability Commissioner Act 1994 and the </w:t>
                            </w:r>
                          </w:p>
                          <w:p w14:paraId="706E4F23" w14:textId="77777777" w:rsidR="000D30CB" w:rsidRDefault="000D30CB" w:rsidP="000D30CB">
                            <w:pPr>
                              <w:shd w:val="clear" w:color="auto" w:fill="A6192E"/>
                              <w:spacing w:after="0"/>
                              <w:jc w:val="center"/>
                              <w:rPr>
                                <w:b/>
                                <w:color w:val="FFFFFF" w:themeColor="background1"/>
                                <w:sz w:val="28"/>
                                <w:szCs w:val="28"/>
                              </w:rPr>
                            </w:pPr>
                            <w:r w:rsidRPr="00404CA0">
                              <w:rPr>
                                <w:b/>
                                <w:color w:val="FFFFFF" w:themeColor="background1"/>
                                <w:sz w:val="28"/>
                                <w:szCs w:val="28"/>
                              </w:rPr>
                              <w:t xml:space="preserve">Code of Health and Disability Services Consumers’ Rights | </w:t>
                            </w:r>
                          </w:p>
                          <w:p w14:paraId="52DEE03C" w14:textId="77777777" w:rsidR="000D30CB" w:rsidRPr="00485660" w:rsidRDefault="000D30CB" w:rsidP="000D30CB">
                            <w:pPr>
                              <w:shd w:val="clear" w:color="auto" w:fill="A6192E"/>
                              <w:spacing w:after="0"/>
                              <w:jc w:val="center"/>
                              <w:rPr>
                                <w:bCs/>
                                <w:color w:val="FFFFFF" w:themeColor="background1"/>
                                <w:sz w:val="28"/>
                                <w:szCs w:val="28"/>
                              </w:rPr>
                            </w:pPr>
                            <w:r w:rsidRPr="00485660">
                              <w:rPr>
                                <w:bCs/>
                                <w:color w:val="FFFFFF" w:themeColor="background1"/>
                                <w:sz w:val="28"/>
                                <w:szCs w:val="28"/>
                              </w:rPr>
                              <w:t xml:space="preserve">Ko te arotakenga o Te Ture Toihau Hauora, Hauātanga 1994 me te </w:t>
                            </w:r>
                          </w:p>
                          <w:p w14:paraId="4B4D34A3" w14:textId="77777777" w:rsidR="000D30CB" w:rsidRPr="00485660" w:rsidRDefault="000D30CB" w:rsidP="000D30CB">
                            <w:pPr>
                              <w:shd w:val="clear" w:color="auto" w:fill="A6192E"/>
                              <w:spacing w:after="0"/>
                              <w:jc w:val="center"/>
                              <w:rPr>
                                <w:b/>
                                <w:color w:val="FFFFFF" w:themeColor="background1"/>
                                <w:sz w:val="28"/>
                                <w:szCs w:val="28"/>
                              </w:rPr>
                            </w:pPr>
                            <w:r w:rsidRPr="00485660">
                              <w:rPr>
                                <w:bCs/>
                                <w:color w:val="FFFFFF" w:themeColor="background1"/>
                                <w:sz w:val="28"/>
                                <w:szCs w:val="28"/>
                              </w:rPr>
                              <w:t>Tikanga o ngā Mōtika Kiritaki mō ngā Ratonga Hauora, Hauātanga</w:t>
                            </w:r>
                            <w:r w:rsidRPr="00485660">
                              <w:rPr>
                                <w:b/>
                                <w:color w:val="FFFFFF" w:themeColor="background1"/>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D7020A" id="_x0000_t202" coordsize="21600,21600" o:spt="202" path="m,l,21600r21600,l21600,xe">
                <v:stroke joinstyle="miter"/>
                <v:path gradientshapeok="t" o:connecttype="rect"/>
              </v:shapetype>
              <v:shape id="Text Box 1" o:spid="_x0000_s1026" type="#_x0000_t202" style="position:absolute;left:0;text-align:left;margin-left:560.8pt;margin-top:320.7pt;width:612pt;height:248.8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" fillcolor="#a6192e" stroked="f">
                <v:textbox>
                  <w:txbxContent>
                    <w:p w14:paraId="4A76230E" w14:textId="49CA710A" w:rsidR="000D30CB" w:rsidRPr="00404CA0" w:rsidRDefault="004C7C48" w:rsidP="000D30CB">
                      <w:pPr>
                        <w:spacing w:before="720" w:after="0"/>
                        <w:jc w:val="center"/>
                        <w:rPr>
                          <w:rFonts w:cs="Aldhabi"/>
                          <w:b/>
                          <w:color w:val="FFFFFF" w:themeColor="background1"/>
                          <w:sz w:val="48"/>
                          <w:szCs w:val="48"/>
                        </w:rPr>
                      </w:pPr>
                      <w:r>
                        <w:rPr>
                          <w:rFonts w:cs="Aldhabi"/>
                          <w:b/>
                          <w:color w:val="FFFFFF" w:themeColor="background1"/>
                          <w:sz w:val="48"/>
                          <w:szCs w:val="48"/>
                        </w:rPr>
                        <w:t xml:space="preserve">Executive </w:t>
                      </w:r>
                      <w:r w:rsidR="000D30CB">
                        <w:rPr>
                          <w:rFonts w:cs="Aldhabi"/>
                          <w:b/>
                          <w:color w:val="FFFFFF" w:themeColor="background1"/>
                          <w:sz w:val="48"/>
                          <w:szCs w:val="48"/>
                        </w:rPr>
                        <w:t>Summary</w:t>
                      </w:r>
                      <w:r w:rsidR="000D30CB" w:rsidRPr="00404CA0">
                        <w:rPr>
                          <w:rFonts w:cs="Aldhabi"/>
                          <w:b/>
                          <w:color w:val="FFFFFF" w:themeColor="background1"/>
                          <w:sz w:val="48"/>
                          <w:szCs w:val="48"/>
                        </w:rPr>
                        <w:t xml:space="preserve"> | </w:t>
                      </w:r>
                      <w:proofErr w:type="spellStart"/>
                      <w:r w:rsidR="00DB48DD">
                        <w:rPr>
                          <w:rFonts w:cs="Aldhabi"/>
                          <w:b/>
                          <w:color w:val="FFFFFF" w:themeColor="background1"/>
                          <w:sz w:val="48"/>
                          <w:szCs w:val="48"/>
                        </w:rPr>
                        <w:t>Whakar</w:t>
                      </w:r>
                      <w:r w:rsidR="007D68A8">
                        <w:rPr>
                          <w:rFonts w:cs="Aldhabi"/>
                          <w:b/>
                          <w:color w:val="FFFFFF" w:themeColor="background1"/>
                          <w:sz w:val="48"/>
                          <w:szCs w:val="48"/>
                        </w:rPr>
                        <w:t>āpopototanga</w:t>
                      </w:r>
                      <w:proofErr w:type="spellEnd"/>
                    </w:p>
                    <w:p w14:paraId="76673522" w14:textId="77777777" w:rsidR="000D30CB" w:rsidRDefault="000D30CB" w:rsidP="000D30CB">
                      <w:pPr>
                        <w:shd w:val="clear" w:color="auto" w:fill="A6192E"/>
                        <w:spacing w:before="480" w:after="0"/>
                        <w:jc w:val="center"/>
                        <w:rPr>
                          <w:b/>
                          <w:color w:val="FFFFFF" w:themeColor="background1"/>
                          <w:sz w:val="28"/>
                          <w:szCs w:val="28"/>
                        </w:rPr>
                      </w:pPr>
                      <w:r w:rsidRPr="00404CA0">
                        <w:rPr>
                          <w:b/>
                          <w:color w:val="FFFFFF" w:themeColor="background1"/>
                          <w:sz w:val="28"/>
                          <w:szCs w:val="28"/>
                        </w:rPr>
                        <w:t xml:space="preserve">Review of the Health and Disability Commissioner Act 1994 and the </w:t>
                      </w:r>
                    </w:p>
                    <w:p w14:paraId="706E4F23" w14:textId="77777777" w:rsidR="000D30CB" w:rsidRDefault="000D30CB" w:rsidP="000D30CB">
                      <w:pPr>
                        <w:shd w:val="clear" w:color="auto" w:fill="A6192E"/>
                        <w:spacing w:after="0"/>
                        <w:jc w:val="center"/>
                        <w:rPr>
                          <w:b/>
                          <w:color w:val="FFFFFF" w:themeColor="background1"/>
                          <w:sz w:val="28"/>
                          <w:szCs w:val="28"/>
                        </w:rPr>
                      </w:pPr>
                      <w:r w:rsidRPr="00404CA0">
                        <w:rPr>
                          <w:b/>
                          <w:color w:val="FFFFFF" w:themeColor="background1"/>
                          <w:sz w:val="28"/>
                          <w:szCs w:val="28"/>
                        </w:rPr>
                        <w:t xml:space="preserve">Code of Health and Disability Services Consumers’ Rights | </w:t>
                      </w:r>
                    </w:p>
                    <w:p w14:paraId="52DEE03C" w14:textId="77777777" w:rsidR="000D30CB" w:rsidRPr="00485660" w:rsidRDefault="000D30CB" w:rsidP="000D30CB">
                      <w:pPr>
                        <w:shd w:val="clear" w:color="auto" w:fill="A6192E"/>
                        <w:spacing w:after="0"/>
                        <w:jc w:val="center"/>
                        <w:rPr>
                          <w:bCs/>
                          <w:color w:val="FFFFFF" w:themeColor="background1"/>
                          <w:sz w:val="28"/>
                          <w:szCs w:val="28"/>
                        </w:rPr>
                      </w:pPr>
                      <w:r w:rsidRPr="00485660">
                        <w:rPr>
                          <w:bCs/>
                          <w:color w:val="FFFFFF" w:themeColor="background1"/>
                          <w:sz w:val="28"/>
                          <w:szCs w:val="28"/>
                        </w:rPr>
                        <w:t xml:space="preserve">Ko </w:t>
                      </w:r>
                      <w:proofErr w:type="spellStart"/>
                      <w:r w:rsidRPr="00485660">
                        <w:rPr>
                          <w:bCs/>
                          <w:color w:val="FFFFFF" w:themeColor="background1"/>
                          <w:sz w:val="28"/>
                          <w:szCs w:val="28"/>
                        </w:rPr>
                        <w:t>te</w:t>
                      </w:r>
                      <w:proofErr w:type="spellEnd"/>
                      <w:r w:rsidRPr="00485660">
                        <w:rPr>
                          <w:bCs/>
                          <w:color w:val="FFFFFF" w:themeColor="background1"/>
                          <w:sz w:val="28"/>
                          <w:szCs w:val="28"/>
                        </w:rPr>
                        <w:t xml:space="preserve"> </w:t>
                      </w:r>
                      <w:proofErr w:type="spellStart"/>
                      <w:r w:rsidRPr="00485660">
                        <w:rPr>
                          <w:bCs/>
                          <w:color w:val="FFFFFF" w:themeColor="background1"/>
                          <w:sz w:val="28"/>
                          <w:szCs w:val="28"/>
                        </w:rPr>
                        <w:t>arotakenga</w:t>
                      </w:r>
                      <w:proofErr w:type="spellEnd"/>
                      <w:r w:rsidRPr="00485660">
                        <w:rPr>
                          <w:bCs/>
                          <w:color w:val="FFFFFF" w:themeColor="background1"/>
                          <w:sz w:val="28"/>
                          <w:szCs w:val="28"/>
                        </w:rPr>
                        <w:t xml:space="preserve"> o Te Ture </w:t>
                      </w:r>
                      <w:proofErr w:type="spellStart"/>
                      <w:r w:rsidRPr="00485660">
                        <w:rPr>
                          <w:bCs/>
                          <w:color w:val="FFFFFF" w:themeColor="background1"/>
                          <w:sz w:val="28"/>
                          <w:szCs w:val="28"/>
                        </w:rPr>
                        <w:t>Toihau</w:t>
                      </w:r>
                      <w:proofErr w:type="spellEnd"/>
                      <w:r w:rsidRPr="00485660">
                        <w:rPr>
                          <w:bCs/>
                          <w:color w:val="FFFFFF" w:themeColor="background1"/>
                          <w:sz w:val="28"/>
                          <w:szCs w:val="28"/>
                        </w:rPr>
                        <w:t xml:space="preserve"> Hauora, </w:t>
                      </w:r>
                      <w:proofErr w:type="spellStart"/>
                      <w:r w:rsidRPr="00485660">
                        <w:rPr>
                          <w:bCs/>
                          <w:color w:val="FFFFFF" w:themeColor="background1"/>
                          <w:sz w:val="28"/>
                          <w:szCs w:val="28"/>
                        </w:rPr>
                        <w:t>Hauātanga</w:t>
                      </w:r>
                      <w:proofErr w:type="spellEnd"/>
                      <w:r w:rsidRPr="00485660">
                        <w:rPr>
                          <w:bCs/>
                          <w:color w:val="FFFFFF" w:themeColor="background1"/>
                          <w:sz w:val="28"/>
                          <w:szCs w:val="28"/>
                        </w:rPr>
                        <w:t xml:space="preserve"> 1994 me </w:t>
                      </w:r>
                      <w:proofErr w:type="spellStart"/>
                      <w:r w:rsidRPr="00485660">
                        <w:rPr>
                          <w:bCs/>
                          <w:color w:val="FFFFFF" w:themeColor="background1"/>
                          <w:sz w:val="28"/>
                          <w:szCs w:val="28"/>
                        </w:rPr>
                        <w:t>te</w:t>
                      </w:r>
                      <w:proofErr w:type="spellEnd"/>
                      <w:r w:rsidRPr="00485660">
                        <w:rPr>
                          <w:bCs/>
                          <w:color w:val="FFFFFF" w:themeColor="background1"/>
                          <w:sz w:val="28"/>
                          <w:szCs w:val="28"/>
                        </w:rPr>
                        <w:t xml:space="preserve"> </w:t>
                      </w:r>
                    </w:p>
                    <w:p w14:paraId="4B4D34A3" w14:textId="77777777" w:rsidR="000D30CB" w:rsidRPr="00485660" w:rsidRDefault="000D30CB" w:rsidP="000D30CB">
                      <w:pPr>
                        <w:shd w:val="clear" w:color="auto" w:fill="A6192E"/>
                        <w:spacing w:after="0"/>
                        <w:jc w:val="center"/>
                        <w:rPr>
                          <w:b/>
                          <w:color w:val="FFFFFF" w:themeColor="background1"/>
                          <w:sz w:val="28"/>
                          <w:szCs w:val="28"/>
                        </w:rPr>
                      </w:pPr>
                      <w:r w:rsidRPr="00485660">
                        <w:rPr>
                          <w:bCs/>
                          <w:color w:val="FFFFFF" w:themeColor="background1"/>
                          <w:sz w:val="28"/>
                          <w:szCs w:val="28"/>
                        </w:rPr>
                        <w:t xml:space="preserve">Tikanga o </w:t>
                      </w:r>
                      <w:proofErr w:type="spellStart"/>
                      <w:r w:rsidRPr="00485660">
                        <w:rPr>
                          <w:bCs/>
                          <w:color w:val="FFFFFF" w:themeColor="background1"/>
                          <w:sz w:val="28"/>
                          <w:szCs w:val="28"/>
                        </w:rPr>
                        <w:t>ngā</w:t>
                      </w:r>
                      <w:proofErr w:type="spellEnd"/>
                      <w:r w:rsidRPr="00485660">
                        <w:rPr>
                          <w:bCs/>
                          <w:color w:val="FFFFFF" w:themeColor="background1"/>
                          <w:sz w:val="28"/>
                          <w:szCs w:val="28"/>
                        </w:rPr>
                        <w:t xml:space="preserve"> </w:t>
                      </w:r>
                      <w:proofErr w:type="spellStart"/>
                      <w:r w:rsidRPr="00485660">
                        <w:rPr>
                          <w:bCs/>
                          <w:color w:val="FFFFFF" w:themeColor="background1"/>
                          <w:sz w:val="28"/>
                          <w:szCs w:val="28"/>
                        </w:rPr>
                        <w:t>Mōtika</w:t>
                      </w:r>
                      <w:proofErr w:type="spellEnd"/>
                      <w:r w:rsidRPr="00485660">
                        <w:rPr>
                          <w:bCs/>
                          <w:color w:val="FFFFFF" w:themeColor="background1"/>
                          <w:sz w:val="28"/>
                          <w:szCs w:val="28"/>
                        </w:rPr>
                        <w:t xml:space="preserve"> </w:t>
                      </w:r>
                      <w:proofErr w:type="spellStart"/>
                      <w:r w:rsidRPr="00485660">
                        <w:rPr>
                          <w:bCs/>
                          <w:color w:val="FFFFFF" w:themeColor="background1"/>
                          <w:sz w:val="28"/>
                          <w:szCs w:val="28"/>
                        </w:rPr>
                        <w:t>Kiritaki</w:t>
                      </w:r>
                      <w:proofErr w:type="spellEnd"/>
                      <w:r w:rsidRPr="00485660">
                        <w:rPr>
                          <w:bCs/>
                          <w:color w:val="FFFFFF" w:themeColor="background1"/>
                          <w:sz w:val="28"/>
                          <w:szCs w:val="28"/>
                        </w:rPr>
                        <w:t xml:space="preserve"> </w:t>
                      </w:r>
                      <w:proofErr w:type="spellStart"/>
                      <w:r w:rsidRPr="00485660">
                        <w:rPr>
                          <w:bCs/>
                          <w:color w:val="FFFFFF" w:themeColor="background1"/>
                          <w:sz w:val="28"/>
                          <w:szCs w:val="28"/>
                        </w:rPr>
                        <w:t>mō</w:t>
                      </w:r>
                      <w:proofErr w:type="spellEnd"/>
                      <w:r w:rsidRPr="00485660">
                        <w:rPr>
                          <w:bCs/>
                          <w:color w:val="FFFFFF" w:themeColor="background1"/>
                          <w:sz w:val="28"/>
                          <w:szCs w:val="28"/>
                        </w:rPr>
                        <w:t xml:space="preserve"> </w:t>
                      </w:r>
                      <w:proofErr w:type="spellStart"/>
                      <w:r w:rsidRPr="00485660">
                        <w:rPr>
                          <w:bCs/>
                          <w:color w:val="FFFFFF" w:themeColor="background1"/>
                          <w:sz w:val="28"/>
                          <w:szCs w:val="28"/>
                        </w:rPr>
                        <w:t>ngā</w:t>
                      </w:r>
                      <w:proofErr w:type="spellEnd"/>
                      <w:r w:rsidRPr="00485660">
                        <w:rPr>
                          <w:bCs/>
                          <w:color w:val="FFFFFF" w:themeColor="background1"/>
                          <w:sz w:val="28"/>
                          <w:szCs w:val="28"/>
                        </w:rPr>
                        <w:t xml:space="preserve"> </w:t>
                      </w:r>
                      <w:proofErr w:type="spellStart"/>
                      <w:r w:rsidRPr="00485660">
                        <w:rPr>
                          <w:bCs/>
                          <w:color w:val="FFFFFF" w:themeColor="background1"/>
                          <w:sz w:val="28"/>
                          <w:szCs w:val="28"/>
                        </w:rPr>
                        <w:t>Ratonga</w:t>
                      </w:r>
                      <w:proofErr w:type="spellEnd"/>
                      <w:r w:rsidRPr="00485660">
                        <w:rPr>
                          <w:bCs/>
                          <w:color w:val="FFFFFF" w:themeColor="background1"/>
                          <w:sz w:val="28"/>
                          <w:szCs w:val="28"/>
                        </w:rPr>
                        <w:t xml:space="preserve"> Hauora, </w:t>
                      </w:r>
                      <w:proofErr w:type="spellStart"/>
                      <w:r w:rsidRPr="00485660">
                        <w:rPr>
                          <w:bCs/>
                          <w:color w:val="FFFFFF" w:themeColor="background1"/>
                          <w:sz w:val="28"/>
                          <w:szCs w:val="28"/>
                        </w:rPr>
                        <w:t>Hauātanga</w:t>
                      </w:r>
                      <w:proofErr w:type="spellEnd"/>
                      <w:r w:rsidRPr="00485660">
                        <w:rPr>
                          <w:b/>
                          <w:color w:val="FFFFFF" w:themeColor="background1"/>
                          <w:sz w:val="28"/>
                          <w:szCs w:val="28"/>
                        </w:rPr>
                        <w:t xml:space="preserve"> </w:t>
                      </w:r>
                    </w:p>
                  </w:txbxContent>
                </v:textbox>
                <w10:wrap anchorx="page"/>
              </v:shape>
            </w:pict>
          </mc:Fallback>
        </mc:AlternateContent>
      </w:r>
      <w:r w:rsidR="00711912">
        <w:rPr>
          <w:noProof/>
        </w:rPr>
        <w:drawing>
          <wp:inline distT="0" distB="0" distL="0" distR="0" wp14:anchorId="4CD8C34F" wp14:editId="08434482">
            <wp:extent cx="8453120" cy="5176901"/>
            <wp:effectExtent l="0" t="0" r="5080" b="5080"/>
            <wp:docPr id="5722477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247799" name="Picture 2"/>
                    <pic:cNvPicPr/>
                  </pic:nvPicPr>
                  <pic:blipFill rotWithShape="1">
                    <a:blip r:embed="rId11" cstate="print">
                      <a:extLst>
                        <a:ext uri="{28A0092B-C50C-407E-A947-70E740481C1C}">
                          <a14:useLocalDpi xmlns:a14="http://schemas.microsoft.com/office/drawing/2010/main" val="0"/>
                        </a:ext>
                      </a:extLst>
                    </a:blip>
                    <a:srcRect l="-7844" t="9941" r="7844"/>
                    <a:stretch/>
                  </pic:blipFill>
                  <pic:spPr bwMode="auto">
                    <a:xfrm>
                      <a:off x="0" y="0"/>
                      <a:ext cx="8453120" cy="5176901"/>
                    </a:xfrm>
                    <a:prstGeom prst="rect">
                      <a:avLst/>
                    </a:prstGeom>
                    <a:ln>
                      <a:noFill/>
                    </a:ln>
                    <a:extLst>
                      <a:ext uri="{53640926-AAD7-44D8-BBD7-CCE9431645EC}">
                        <a14:shadowObscured xmlns:a14="http://schemas.microsoft.com/office/drawing/2010/main"/>
                      </a:ext>
                    </a:extLst>
                  </pic:spPr>
                </pic:pic>
              </a:graphicData>
            </a:graphic>
          </wp:inline>
        </w:drawing>
      </w:r>
    </w:p>
    <w:p w14:paraId="02A82DDA" w14:textId="592DB944" w:rsidR="000D30CB" w:rsidRDefault="000D30CB" w:rsidP="000D30CB"/>
    <w:p w14:paraId="08F3C22A" w14:textId="77777777" w:rsidR="000D30CB" w:rsidRDefault="000D30CB" w:rsidP="000D30CB"/>
    <w:p w14:paraId="0A6C810E" w14:textId="77777777" w:rsidR="000D30CB" w:rsidRDefault="000D30CB" w:rsidP="000D30CB"/>
    <w:p w14:paraId="7F9FBE9B" w14:textId="77777777" w:rsidR="000D30CB" w:rsidRDefault="000D30CB" w:rsidP="000D30CB"/>
    <w:p w14:paraId="2E602AA9" w14:textId="77777777" w:rsidR="000D30CB" w:rsidRDefault="000D30CB" w:rsidP="000D30CB"/>
    <w:p w14:paraId="3A516CFD" w14:textId="77777777" w:rsidR="000D30CB" w:rsidRDefault="000D30CB" w:rsidP="000D30CB"/>
    <w:p w14:paraId="4AD8B861" w14:textId="77777777" w:rsidR="00EF22AD" w:rsidRDefault="00EF22AD" w:rsidP="000D30CB"/>
    <w:p w14:paraId="4C5842E8" w14:textId="77777777" w:rsidR="00B41F8B" w:rsidRDefault="00B41F8B" w:rsidP="000D30CB">
      <w:pPr>
        <w:jc w:val="center"/>
        <w:rPr>
          <w:b/>
        </w:rPr>
      </w:pPr>
    </w:p>
    <w:p w14:paraId="03DBDC22" w14:textId="653F66D1" w:rsidR="0047395E" w:rsidRPr="00380A53" w:rsidRDefault="00010F28" w:rsidP="000D30CB">
      <w:pPr>
        <w:jc w:val="center"/>
        <w:rPr>
          <w:b/>
        </w:rPr>
        <w:sectPr w:rsidR="0047395E" w:rsidRPr="00380A53" w:rsidSect="008E2986">
          <w:footerReference w:type="default" r:id="rId12"/>
          <w:pgSz w:w="12240" w:h="15840" w:code="1"/>
          <w:pgMar w:top="0" w:right="352" w:bottom="1440" w:left="352" w:header="720" w:footer="720" w:gutter="0"/>
          <w:cols w:space="720"/>
          <w:docGrid w:linePitch="360"/>
        </w:sectPr>
      </w:pPr>
      <w:r>
        <w:rPr>
          <w:rFonts w:ascii="Calibri" w:eastAsia="Calibri" w:hAnsi="Calibri"/>
          <w:b/>
          <w:noProof/>
          <w:color w:val="000000"/>
          <w:sz w:val="44"/>
          <w:lang w:eastAsia="en-NZ"/>
        </w:rPr>
        <w:drawing>
          <wp:anchor distT="0" distB="0" distL="114300" distR="114300" simplePos="0" relativeHeight="251658241" behindDoc="1" locked="0" layoutInCell="0" allowOverlap="1" wp14:anchorId="24F6EA8E" wp14:editId="217B2205">
            <wp:simplePos x="0" y="0"/>
            <wp:positionH relativeFrom="margin">
              <wp:align>center</wp:align>
            </wp:positionH>
            <wp:positionV relativeFrom="margin">
              <wp:posOffset>8792454</wp:posOffset>
            </wp:positionV>
            <wp:extent cx="1814195" cy="989965"/>
            <wp:effectExtent l="0" t="0" r="0" b="635"/>
            <wp:wrapNone/>
            <wp:docPr id="71600436" name="Picture 71600436" descr="A red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923720" name="Picture 1434923720" descr="A red logo with a black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814195" cy="989965"/>
                    </a:xfrm>
                    <a:prstGeom prst="rect">
                      <a:avLst/>
                    </a:prstGeom>
                    <a:noFill/>
                  </pic:spPr>
                </pic:pic>
              </a:graphicData>
            </a:graphic>
            <wp14:sizeRelH relativeFrom="page">
              <wp14:pctWidth>0</wp14:pctWidth>
            </wp14:sizeRelH>
            <wp14:sizeRelV relativeFrom="page">
              <wp14:pctHeight>0</wp14:pctHeight>
            </wp14:sizeRelV>
          </wp:anchor>
        </w:drawing>
      </w:r>
      <w:r w:rsidR="008160BE">
        <w:rPr>
          <w:b/>
        </w:rPr>
        <w:t>March</w:t>
      </w:r>
      <w:r w:rsidR="000D30CB" w:rsidRPr="00380A53">
        <w:rPr>
          <w:b/>
        </w:rPr>
        <w:t xml:space="preserve"> 202</w:t>
      </w:r>
      <w:r w:rsidR="008160BE">
        <w:rPr>
          <w:b/>
        </w:rPr>
        <w:t>5</w:t>
      </w:r>
      <w:r w:rsidR="000D30CB" w:rsidRPr="00380A53">
        <w:rPr>
          <w:b/>
        </w:rPr>
        <w:t xml:space="preserve"> | </w:t>
      </w:r>
      <w:r w:rsidR="00435219" w:rsidRPr="00435219">
        <w:rPr>
          <w:b/>
        </w:rPr>
        <w:t>Poutū-te-rangi</w:t>
      </w:r>
      <w:r w:rsidR="000D30CB" w:rsidRPr="00380A53">
        <w:rPr>
          <w:b/>
        </w:rPr>
        <w:t xml:space="preserve"> 202</w:t>
      </w:r>
      <w:r w:rsidR="00435219">
        <w:rPr>
          <w:b/>
        </w:rPr>
        <w:t>5</w:t>
      </w:r>
    </w:p>
    <w:p w14:paraId="081060C2" w14:textId="04C3882F" w:rsidR="00CA2FDA" w:rsidRPr="0002012F" w:rsidRDefault="00E00C94" w:rsidP="008E2986">
      <w:pPr>
        <w:pStyle w:val="Heading1"/>
        <w:rPr>
          <w:b w:val="0"/>
          <w:bCs w:val="0"/>
          <w:sz w:val="28"/>
          <w:szCs w:val="28"/>
        </w:rPr>
      </w:pPr>
      <w:bookmarkStart w:id="0" w:name="_Toc190957567"/>
      <w:r w:rsidRPr="001B54DC">
        <w:rPr>
          <w:color w:val="auto"/>
          <w:sz w:val="32"/>
        </w:rPr>
        <w:lastRenderedPageBreak/>
        <w:t>Introduction</w:t>
      </w:r>
      <w:r w:rsidRPr="0002012F">
        <w:rPr>
          <w:sz w:val="28"/>
          <w:szCs w:val="28"/>
        </w:rPr>
        <w:t xml:space="preserve"> </w:t>
      </w:r>
      <w:r w:rsidRPr="00204633">
        <w:rPr>
          <w:sz w:val="28"/>
          <w:szCs w:val="28"/>
        </w:rPr>
        <w:t>| He kupu whakata</w:t>
      </w:r>
      <w:r w:rsidR="001142A8" w:rsidRPr="00204633">
        <w:rPr>
          <w:sz w:val="28"/>
          <w:szCs w:val="28"/>
        </w:rPr>
        <w:t>k</w:t>
      </w:r>
      <w:r w:rsidRPr="00204633">
        <w:rPr>
          <w:sz w:val="28"/>
          <w:szCs w:val="28"/>
        </w:rPr>
        <w:t>i</w:t>
      </w:r>
      <w:bookmarkEnd w:id="0"/>
    </w:p>
    <w:p w14:paraId="66524577" w14:textId="23F587BF" w:rsidR="007521F4" w:rsidRDefault="007521F4" w:rsidP="007521F4">
      <w:pPr>
        <w:spacing w:after="120" w:line="278" w:lineRule="auto"/>
      </w:pPr>
      <w:r w:rsidRPr="00712244">
        <w:t xml:space="preserve">The Health and Disability Commissioner (HDC) is </w:t>
      </w:r>
      <w:r>
        <w:t xml:space="preserve">an independent Crown entity charged with promoting and protecting the rights of all people in New Zealand who use health and disability services. We are </w:t>
      </w:r>
      <w:r w:rsidRPr="00712244">
        <w:t xml:space="preserve">required to </w:t>
      </w:r>
      <w:r w:rsidR="001142A8">
        <w:t xml:space="preserve">regularly </w:t>
      </w:r>
      <w:r w:rsidRPr="00712244">
        <w:t xml:space="preserve">review the Health and Disability Commissioner Act 1994 (the Act) and the Code of Health and Disability Services Consumers’ Rights (the Code) and make recommendations to the Minister of Health. </w:t>
      </w:r>
      <w:r>
        <w:t xml:space="preserve">It is then up to the Minister and Government to decide whether to progress those changes. </w:t>
      </w:r>
    </w:p>
    <w:p w14:paraId="7D3FC2FD" w14:textId="068B017D" w:rsidR="007521F4" w:rsidRPr="005126B2" w:rsidRDefault="007521F4" w:rsidP="007521F4">
      <w:r>
        <w:t>These reviews are an opportunity to ensure that the Act and Code</w:t>
      </w:r>
      <w:r w:rsidRPr="005126B2">
        <w:t xml:space="preserve"> remain effective in protecting and promoting the rights of everyone using health and disability services. </w:t>
      </w:r>
      <w:r w:rsidR="00FD01CA">
        <w:t>R</w:t>
      </w:r>
      <w:r w:rsidR="00E06FB8">
        <w:t>eviews</w:t>
      </w:r>
      <w:r>
        <w:t xml:space="preserve"> can also help us to </w:t>
      </w:r>
      <w:r w:rsidRPr="005126B2">
        <w:t>improve how things are done at HDC and identify changes to improve the health and disability system. </w:t>
      </w:r>
    </w:p>
    <w:p w14:paraId="3CDC393B" w14:textId="30BA2633" w:rsidR="00496A88" w:rsidRDefault="007521F4" w:rsidP="007521F4">
      <w:pPr>
        <w:rPr>
          <w:rFonts w:ascii="Aptos" w:eastAsia="Aptos" w:hAnsi="Aptos" w:cs="Aptos"/>
          <w:color w:val="000000" w:themeColor="text1"/>
        </w:rPr>
      </w:pPr>
      <w:r w:rsidRPr="2CB7A87C">
        <w:rPr>
          <w:rFonts w:ascii="Aptos" w:eastAsia="Aptos" w:hAnsi="Aptos" w:cs="Aptos"/>
          <w:color w:val="000000" w:themeColor="text1"/>
        </w:rPr>
        <w:t xml:space="preserve">Our latest review was initiated following the enactment of the Pae Ora </w:t>
      </w:r>
      <w:r w:rsidR="00EF0C84">
        <w:rPr>
          <w:rFonts w:ascii="Aptos" w:eastAsia="Aptos" w:hAnsi="Aptos" w:cs="Aptos"/>
          <w:color w:val="000000" w:themeColor="text1"/>
        </w:rPr>
        <w:t>(Healthy Futures)</w:t>
      </w:r>
      <w:r w:rsidR="21E85E5D" w:rsidRPr="6EB8F51F">
        <w:rPr>
          <w:rFonts w:ascii="Aptos" w:eastAsia="Aptos" w:hAnsi="Aptos" w:cs="Aptos"/>
          <w:color w:val="000000" w:themeColor="text1"/>
        </w:rPr>
        <w:t xml:space="preserve"> </w:t>
      </w:r>
      <w:r w:rsidRPr="2CB7A87C">
        <w:rPr>
          <w:rFonts w:ascii="Aptos" w:eastAsia="Aptos" w:hAnsi="Aptos" w:cs="Aptos"/>
          <w:color w:val="000000" w:themeColor="text1"/>
        </w:rPr>
        <w:t>Act, and focused on how the HDC Act and the Code of Rights could better meet the needs of all New Zealanders.</w:t>
      </w:r>
      <w:r>
        <w:rPr>
          <w:rFonts w:ascii="Aptos" w:eastAsia="Aptos" w:hAnsi="Aptos" w:cs="Aptos"/>
          <w:color w:val="000000" w:themeColor="text1"/>
        </w:rPr>
        <w:t xml:space="preserve"> </w:t>
      </w:r>
      <w:r w:rsidR="006403EA">
        <w:rPr>
          <w:rFonts w:ascii="Aptos" w:eastAsia="Aptos" w:hAnsi="Aptos" w:cs="Aptos"/>
          <w:color w:val="000000" w:themeColor="text1"/>
        </w:rPr>
        <w:t>This review</w:t>
      </w:r>
      <w:r w:rsidR="009D4E17">
        <w:rPr>
          <w:rFonts w:ascii="Aptos" w:eastAsia="Aptos" w:hAnsi="Aptos" w:cs="Aptos"/>
          <w:color w:val="000000" w:themeColor="text1"/>
        </w:rPr>
        <w:t xml:space="preserve"> comes at a time of</w:t>
      </w:r>
      <w:r w:rsidR="003F3F70">
        <w:rPr>
          <w:rFonts w:ascii="Aptos" w:eastAsia="Aptos" w:hAnsi="Aptos" w:cs="Aptos"/>
          <w:color w:val="000000" w:themeColor="text1"/>
        </w:rPr>
        <w:t xml:space="preserve"> significant change </w:t>
      </w:r>
      <w:r w:rsidR="003E75D4">
        <w:rPr>
          <w:rFonts w:ascii="Aptos" w:eastAsia="Aptos" w:hAnsi="Aptos" w:cs="Aptos"/>
          <w:color w:val="000000" w:themeColor="text1"/>
        </w:rPr>
        <w:t>for</w:t>
      </w:r>
      <w:r w:rsidR="00A059F4">
        <w:rPr>
          <w:rFonts w:ascii="Aptos" w:eastAsia="Aptos" w:hAnsi="Aptos" w:cs="Aptos"/>
          <w:color w:val="000000" w:themeColor="text1"/>
        </w:rPr>
        <w:t xml:space="preserve"> </w:t>
      </w:r>
      <w:r w:rsidR="002E601B">
        <w:rPr>
          <w:rFonts w:ascii="Aptos" w:eastAsia="Aptos" w:hAnsi="Aptos" w:cs="Aptos"/>
          <w:color w:val="000000" w:themeColor="text1"/>
        </w:rPr>
        <w:t xml:space="preserve">and pressure on </w:t>
      </w:r>
      <w:r w:rsidR="003F3F70">
        <w:rPr>
          <w:rFonts w:ascii="Aptos" w:eastAsia="Aptos" w:hAnsi="Aptos" w:cs="Aptos"/>
          <w:color w:val="000000" w:themeColor="text1"/>
        </w:rPr>
        <w:t>the health and disability sector</w:t>
      </w:r>
      <w:r w:rsidR="00B668E2">
        <w:rPr>
          <w:rFonts w:ascii="Aptos" w:eastAsia="Aptos" w:hAnsi="Aptos" w:cs="Aptos"/>
          <w:color w:val="000000" w:themeColor="text1"/>
        </w:rPr>
        <w:t xml:space="preserve"> and</w:t>
      </w:r>
      <w:r w:rsidR="009D4E17">
        <w:rPr>
          <w:rFonts w:ascii="Aptos" w:eastAsia="Aptos" w:hAnsi="Aptos" w:cs="Aptos"/>
          <w:color w:val="000000" w:themeColor="text1"/>
        </w:rPr>
        <w:t xml:space="preserve"> increasing demand for HDC’s services</w:t>
      </w:r>
      <w:r w:rsidR="00B668E2">
        <w:rPr>
          <w:rFonts w:ascii="Aptos" w:eastAsia="Aptos" w:hAnsi="Aptos" w:cs="Aptos"/>
          <w:color w:val="000000" w:themeColor="text1"/>
        </w:rPr>
        <w:t>.</w:t>
      </w:r>
      <w:r w:rsidR="003F3F70">
        <w:rPr>
          <w:rFonts w:ascii="Aptos" w:eastAsia="Aptos" w:hAnsi="Aptos" w:cs="Aptos"/>
          <w:color w:val="000000" w:themeColor="text1"/>
        </w:rPr>
        <w:t xml:space="preserve"> </w:t>
      </w:r>
    </w:p>
    <w:p w14:paraId="12285F2C" w14:textId="417171B0" w:rsidR="007521F4" w:rsidRDefault="004D5086" w:rsidP="007521F4">
      <w:pPr>
        <w:rPr>
          <w:rFonts w:ascii="Aptos" w:eastAsia="Aptos" w:hAnsi="Aptos" w:cs="Aptos"/>
          <w:color w:val="000000" w:themeColor="text1"/>
        </w:rPr>
      </w:pPr>
      <w:r>
        <w:rPr>
          <w:rFonts w:ascii="Aptos" w:eastAsia="Aptos" w:hAnsi="Aptos" w:cs="Aptos"/>
          <w:color w:val="000000" w:themeColor="text1"/>
        </w:rPr>
        <w:t xml:space="preserve">When </w:t>
      </w:r>
      <w:r w:rsidR="00B87679">
        <w:rPr>
          <w:rFonts w:ascii="Aptos" w:eastAsia="Aptos" w:hAnsi="Aptos" w:cs="Aptos"/>
          <w:color w:val="000000" w:themeColor="text1"/>
        </w:rPr>
        <w:t>consulting on</w:t>
      </w:r>
      <w:r>
        <w:rPr>
          <w:rFonts w:ascii="Aptos" w:eastAsia="Aptos" w:hAnsi="Aptos" w:cs="Aptos"/>
          <w:color w:val="000000" w:themeColor="text1"/>
        </w:rPr>
        <w:t xml:space="preserve"> this review we</w:t>
      </w:r>
      <w:r w:rsidR="00B87679">
        <w:rPr>
          <w:rFonts w:ascii="Aptos" w:eastAsia="Aptos" w:hAnsi="Aptos" w:cs="Aptos"/>
          <w:color w:val="000000" w:themeColor="text1"/>
        </w:rPr>
        <w:t xml:space="preserve"> </w:t>
      </w:r>
      <w:r w:rsidR="007521F4" w:rsidRPr="2CB7A87C">
        <w:rPr>
          <w:rFonts w:ascii="Aptos" w:eastAsia="Aptos" w:hAnsi="Aptos" w:cs="Aptos"/>
          <w:color w:val="000000" w:themeColor="text1"/>
        </w:rPr>
        <w:t xml:space="preserve">had a particular focus on hearing from </w:t>
      </w:r>
      <w:r w:rsidR="00384FF9">
        <w:rPr>
          <w:rFonts w:ascii="Aptos" w:eastAsia="Aptos" w:hAnsi="Aptos" w:cs="Aptos"/>
          <w:color w:val="000000" w:themeColor="text1"/>
        </w:rPr>
        <w:t>those</w:t>
      </w:r>
      <w:r w:rsidR="007521F4" w:rsidRPr="6EB8F51F">
        <w:rPr>
          <w:rFonts w:ascii="Aptos" w:eastAsia="Aptos" w:hAnsi="Aptos" w:cs="Aptos"/>
          <w:color w:val="000000" w:themeColor="text1"/>
        </w:rPr>
        <w:t xml:space="preserve"> </w:t>
      </w:r>
      <w:r w:rsidR="00DE7A50">
        <w:rPr>
          <w:rFonts w:ascii="Aptos" w:eastAsia="Aptos" w:hAnsi="Aptos" w:cs="Aptos"/>
          <w:color w:val="000000" w:themeColor="text1"/>
        </w:rPr>
        <w:t>communities</w:t>
      </w:r>
      <w:r w:rsidR="007521F4" w:rsidRPr="2CB7A87C">
        <w:rPr>
          <w:rFonts w:ascii="Aptos" w:eastAsia="Aptos" w:hAnsi="Aptos" w:cs="Aptos"/>
          <w:color w:val="000000" w:themeColor="text1"/>
        </w:rPr>
        <w:t xml:space="preserve"> who </w:t>
      </w:r>
      <w:r w:rsidR="004F19E7">
        <w:rPr>
          <w:rFonts w:ascii="Aptos" w:eastAsia="Aptos" w:hAnsi="Aptos" w:cs="Aptos"/>
          <w:color w:val="000000" w:themeColor="text1"/>
        </w:rPr>
        <w:t>may</w:t>
      </w:r>
      <w:r w:rsidR="007521F4">
        <w:rPr>
          <w:rFonts w:ascii="Aptos" w:eastAsia="Aptos" w:hAnsi="Aptos" w:cs="Aptos"/>
          <w:color w:val="000000" w:themeColor="text1"/>
        </w:rPr>
        <w:t xml:space="preserve"> </w:t>
      </w:r>
      <w:r w:rsidR="007521F4" w:rsidRPr="2CB7A87C">
        <w:rPr>
          <w:rFonts w:ascii="Aptos" w:eastAsia="Aptos" w:hAnsi="Aptos" w:cs="Aptos"/>
          <w:color w:val="000000" w:themeColor="text1"/>
        </w:rPr>
        <w:t>experience</w:t>
      </w:r>
      <w:r w:rsidR="003F4B54">
        <w:rPr>
          <w:rFonts w:ascii="Aptos" w:eastAsia="Aptos" w:hAnsi="Aptos" w:cs="Aptos"/>
          <w:color w:val="000000" w:themeColor="text1"/>
        </w:rPr>
        <w:t xml:space="preserve"> a greater power imbalance</w:t>
      </w:r>
      <w:r w:rsidR="007521F4" w:rsidRPr="2CB7A87C">
        <w:rPr>
          <w:rFonts w:ascii="Aptos" w:eastAsia="Aptos" w:hAnsi="Aptos" w:cs="Aptos"/>
          <w:color w:val="000000" w:themeColor="text1"/>
        </w:rPr>
        <w:t xml:space="preserve"> when engaging in care and are </w:t>
      </w:r>
      <w:r w:rsidR="00B611F4">
        <w:rPr>
          <w:rFonts w:ascii="Aptos" w:eastAsia="Aptos" w:hAnsi="Aptos" w:cs="Aptos"/>
          <w:color w:val="000000" w:themeColor="text1"/>
        </w:rPr>
        <w:t>less</w:t>
      </w:r>
      <w:r w:rsidR="007521F4" w:rsidRPr="2CB7A87C">
        <w:rPr>
          <w:rFonts w:ascii="Aptos" w:eastAsia="Aptos" w:hAnsi="Aptos" w:cs="Aptos"/>
          <w:color w:val="000000" w:themeColor="text1"/>
        </w:rPr>
        <w:t xml:space="preserve"> likely to raise concerns</w:t>
      </w:r>
      <w:r w:rsidR="00275DF5">
        <w:rPr>
          <w:rFonts w:ascii="Aptos" w:eastAsia="Aptos" w:hAnsi="Aptos" w:cs="Aptos"/>
          <w:color w:val="000000" w:themeColor="text1"/>
        </w:rPr>
        <w:t>, including M</w:t>
      </w:r>
      <w:r w:rsidR="00AE1BE6">
        <w:rPr>
          <w:rFonts w:ascii="Aptos" w:eastAsia="Aptos" w:hAnsi="Aptos" w:cs="Aptos"/>
          <w:color w:val="000000" w:themeColor="text1"/>
        </w:rPr>
        <w:t>āori and tāngata whaikaha</w:t>
      </w:r>
      <w:r w:rsidR="008D6317">
        <w:rPr>
          <w:rFonts w:ascii="Aptos" w:eastAsia="Aptos" w:hAnsi="Aptos" w:cs="Aptos"/>
          <w:color w:val="000000" w:themeColor="text1"/>
        </w:rPr>
        <w:t xml:space="preserve"> </w:t>
      </w:r>
      <w:r w:rsidR="00974466">
        <w:rPr>
          <w:rFonts w:ascii="Aptos" w:eastAsia="Aptos" w:hAnsi="Aptos" w:cs="Aptos"/>
          <w:color w:val="000000" w:themeColor="text1"/>
        </w:rPr>
        <w:t>|</w:t>
      </w:r>
      <w:r w:rsidR="008D6317">
        <w:rPr>
          <w:rFonts w:ascii="Aptos" w:eastAsia="Aptos" w:hAnsi="Aptos" w:cs="Aptos"/>
          <w:color w:val="000000" w:themeColor="text1"/>
        </w:rPr>
        <w:t xml:space="preserve"> </w:t>
      </w:r>
      <w:r w:rsidR="00974466">
        <w:rPr>
          <w:rFonts w:ascii="Aptos" w:eastAsia="Aptos" w:hAnsi="Aptos" w:cs="Aptos"/>
          <w:color w:val="000000" w:themeColor="text1"/>
        </w:rPr>
        <w:t>disabled people</w:t>
      </w:r>
      <w:r w:rsidR="007521F4" w:rsidRPr="2CB7A87C">
        <w:rPr>
          <w:rFonts w:ascii="Aptos" w:eastAsia="Aptos" w:hAnsi="Aptos" w:cs="Aptos"/>
          <w:color w:val="000000" w:themeColor="text1"/>
        </w:rPr>
        <w:t xml:space="preserve">. </w:t>
      </w:r>
    </w:p>
    <w:p w14:paraId="31D7C6D2" w14:textId="2124659F" w:rsidR="007521F4" w:rsidRDefault="007521F4" w:rsidP="007521F4">
      <w:r>
        <w:t xml:space="preserve">Overall, most people and organisations we heard from supported the issues we set out and the principles behind our suggestions for change. Generally, people and organisations were united in wanting a fair, accessible, and responsive Act and Code and more timely, people-centred </w:t>
      </w:r>
      <w:r w:rsidR="00436B7B">
        <w:t>complaints</w:t>
      </w:r>
      <w:r>
        <w:t xml:space="preserve"> resolution. </w:t>
      </w:r>
    </w:p>
    <w:p w14:paraId="3DF323BB" w14:textId="36ABB44F" w:rsidR="007521F4" w:rsidRDefault="007521F4" w:rsidP="007521F4">
      <w:pPr>
        <w:spacing w:after="360" w:line="278" w:lineRule="auto"/>
      </w:pPr>
      <w:r>
        <w:t>This document provides a high-level summary of the ‘</w:t>
      </w:r>
      <w:r w:rsidRPr="009C2A17">
        <w:rPr>
          <w:i/>
          <w:iCs/>
        </w:rPr>
        <w:t>Recommendations Report | He Tuhinga Taunaki. Review of the Health and Disability Commissioner Act 1994 and the Code of Health and Disability Services Consumers’ Rights</w:t>
      </w:r>
      <w:r>
        <w:t>’</w:t>
      </w:r>
      <w:r w:rsidRPr="002A3374">
        <w:rPr>
          <w:i/>
          <w:iCs/>
        </w:rPr>
        <w:t>.</w:t>
      </w:r>
      <w:r>
        <w:t xml:space="preserve"> You can find the full report at review.hdc.org.nz.   </w:t>
      </w:r>
    </w:p>
    <w:p w14:paraId="17B21DEB" w14:textId="1A08DE8A" w:rsidR="00744309" w:rsidRDefault="00744309" w:rsidP="00744309">
      <w:pPr>
        <w:rPr>
          <w:rFonts w:ascii="Aptos" w:eastAsia="Aptos" w:hAnsi="Aptos" w:cs="Aptos"/>
          <w:b/>
          <w:bCs/>
          <w:color w:val="000000" w:themeColor="text1"/>
        </w:rPr>
      </w:pPr>
      <w:r w:rsidRPr="00B24546">
        <w:rPr>
          <w:rFonts w:ascii="Aptos" w:eastAsia="Aptos" w:hAnsi="Aptos" w:cs="Aptos"/>
          <w:b/>
          <w:bCs/>
          <w:color w:val="000000" w:themeColor="text1"/>
          <w:sz w:val="32"/>
          <w:szCs w:val="32"/>
        </w:rPr>
        <w:t xml:space="preserve">Approach </w:t>
      </w:r>
      <w:r w:rsidRPr="00B24546">
        <w:rPr>
          <w:rFonts w:asciiTheme="majorHAnsi" w:eastAsiaTheme="majorEastAsia" w:hAnsiTheme="majorHAnsi" w:cstheme="majorBidi"/>
          <w:b/>
          <w:bCs/>
          <w:color w:val="A6192E"/>
          <w:sz w:val="28"/>
          <w:szCs w:val="32"/>
        </w:rPr>
        <w:t xml:space="preserve">| </w:t>
      </w:r>
      <w:r w:rsidR="006A5B87">
        <w:rPr>
          <w:rFonts w:asciiTheme="majorHAnsi" w:eastAsiaTheme="majorEastAsia" w:hAnsiTheme="majorHAnsi" w:cstheme="majorBidi"/>
          <w:b/>
          <w:bCs/>
          <w:color w:val="A6192E"/>
          <w:sz w:val="28"/>
          <w:szCs w:val="32"/>
        </w:rPr>
        <w:t>Te Tukanga</w:t>
      </w:r>
    </w:p>
    <w:p w14:paraId="273289CD" w14:textId="77777777" w:rsidR="00744309" w:rsidRPr="00A91967" w:rsidRDefault="00744309" w:rsidP="00744309">
      <w:pPr>
        <w:rPr>
          <w:rFonts w:ascii="Aptos" w:eastAsia="Aptos" w:hAnsi="Aptos" w:cs="Aptos"/>
          <w:color w:val="000000" w:themeColor="text1"/>
        </w:rPr>
      </w:pPr>
      <w:r>
        <w:t xml:space="preserve">Initial engagement with stakeholders found substantial agreement on the priorities for the review. These were shaped into five focus areas: </w:t>
      </w:r>
    </w:p>
    <w:p w14:paraId="58DD579C" w14:textId="77777777" w:rsidR="00744309" w:rsidRDefault="00744309" w:rsidP="00744309">
      <w:pPr>
        <w:pStyle w:val="ListParagraph"/>
        <w:numPr>
          <w:ilvl w:val="0"/>
          <w:numId w:val="38"/>
        </w:numPr>
      </w:pPr>
      <w:r>
        <w:t>Supporting better and equitable complaints resolution;</w:t>
      </w:r>
    </w:p>
    <w:p w14:paraId="3E76E938" w14:textId="77777777" w:rsidR="00744309" w:rsidRDefault="00744309" w:rsidP="00744309">
      <w:pPr>
        <w:pStyle w:val="ListParagraph"/>
        <w:numPr>
          <w:ilvl w:val="0"/>
          <w:numId w:val="38"/>
        </w:numPr>
      </w:pPr>
      <w:r>
        <w:t>Making the Act and the Code more effective for and responsive to the needs of Māori;</w:t>
      </w:r>
    </w:p>
    <w:p w14:paraId="72DDD23F" w14:textId="77777777" w:rsidR="00744309" w:rsidRDefault="00744309" w:rsidP="00744309">
      <w:pPr>
        <w:pStyle w:val="ListParagraph"/>
        <w:numPr>
          <w:ilvl w:val="0"/>
          <w:numId w:val="38"/>
        </w:numPr>
      </w:pPr>
      <w:r>
        <w:lastRenderedPageBreak/>
        <w:t>Making the Act and the Code work better for tāngata whaikaha | disabled people</w:t>
      </w:r>
    </w:p>
    <w:p w14:paraId="42D7B0F9" w14:textId="77777777" w:rsidR="00744309" w:rsidRDefault="00744309" w:rsidP="00744309">
      <w:pPr>
        <w:pStyle w:val="ListParagraph"/>
        <w:numPr>
          <w:ilvl w:val="0"/>
          <w:numId w:val="38"/>
        </w:numPr>
      </w:pPr>
      <w:r>
        <w:t>Considering options for a right of appeal of HDC decisions; and</w:t>
      </w:r>
    </w:p>
    <w:p w14:paraId="67AD247C" w14:textId="77777777" w:rsidR="00744309" w:rsidRDefault="00744309" w:rsidP="00744309">
      <w:pPr>
        <w:pStyle w:val="ListParagraph"/>
        <w:numPr>
          <w:ilvl w:val="0"/>
          <w:numId w:val="38"/>
        </w:numPr>
      </w:pPr>
      <w:r>
        <w:t>Minor and technical improvements</w:t>
      </w:r>
    </w:p>
    <w:p w14:paraId="785D95B1" w14:textId="7B5DA837" w:rsidR="00744309" w:rsidRDefault="00744309" w:rsidP="00744309">
      <w:r>
        <w:t>We wanted to make sure that anyone who wanted to, could have a say in this review. We</w:t>
      </w:r>
      <w:r w:rsidRPr="0078370A">
        <w:t xml:space="preserve"> used a mix of engagement approaches </w:t>
      </w:r>
      <w:r>
        <w:t xml:space="preserve">and had a particular focus on hearing from priority populations as outlined in the </w:t>
      </w:r>
      <w:r w:rsidRPr="0078370A">
        <w:t xml:space="preserve">Pae Ora (Healthy Futures) </w:t>
      </w:r>
      <w:r w:rsidR="00066390" w:rsidRPr="0078370A">
        <w:t>Act —</w:t>
      </w:r>
      <w:r w:rsidRPr="0078370A">
        <w:t xml:space="preserve"> </w:t>
      </w:r>
      <w:r>
        <w:t xml:space="preserve">including </w:t>
      </w:r>
      <w:r w:rsidRPr="0078370A">
        <w:t xml:space="preserve">Māori, </w:t>
      </w:r>
      <w:r>
        <w:t>t</w:t>
      </w:r>
      <w:r w:rsidRPr="0078370A">
        <w:t>āngata whaikaha</w:t>
      </w:r>
      <w:r>
        <w:t xml:space="preserve"> </w:t>
      </w:r>
      <w:r w:rsidRPr="0078370A">
        <w:t>|</w:t>
      </w:r>
      <w:r>
        <w:t xml:space="preserve"> </w:t>
      </w:r>
      <w:r w:rsidRPr="0078370A">
        <w:t xml:space="preserve">disabled people, and Pacific peoples. </w:t>
      </w:r>
      <w:r>
        <w:t>We also ensured Māori, tāngata whaikaha | disabled people and Pacific representation in the analysis and interpretation of feedback.</w:t>
      </w:r>
    </w:p>
    <w:p w14:paraId="39448FAD" w14:textId="4AEEA1AD" w:rsidR="00744309" w:rsidRDefault="00744309" w:rsidP="00744309">
      <w:r>
        <w:t>Given the different barriers faced by t</w:t>
      </w:r>
      <w:r>
        <w:rPr>
          <w:lang w:val="mi-NZ"/>
        </w:rPr>
        <w:t xml:space="preserve">āngata whaikaha | disabled people, we made sure we were hearing from different groups within the disability community, including people with </w:t>
      </w:r>
      <w:r w:rsidR="002C47D2">
        <w:rPr>
          <w:lang w:val="mi-NZ"/>
        </w:rPr>
        <w:t xml:space="preserve">a </w:t>
      </w:r>
      <w:r>
        <w:rPr>
          <w:lang w:val="mi-NZ"/>
        </w:rPr>
        <w:t xml:space="preserve">learning disability, the Deaf community, and people with lived experience of mental distress. </w:t>
      </w:r>
      <w:r>
        <w:t xml:space="preserve">  </w:t>
      </w:r>
    </w:p>
    <w:p w14:paraId="2B7DE475" w14:textId="618CF9E8" w:rsidR="00744309" w:rsidRPr="00744309" w:rsidRDefault="00744309" w:rsidP="00744309">
      <w:pPr>
        <w:rPr>
          <w:color w:val="000000" w:themeColor="text1"/>
        </w:rPr>
      </w:pPr>
      <w:r w:rsidRPr="007C2884">
        <w:t xml:space="preserve">We received </w:t>
      </w:r>
      <w:r>
        <w:t xml:space="preserve">a record number of </w:t>
      </w:r>
      <w:r w:rsidRPr="007C2884">
        <w:t xml:space="preserve">submissions </w:t>
      </w:r>
      <w:r>
        <w:t>(259)</w:t>
      </w:r>
      <w:r w:rsidRPr="007C2884">
        <w:t xml:space="preserve"> during the public consultation period and met with hundreds of people and organisations </w:t>
      </w:r>
      <w:r>
        <w:t>over</w:t>
      </w:r>
      <w:r w:rsidRPr="007C2884">
        <w:t xml:space="preserve"> the</w:t>
      </w:r>
      <w:r>
        <w:t xml:space="preserve"> course of the</w:t>
      </w:r>
      <w:r w:rsidRPr="007C2884">
        <w:t xml:space="preserve"> review.</w:t>
      </w:r>
    </w:p>
    <w:p w14:paraId="09B76B43" w14:textId="0F30B444" w:rsidR="0030073F" w:rsidRPr="00912644" w:rsidRDefault="007C076E" w:rsidP="008E2986">
      <w:pPr>
        <w:pStyle w:val="Heading2"/>
        <w:rPr>
          <w:b w:val="0"/>
          <w:bCs w:val="0"/>
          <w:color w:val="A6192E"/>
          <w:sz w:val="28"/>
        </w:rPr>
      </w:pPr>
      <w:bookmarkStart w:id="1" w:name="_Toc190957568"/>
      <w:r w:rsidRPr="003226E1">
        <w:t>Our findings</w:t>
      </w:r>
      <w:r w:rsidR="007B7664" w:rsidRPr="00912644">
        <w:rPr>
          <w:color w:val="A6192E"/>
          <w:sz w:val="28"/>
        </w:rPr>
        <w:t xml:space="preserve"> and recommendations</w:t>
      </w:r>
      <w:r w:rsidR="00AA381E" w:rsidRPr="00912644">
        <w:rPr>
          <w:color w:val="A6192E"/>
          <w:sz w:val="28"/>
        </w:rPr>
        <w:t xml:space="preserve"> | </w:t>
      </w:r>
      <w:r w:rsidR="003122A6">
        <w:rPr>
          <w:color w:val="A6192E"/>
          <w:sz w:val="28"/>
        </w:rPr>
        <w:t>Ngā whakataunga kōrero</w:t>
      </w:r>
      <w:bookmarkEnd w:id="1"/>
    </w:p>
    <w:p w14:paraId="1ED3ECC4" w14:textId="77777777" w:rsidR="003C7047" w:rsidRDefault="003C7047" w:rsidP="003C7047">
      <w:pPr>
        <w:spacing w:after="120" w:line="278" w:lineRule="auto"/>
      </w:pPr>
      <w:r>
        <w:t xml:space="preserve">Overall, we found that the Act and the Code are generally working well and that most of the changes people wanted to see are best addressed operationally. However, some changes to the Act and the Code are needed to align with modern expectations, help shift practice in the sector and improve the way HDC operates. </w:t>
      </w:r>
    </w:p>
    <w:p w14:paraId="084EC59B" w14:textId="0EBC3657" w:rsidR="00565A8D" w:rsidRPr="00B64955" w:rsidRDefault="00565A8D" w:rsidP="003C7047">
      <w:pPr>
        <w:spacing w:after="120" w:line="278" w:lineRule="auto"/>
        <w:rPr>
          <w:b/>
          <w:bCs/>
          <w:iCs/>
        </w:rPr>
      </w:pPr>
      <w:r w:rsidRPr="00B64955">
        <w:rPr>
          <w:b/>
          <w:bCs/>
          <w:iCs/>
        </w:rPr>
        <w:t>Making the Act and Code more responsive to Māori and disabled people</w:t>
      </w:r>
    </w:p>
    <w:p w14:paraId="432EE036" w14:textId="0E51D1D2" w:rsidR="003C7047" w:rsidRDefault="003C7047" w:rsidP="003C7047">
      <w:pPr>
        <w:spacing w:after="120" w:line="278" w:lineRule="auto"/>
      </w:pPr>
      <w:r>
        <w:t>While the Code is</w:t>
      </w:r>
      <w:r w:rsidR="00CF6B67">
        <w:t xml:space="preserve"> </w:t>
      </w:r>
      <w:r>
        <w:t xml:space="preserve">flexible enough to adapt to a changing context, </w:t>
      </w:r>
      <w:r w:rsidR="00EC044E">
        <w:t xml:space="preserve">we </w:t>
      </w:r>
      <w:r>
        <w:t xml:space="preserve">found that small changes are needed to make people’s rights clearer and ensure the Code is inclusive of all communities. </w:t>
      </w:r>
    </w:p>
    <w:p w14:paraId="785C5C9E" w14:textId="4AA65A95" w:rsidR="003C7047" w:rsidRDefault="003C7047" w:rsidP="003C7047">
      <w:pPr>
        <w:spacing w:after="120" w:line="278" w:lineRule="auto"/>
      </w:pPr>
      <w:r w:rsidRPr="00EE2085">
        <w:rPr>
          <w:rFonts w:eastAsia="Calibri" w:cs="Calibri"/>
        </w:rPr>
        <w:t xml:space="preserve">For Māori and </w:t>
      </w:r>
      <w:r>
        <w:rPr>
          <w:rFonts w:eastAsia="Calibri" w:cs="Calibri"/>
        </w:rPr>
        <w:t xml:space="preserve">tāngata whaikaha | </w:t>
      </w:r>
      <w:r w:rsidRPr="00EE2085">
        <w:rPr>
          <w:rFonts w:eastAsia="Calibri" w:cs="Calibri"/>
        </w:rPr>
        <w:t xml:space="preserve">disabled people in particular, this means being more explicit about existing obligations </w:t>
      </w:r>
      <w:r w:rsidR="00225C9A">
        <w:rPr>
          <w:rFonts w:eastAsia="Calibri" w:cs="Calibri"/>
        </w:rPr>
        <w:t xml:space="preserve">on providers </w:t>
      </w:r>
      <w:r>
        <w:rPr>
          <w:rFonts w:eastAsia="Calibri" w:cs="Calibri"/>
        </w:rPr>
        <w:t xml:space="preserve">in order </w:t>
      </w:r>
      <w:r w:rsidRPr="00EE2085">
        <w:rPr>
          <w:rFonts w:eastAsia="Calibri" w:cs="Calibri"/>
        </w:rPr>
        <w:t>to address systemic barriers</w:t>
      </w:r>
      <w:r w:rsidR="00D65DDA">
        <w:rPr>
          <w:rFonts w:eastAsia="Calibri" w:cs="Calibri"/>
        </w:rPr>
        <w:t xml:space="preserve"> </w:t>
      </w:r>
      <w:r w:rsidRPr="00EE2085">
        <w:rPr>
          <w:rFonts w:eastAsia="Calibri" w:cs="Calibri"/>
        </w:rPr>
        <w:t xml:space="preserve">and embed cultural safety.  </w:t>
      </w:r>
      <w:r>
        <w:rPr>
          <w:rFonts w:eastAsia="Calibri" w:cs="Calibri"/>
        </w:rPr>
        <w:t xml:space="preserve">Our recommendations include </w:t>
      </w:r>
      <w:r>
        <w:t xml:space="preserve">changing language </w:t>
      </w:r>
      <w:r w:rsidR="00A02A13">
        <w:t>in the Code</w:t>
      </w:r>
      <w:r>
        <w:t xml:space="preserve"> to reinforce accessibility and support inclusion; and adding </w:t>
      </w:r>
      <w:r w:rsidR="00DE08FA">
        <w:t xml:space="preserve">the right for people to have tikanga taken into account when </w:t>
      </w:r>
      <w:r w:rsidR="000426DF">
        <w:t>care is being</w:t>
      </w:r>
      <w:r w:rsidR="00DD314E">
        <w:t xml:space="preserve"> provided</w:t>
      </w:r>
      <w:r w:rsidR="000426DF">
        <w:t xml:space="preserve"> to them</w:t>
      </w:r>
      <w:r w:rsidR="005477BB">
        <w:t>.</w:t>
      </w:r>
    </w:p>
    <w:p w14:paraId="0A5A13E9" w14:textId="06F12D16" w:rsidR="003C7047" w:rsidRDefault="003C7047" w:rsidP="003C7047">
      <w:pPr>
        <w:spacing w:after="120" w:line="278" w:lineRule="auto"/>
      </w:pPr>
      <w:r>
        <w:t xml:space="preserve">These changes would </w:t>
      </w:r>
      <w:r w:rsidRPr="6F6C3F51">
        <w:t>re</w:t>
      </w:r>
      <w:r>
        <w:t>inforce current expectations of practice while helping people to see the Code as more reflective of their needs and values. Some of these changes will need to be supported by guidance</w:t>
      </w:r>
      <w:r w:rsidR="00412C92">
        <w:t xml:space="preserve"> for the sector</w:t>
      </w:r>
      <w:r>
        <w:t>.</w:t>
      </w:r>
    </w:p>
    <w:p w14:paraId="3CBA8485" w14:textId="37E7EEAB" w:rsidR="003C7047" w:rsidRDefault="00A96EB4" w:rsidP="003C7047">
      <w:pPr>
        <w:spacing w:after="120" w:line="278" w:lineRule="auto"/>
      </w:pPr>
      <w:r>
        <w:t>Stakeholders considered that e</w:t>
      </w:r>
      <w:r w:rsidR="005A196E">
        <w:t>nsuring</w:t>
      </w:r>
      <w:r w:rsidR="00CD46AC">
        <w:t xml:space="preserve"> </w:t>
      </w:r>
      <w:r w:rsidR="003C7047">
        <w:t xml:space="preserve">the </w:t>
      </w:r>
      <w:r w:rsidR="00CD46AC">
        <w:t>Act provided for</w:t>
      </w:r>
      <w:r w:rsidR="005A196E">
        <w:t xml:space="preserve"> </w:t>
      </w:r>
      <w:r w:rsidR="00CD46AC">
        <w:t>appropriate</w:t>
      </w:r>
      <w:r w:rsidR="003C7047">
        <w:t xml:space="preserve"> leadership within HDC was essential to ensuring </w:t>
      </w:r>
      <w:r w:rsidR="00904AA0">
        <w:t>HDC’s</w:t>
      </w:r>
      <w:r w:rsidR="003C7047">
        <w:t xml:space="preserve"> ability to protect and promote the rights of all communities. We heard this </w:t>
      </w:r>
      <w:r w:rsidR="00D70E76">
        <w:t>i</w:t>
      </w:r>
      <w:r w:rsidR="003C7047">
        <w:t xml:space="preserve">s particularly important in relation to </w:t>
      </w:r>
      <w:r w:rsidR="00D70E76">
        <w:t>HDC’s</w:t>
      </w:r>
      <w:r w:rsidR="003A1BA1">
        <w:t xml:space="preserve"> capability</w:t>
      </w:r>
      <w:r w:rsidR="003C7047">
        <w:t xml:space="preserve"> to </w:t>
      </w:r>
      <w:r w:rsidR="003C7047">
        <w:lastRenderedPageBreak/>
        <w:t xml:space="preserve">understand, </w:t>
      </w:r>
      <w:r w:rsidR="00D70E76">
        <w:t>embed</w:t>
      </w:r>
      <w:r w:rsidR="003C7047">
        <w:t xml:space="preserve"> and </w:t>
      </w:r>
      <w:r w:rsidR="00D70E76">
        <w:t>demonstrate</w:t>
      </w:r>
      <w:r w:rsidR="003C7047">
        <w:t xml:space="preserve"> tikanga</w:t>
      </w:r>
      <w:r w:rsidR="007034A2">
        <w:t xml:space="preserve"> and</w:t>
      </w:r>
      <w:r w:rsidR="00463763">
        <w:t xml:space="preserve"> </w:t>
      </w:r>
      <w:r w:rsidR="00CD0353">
        <w:t>to ensure the rights of disabled people are understood and upheld</w:t>
      </w:r>
      <w:r w:rsidR="003C7047">
        <w:t>.  We</w:t>
      </w:r>
      <w:r w:rsidR="00290709">
        <w:t xml:space="preserve"> therefore</w:t>
      </w:r>
      <w:r w:rsidR="003C7047">
        <w:t xml:space="preserve"> recommend introducing collective requirements for the appointment of Deputy Commissioners into the Act. These would include attributes relating to knowledge, experience and expertise of ao Māori, </w:t>
      </w:r>
      <w:r w:rsidR="00B96AC9">
        <w:t xml:space="preserve">including but not limited to </w:t>
      </w:r>
      <w:r w:rsidR="003C7047">
        <w:t>tikanga</w:t>
      </w:r>
      <w:r w:rsidR="008A2CFC">
        <w:t xml:space="preserve"> Māori</w:t>
      </w:r>
      <w:r w:rsidR="003C7047">
        <w:t xml:space="preserve">, and reo Māori; </w:t>
      </w:r>
      <w:r w:rsidR="00586E09">
        <w:t>and</w:t>
      </w:r>
      <w:r w:rsidR="003C7047">
        <w:t xml:space="preserve"> </w:t>
      </w:r>
      <w:r w:rsidR="00CE029F">
        <w:rPr>
          <w:bCs/>
        </w:rPr>
        <w:t>an understanding of the rights of disabled people and the operation of the disability support sector</w:t>
      </w:r>
      <w:r w:rsidR="005312F1">
        <w:rPr>
          <w:bCs/>
        </w:rPr>
        <w:t>.</w:t>
      </w:r>
      <w:r w:rsidR="003C7047">
        <w:t xml:space="preserve"> </w:t>
      </w:r>
    </w:p>
    <w:p w14:paraId="46E09B87" w14:textId="757C77B7" w:rsidR="008600D4" w:rsidRDefault="00DE7312" w:rsidP="002439E9">
      <w:pPr>
        <w:spacing w:before="120" w:after="120" w:line="276" w:lineRule="auto"/>
      </w:pPr>
      <w:r>
        <w:t>There was significant support for the Act to</w:t>
      </w:r>
      <w:r w:rsidR="007A758B">
        <w:t xml:space="preserve"> provide specific provisions to give practical effect to Te Tiriti o Waitangi, </w:t>
      </w:r>
      <w:r w:rsidR="002E18B3">
        <w:t xml:space="preserve">with </w:t>
      </w:r>
      <w:r w:rsidR="005E31DB">
        <w:t xml:space="preserve">people wanting to see both general and specific provisions included in the Act. </w:t>
      </w:r>
      <w:r w:rsidR="002A3502">
        <w:t xml:space="preserve">While ensuring appropriate leadership within HDC was seen as the most important change that could be made, </w:t>
      </w:r>
      <w:r w:rsidR="002F39CC">
        <w:t xml:space="preserve">people </w:t>
      </w:r>
      <w:r w:rsidR="002A3502">
        <w:t xml:space="preserve">also </w:t>
      </w:r>
      <w:r w:rsidR="002F39CC">
        <w:t xml:space="preserve">wanted the Act to </w:t>
      </w:r>
      <w:r w:rsidR="00AB65C4">
        <w:t>require effective e</w:t>
      </w:r>
      <w:r w:rsidR="005E31DB" w:rsidRPr="00F15359">
        <w:t>ngagement with Māori</w:t>
      </w:r>
      <w:r w:rsidR="00AF04B0">
        <w:t>, particularly in relation to reviews of the Act and Code and advocacy guidelines,</w:t>
      </w:r>
      <w:r w:rsidR="005E31DB">
        <w:t xml:space="preserve"> and </w:t>
      </w:r>
      <w:r w:rsidR="0027475F">
        <w:t xml:space="preserve">to account for </w:t>
      </w:r>
      <w:r w:rsidR="005E31DB">
        <w:t>the importance of engaging with representatives that have been determined by mātauranga Māori | Māori knowledge systems</w:t>
      </w:r>
      <w:r w:rsidR="00AB65C4">
        <w:t xml:space="preserve">. </w:t>
      </w:r>
      <w:r w:rsidR="00C724F4">
        <w:t xml:space="preserve">People also wanted provision for </w:t>
      </w:r>
      <w:r w:rsidR="005E31DB" w:rsidRPr="00F15359">
        <w:t>the promotion and protection of tikanga in complaints management, including in the delivery of hui ā-whānau</w:t>
      </w:r>
      <w:r w:rsidR="00362F92">
        <w:rPr>
          <w:rStyle w:val="FootnoteReference"/>
        </w:rPr>
        <w:footnoteReference w:id="2"/>
      </w:r>
      <w:r w:rsidR="005E31DB" w:rsidRPr="00F15359">
        <w:t xml:space="preserve"> and hohou te rongo</w:t>
      </w:r>
      <w:r w:rsidR="00362F92">
        <w:rPr>
          <w:rStyle w:val="FootnoteReference"/>
        </w:rPr>
        <w:footnoteReference w:id="3"/>
      </w:r>
      <w:r w:rsidR="005E31DB" w:rsidRPr="00F15359">
        <w:t>.</w:t>
      </w:r>
      <w:r w:rsidR="00C91252">
        <w:t xml:space="preserve"> </w:t>
      </w:r>
    </w:p>
    <w:p w14:paraId="11B255F4" w14:textId="628D7856" w:rsidR="003D38E4" w:rsidRPr="00DC4216" w:rsidRDefault="00C91252" w:rsidP="002439E9">
      <w:pPr>
        <w:spacing w:before="120" w:after="120" w:line="276" w:lineRule="auto"/>
      </w:pPr>
      <w:r>
        <w:t xml:space="preserve">We </w:t>
      </w:r>
      <w:r w:rsidR="002439E9">
        <w:t>agree that there is s</w:t>
      </w:r>
      <w:r w:rsidR="007B7449">
        <w:t>ubstantial</w:t>
      </w:r>
      <w:r w:rsidR="002439E9">
        <w:t xml:space="preserve"> scope for the Act to </w:t>
      </w:r>
      <w:r w:rsidR="00CF5FD6">
        <w:t xml:space="preserve">give practical effect to Te Tiriti o Waitangi and </w:t>
      </w:r>
      <w:r>
        <w:t xml:space="preserve">recommend </w:t>
      </w:r>
      <w:r w:rsidR="00403798">
        <w:t>both general and specific provisions are included in the Act</w:t>
      </w:r>
      <w:r w:rsidR="00E61C6D">
        <w:t>, informed by the submissions we received during consultation</w:t>
      </w:r>
      <w:r w:rsidR="00047340">
        <w:t xml:space="preserve">. </w:t>
      </w:r>
      <w:r w:rsidR="00CF5FD6">
        <w:t xml:space="preserve">We </w:t>
      </w:r>
      <w:r w:rsidR="00E61C6D">
        <w:t>share stakeholders’ views</w:t>
      </w:r>
      <w:r w:rsidR="00CF5FD6">
        <w:t xml:space="preserve"> </w:t>
      </w:r>
      <w:r w:rsidR="00E52CF5">
        <w:t xml:space="preserve">that this will benefit </w:t>
      </w:r>
      <w:r w:rsidR="002E3DE1">
        <w:t xml:space="preserve">all New Zealanders. </w:t>
      </w:r>
    </w:p>
    <w:p w14:paraId="42822142" w14:textId="09340D9F" w:rsidR="00C95E84" w:rsidRPr="002A32E8" w:rsidRDefault="00C95E84" w:rsidP="002439E9">
      <w:pPr>
        <w:spacing w:before="120" w:after="120" w:line="276" w:lineRule="auto"/>
        <w:rPr>
          <w:b/>
          <w:bCs/>
          <w:iCs/>
        </w:rPr>
      </w:pPr>
      <w:r w:rsidRPr="002A32E8">
        <w:rPr>
          <w:b/>
          <w:bCs/>
          <w:iCs/>
        </w:rPr>
        <w:t xml:space="preserve">People-centred complaints resolution </w:t>
      </w:r>
    </w:p>
    <w:p w14:paraId="5A7AC8F8" w14:textId="56F39F4D" w:rsidR="003C7047" w:rsidRDefault="003C7047" w:rsidP="003C7047">
      <w:pPr>
        <w:spacing w:after="240"/>
        <w:rPr>
          <w:rFonts w:eastAsia="Calibri" w:cs="Calibri"/>
        </w:rPr>
      </w:pPr>
      <w:r>
        <w:rPr>
          <w:rFonts w:eastAsia="Calibri" w:cs="Calibri"/>
        </w:rPr>
        <w:t>People agree that a</w:t>
      </w:r>
      <w:r w:rsidRPr="00EE2085">
        <w:rPr>
          <w:rFonts w:eastAsia="Calibri" w:cs="Calibri"/>
        </w:rPr>
        <w:t xml:space="preserve"> well-functioning complaints system is an important mechanism for </w:t>
      </w:r>
      <w:r>
        <w:rPr>
          <w:rFonts w:eastAsia="Calibri" w:cs="Calibri"/>
        </w:rPr>
        <w:t>highlighting</w:t>
      </w:r>
      <w:r w:rsidRPr="00EE2085">
        <w:rPr>
          <w:rFonts w:eastAsia="Calibri" w:cs="Calibri"/>
        </w:rPr>
        <w:t xml:space="preserve"> and addressing </w:t>
      </w:r>
      <w:r w:rsidR="007C6358">
        <w:rPr>
          <w:rFonts w:eastAsia="Calibri" w:cs="Calibri"/>
        </w:rPr>
        <w:t>quality and safety</w:t>
      </w:r>
      <w:r w:rsidRPr="00EE2085">
        <w:rPr>
          <w:rFonts w:eastAsia="Calibri" w:cs="Calibri"/>
        </w:rPr>
        <w:t xml:space="preserve"> issues</w:t>
      </w:r>
      <w:r w:rsidR="007C6358">
        <w:rPr>
          <w:rFonts w:eastAsia="Calibri" w:cs="Calibri"/>
        </w:rPr>
        <w:t xml:space="preserve"> and improving patient experience</w:t>
      </w:r>
      <w:r w:rsidRPr="00EE2085">
        <w:rPr>
          <w:rFonts w:eastAsia="Calibri" w:cs="Calibri"/>
        </w:rPr>
        <w:t xml:space="preserve">. However, we also heard how </w:t>
      </w:r>
      <w:r>
        <w:rPr>
          <w:rFonts w:eastAsia="Calibri" w:cs="Calibri"/>
        </w:rPr>
        <w:t xml:space="preserve">fear of being treated differently </w:t>
      </w:r>
      <w:r w:rsidR="006D2235">
        <w:rPr>
          <w:rFonts w:eastAsia="Calibri" w:cs="Calibri"/>
        </w:rPr>
        <w:t xml:space="preserve">or losing access to services </w:t>
      </w:r>
      <w:r>
        <w:rPr>
          <w:rFonts w:eastAsia="Calibri" w:cs="Calibri"/>
        </w:rPr>
        <w:t xml:space="preserve">can prevent people from speaking up, how </w:t>
      </w:r>
      <w:r w:rsidRPr="00EE2085">
        <w:rPr>
          <w:rFonts w:eastAsia="Calibri" w:cs="Calibri"/>
        </w:rPr>
        <w:t xml:space="preserve">challenging </w:t>
      </w:r>
      <w:r>
        <w:rPr>
          <w:rFonts w:eastAsia="Calibri" w:cs="Calibri"/>
        </w:rPr>
        <w:t>complaints</w:t>
      </w:r>
      <w:r w:rsidRPr="00EE2085">
        <w:rPr>
          <w:rFonts w:eastAsia="Calibri" w:cs="Calibri"/>
        </w:rPr>
        <w:t xml:space="preserve"> processes can be to navigate</w:t>
      </w:r>
      <w:r>
        <w:rPr>
          <w:rFonts w:eastAsia="Calibri" w:cs="Calibri"/>
        </w:rPr>
        <w:t xml:space="preserve">, </w:t>
      </w:r>
      <w:r w:rsidRPr="00EE2085">
        <w:rPr>
          <w:rFonts w:eastAsia="Calibri" w:cs="Calibri"/>
        </w:rPr>
        <w:t>and how sometimes they add to the distress of those seeking resolution, whether as a consumer, a whānau</w:t>
      </w:r>
      <w:r>
        <w:rPr>
          <w:rFonts w:eastAsia="Calibri" w:cs="Calibri"/>
        </w:rPr>
        <w:t>,</w:t>
      </w:r>
      <w:r w:rsidRPr="00EE2085">
        <w:rPr>
          <w:rFonts w:eastAsia="Calibri" w:cs="Calibri"/>
        </w:rPr>
        <w:t xml:space="preserve"> or a provider.</w:t>
      </w:r>
      <w:r>
        <w:rPr>
          <w:rFonts w:eastAsia="Calibri" w:cs="Calibri"/>
        </w:rPr>
        <w:t xml:space="preserve"> For many communities, existing processes are also not well-aligned to how they resolve issues and restore relationships. </w:t>
      </w:r>
    </w:p>
    <w:p w14:paraId="337CA617" w14:textId="464E96D7" w:rsidR="003C7047" w:rsidRDefault="003C7047" w:rsidP="003C7047">
      <w:pPr>
        <w:spacing w:after="240"/>
      </w:pPr>
      <w:r w:rsidRPr="00EE2085">
        <w:rPr>
          <w:rFonts w:eastAsia="Calibri" w:cs="Calibri"/>
        </w:rPr>
        <w:t xml:space="preserve">This feedback </w:t>
      </w:r>
      <w:r>
        <w:rPr>
          <w:rFonts w:eastAsia="Calibri" w:cs="Calibri"/>
        </w:rPr>
        <w:t xml:space="preserve">reinforces </w:t>
      </w:r>
      <w:r w:rsidRPr="00EE2085">
        <w:rPr>
          <w:rFonts w:eastAsia="Calibri" w:cs="Calibri"/>
        </w:rPr>
        <w:t>the need for a more people-centred approach to complaints</w:t>
      </w:r>
      <w:r>
        <w:rPr>
          <w:rFonts w:eastAsia="Calibri" w:cs="Calibri"/>
        </w:rPr>
        <w:t xml:space="preserve"> —</w:t>
      </w:r>
      <w:r w:rsidRPr="00EE2085">
        <w:rPr>
          <w:rFonts w:eastAsia="Calibri" w:cs="Calibri"/>
        </w:rPr>
        <w:t xml:space="preserve"> one that is timely, accessible, responsive</w:t>
      </w:r>
      <w:r>
        <w:rPr>
          <w:rFonts w:eastAsia="Calibri" w:cs="Calibri"/>
        </w:rPr>
        <w:t>,</w:t>
      </w:r>
      <w:r w:rsidRPr="00EE2085">
        <w:rPr>
          <w:rFonts w:eastAsia="Calibri" w:cs="Calibri"/>
        </w:rPr>
        <w:t xml:space="preserve"> and keeps people safe. </w:t>
      </w:r>
      <w:r>
        <w:t xml:space="preserve">We recommend changes to the Act to provide HDC with more flexibility to respond to complaints in a way that better meets the needs of all parties, including </w:t>
      </w:r>
      <w:r w:rsidR="00303F7C">
        <w:t>the use of</w:t>
      </w:r>
      <w:r>
        <w:t xml:space="preserve"> more</w:t>
      </w:r>
      <w:r w:rsidR="002512A4">
        <w:t xml:space="preserve"> </w:t>
      </w:r>
      <w:r>
        <w:t xml:space="preserve">restorative and culturally </w:t>
      </w:r>
      <w:r>
        <w:lastRenderedPageBreak/>
        <w:t xml:space="preserve">appropriate processes, and to make the overarching principles of complaints resolution for both HDC and providers more people-centred. We’re also using the feedback we received </w:t>
      </w:r>
      <w:r w:rsidR="000A58BA">
        <w:t>about HDC’s processes</w:t>
      </w:r>
      <w:r>
        <w:t xml:space="preserve"> </w:t>
      </w:r>
      <w:r w:rsidR="00167CE5">
        <w:t xml:space="preserve">to </w:t>
      </w:r>
      <w:r w:rsidR="0090734D">
        <w:t>make improvements</w:t>
      </w:r>
      <w:r>
        <w:t xml:space="preserve">.  </w:t>
      </w:r>
    </w:p>
    <w:p w14:paraId="4FFC8B95" w14:textId="5755929A" w:rsidR="003C7047" w:rsidRDefault="003C7047" w:rsidP="003C7047">
      <w:pPr>
        <w:spacing w:after="240"/>
      </w:pPr>
      <w:r>
        <w:t xml:space="preserve">We also recommend changes to the Code which reinforce people’s right to protection against retaliation for making complaints.  This </w:t>
      </w:r>
      <w:r w:rsidR="00125542">
        <w:t>would</w:t>
      </w:r>
      <w:r>
        <w:t xml:space="preserve"> not </w:t>
      </w:r>
      <w:r w:rsidR="00125542">
        <w:t>creat</w:t>
      </w:r>
      <w:r>
        <w:t xml:space="preserve">e new obligations or rights but would provide a more explicit signal to </w:t>
      </w:r>
      <w:r w:rsidRPr="150AE0D0">
        <w:t>support people to feel safe to raise concerns</w:t>
      </w:r>
      <w:r>
        <w:t xml:space="preserve">.  </w:t>
      </w:r>
    </w:p>
    <w:p w14:paraId="2683BB0E" w14:textId="5BDED2D5" w:rsidR="003C7047" w:rsidRDefault="003C7047" w:rsidP="003C7047">
      <w:pPr>
        <w:spacing w:before="120" w:after="120"/>
      </w:pPr>
      <w:r>
        <w:t xml:space="preserve">While mindful of the need to safeguard people’s rights as individuals, people </w:t>
      </w:r>
      <w:r w:rsidR="00096FD7">
        <w:t xml:space="preserve">told us they </w:t>
      </w:r>
      <w:r>
        <w:t>want</w:t>
      </w:r>
      <w:r w:rsidR="00096FD7">
        <w:t>ed</w:t>
      </w:r>
      <w:r>
        <w:t xml:space="preserve"> greater recognition of the role that family, wh</w:t>
      </w:r>
      <w:r>
        <w:rPr>
          <w:lang w:val="mi-NZ"/>
        </w:rPr>
        <w:t xml:space="preserve">ānau and others play in supporting people to uphold their rights. This is particularly important for those who require support to communicate, make decisions, and to raise and resolve issues. </w:t>
      </w:r>
      <w:r>
        <w:t xml:space="preserve">We recommend changes to the Code to strengthen the right to support to make decisions; allow support people to be involved when they can’t be physically present; and give people the right to support to make complaints. </w:t>
      </w:r>
    </w:p>
    <w:p w14:paraId="26ABDF74" w14:textId="70413958" w:rsidR="003C7047" w:rsidRDefault="003C7047" w:rsidP="003C7047">
      <w:pPr>
        <w:spacing w:before="120" w:after="120"/>
      </w:pPr>
      <w:r>
        <w:t>Given the role of advocates in supporting people to understand their rights</w:t>
      </w:r>
      <w:r w:rsidR="00E44327">
        <w:t xml:space="preserve"> and resolve their concerns</w:t>
      </w:r>
      <w:r>
        <w:t>, t</w:t>
      </w:r>
      <w:r w:rsidRPr="00C11E89">
        <w:t>he Director of Advocacy and HDC are</w:t>
      </w:r>
      <w:r>
        <w:t xml:space="preserve"> also </w:t>
      </w:r>
      <w:r w:rsidR="008C7DC2">
        <w:t>considering</w:t>
      </w:r>
      <w:r w:rsidRPr="00C11E89">
        <w:t xml:space="preserve"> the feedback provided and identifying opportunities to respond within </w:t>
      </w:r>
      <w:r>
        <w:t xml:space="preserve">current resourcing. This includes a </w:t>
      </w:r>
      <w:r w:rsidRPr="00C11E89">
        <w:t>focus on building relationships with local</w:t>
      </w:r>
      <w:r>
        <w:t>/community</w:t>
      </w:r>
      <w:r w:rsidRPr="00C11E89">
        <w:t xml:space="preserve"> organisations to increase </w:t>
      </w:r>
      <w:r w:rsidR="00EC35E5">
        <w:t>engagement with</w:t>
      </w:r>
      <w:r w:rsidRPr="00C11E89">
        <w:t xml:space="preserve"> </w:t>
      </w:r>
      <w:r>
        <w:t xml:space="preserve">diverse </w:t>
      </w:r>
      <w:r w:rsidRPr="00C11E89">
        <w:t>communities.</w:t>
      </w:r>
    </w:p>
    <w:p w14:paraId="42B0AB32" w14:textId="44229B89" w:rsidR="00EC35E5" w:rsidRPr="002A32E8" w:rsidRDefault="00D546FD" w:rsidP="003C7047">
      <w:pPr>
        <w:spacing w:before="120" w:after="120"/>
        <w:rPr>
          <w:b/>
          <w:bCs/>
          <w:iCs/>
        </w:rPr>
      </w:pPr>
      <w:r w:rsidRPr="002A32E8">
        <w:rPr>
          <w:b/>
          <w:bCs/>
          <w:iCs/>
        </w:rPr>
        <w:t>Challenging</w:t>
      </w:r>
      <w:r w:rsidR="00EC35E5" w:rsidRPr="002A32E8">
        <w:rPr>
          <w:b/>
          <w:bCs/>
          <w:iCs/>
        </w:rPr>
        <w:t xml:space="preserve"> HDC decisions </w:t>
      </w:r>
    </w:p>
    <w:p w14:paraId="2AA8370A" w14:textId="58090CA9" w:rsidR="003C7047" w:rsidRDefault="003C7047" w:rsidP="003C7047">
      <w:pPr>
        <w:pStyle w:val="NoSpacing"/>
        <w:spacing w:after="240" w:line="276" w:lineRule="auto"/>
        <w:rPr>
          <w:rFonts w:asciiTheme="minorHAnsi" w:hAnsiTheme="minorHAnsi"/>
        </w:rPr>
      </w:pPr>
      <w:r w:rsidRPr="671D7437">
        <w:rPr>
          <w:rFonts w:ascii="Aptos" w:hAnsi="Aptos"/>
        </w:rPr>
        <w:t xml:space="preserve">HDC was asked to consider options to ‘appeal’ HDC decisions following a petition to the Health Select Committee. </w:t>
      </w:r>
      <w:r w:rsidRPr="008D525F">
        <w:rPr>
          <w:rFonts w:asciiTheme="minorHAnsi" w:hAnsiTheme="minorHAnsi"/>
        </w:rPr>
        <w:t xml:space="preserve">The two </w:t>
      </w:r>
      <w:r w:rsidR="00A343C8">
        <w:rPr>
          <w:rFonts w:asciiTheme="minorHAnsi" w:hAnsiTheme="minorHAnsi"/>
        </w:rPr>
        <w:t>changes to the Act</w:t>
      </w:r>
      <w:r w:rsidRPr="008D525F">
        <w:rPr>
          <w:rFonts w:asciiTheme="minorHAnsi" w:hAnsiTheme="minorHAnsi"/>
        </w:rPr>
        <w:t xml:space="preserve"> </w:t>
      </w:r>
      <w:r w:rsidR="00605AE1">
        <w:rPr>
          <w:rFonts w:asciiTheme="minorHAnsi" w:hAnsiTheme="minorHAnsi"/>
        </w:rPr>
        <w:t xml:space="preserve">we </w:t>
      </w:r>
      <w:r w:rsidR="00B47319">
        <w:rPr>
          <w:rFonts w:asciiTheme="minorHAnsi" w:hAnsiTheme="minorHAnsi"/>
        </w:rPr>
        <w:t xml:space="preserve">consulted on </w:t>
      </w:r>
      <w:r w:rsidRPr="008D525F">
        <w:rPr>
          <w:rFonts w:asciiTheme="minorHAnsi" w:hAnsiTheme="minorHAnsi"/>
        </w:rPr>
        <w:t xml:space="preserve">to allow for greater challenge of HDC opinions were to </w:t>
      </w:r>
      <w:r>
        <w:rPr>
          <w:rFonts w:asciiTheme="minorHAnsi" w:hAnsiTheme="minorHAnsi"/>
        </w:rPr>
        <w:t>i</w:t>
      </w:r>
      <w:r w:rsidRPr="008D525F">
        <w:rPr>
          <w:rFonts w:asciiTheme="minorHAnsi" w:hAnsiTheme="minorHAnsi"/>
        </w:rPr>
        <w:t>ntroduce a statutory provision for</w:t>
      </w:r>
      <w:r w:rsidR="00EF662D">
        <w:rPr>
          <w:rFonts w:asciiTheme="minorHAnsi" w:hAnsiTheme="minorHAnsi"/>
        </w:rPr>
        <w:t xml:space="preserve"> HDC to review its decisions</w:t>
      </w:r>
      <w:r>
        <w:rPr>
          <w:rFonts w:asciiTheme="minorHAnsi" w:hAnsiTheme="minorHAnsi"/>
        </w:rPr>
        <w:t>,</w:t>
      </w:r>
      <w:r w:rsidRPr="008D525F">
        <w:rPr>
          <w:rFonts w:asciiTheme="minorHAnsi" w:hAnsiTheme="minorHAnsi"/>
        </w:rPr>
        <w:t xml:space="preserve"> and </w:t>
      </w:r>
      <w:r>
        <w:rPr>
          <w:rFonts w:asciiTheme="minorHAnsi" w:hAnsiTheme="minorHAnsi"/>
        </w:rPr>
        <w:t>to</w:t>
      </w:r>
      <w:r w:rsidRPr="008D525F">
        <w:rPr>
          <w:rFonts w:asciiTheme="minorHAnsi" w:hAnsiTheme="minorHAnsi"/>
        </w:rPr>
        <w:t xml:space="preserve"> </w:t>
      </w:r>
      <w:r>
        <w:rPr>
          <w:rFonts w:asciiTheme="minorHAnsi" w:hAnsiTheme="minorHAnsi"/>
        </w:rPr>
        <w:t>l</w:t>
      </w:r>
      <w:r w:rsidRPr="008D525F">
        <w:rPr>
          <w:rFonts w:asciiTheme="minorHAnsi" w:hAnsiTheme="minorHAnsi"/>
        </w:rPr>
        <w:t>ower the threshold for access to the H</w:t>
      </w:r>
      <w:r>
        <w:rPr>
          <w:rFonts w:asciiTheme="minorHAnsi" w:hAnsiTheme="minorHAnsi"/>
        </w:rPr>
        <w:t xml:space="preserve">uman </w:t>
      </w:r>
      <w:r w:rsidRPr="008D525F">
        <w:rPr>
          <w:rFonts w:asciiTheme="minorHAnsi" w:hAnsiTheme="minorHAnsi"/>
        </w:rPr>
        <w:t>R</w:t>
      </w:r>
      <w:r>
        <w:rPr>
          <w:rFonts w:asciiTheme="minorHAnsi" w:hAnsiTheme="minorHAnsi"/>
        </w:rPr>
        <w:t xml:space="preserve">ights </w:t>
      </w:r>
      <w:r w:rsidRPr="008D525F">
        <w:rPr>
          <w:rFonts w:asciiTheme="minorHAnsi" w:hAnsiTheme="minorHAnsi"/>
        </w:rPr>
        <w:t>R</w:t>
      </w:r>
      <w:r>
        <w:rPr>
          <w:rFonts w:asciiTheme="minorHAnsi" w:hAnsiTheme="minorHAnsi"/>
        </w:rPr>
        <w:t xml:space="preserve">eview </w:t>
      </w:r>
      <w:r w:rsidRPr="008D525F">
        <w:rPr>
          <w:rFonts w:asciiTheme="minorHAnsi" w:hAnsiTheme="minorHAnsi"/>
        </w:rPr>
        <w:t>T</w:t>
      </w:r>
      <w:r>
        <w:rPr>
          <w:rFonts w:asciiTheme="minorHAnsi" w:hAnsiTheme="minorHAnsi"/>
        </w:rPr>
        <w:t>ribunal (HRRT)</w:t>
      </w:r>
      <w:r w:rsidR="00672ECF">
        <w:rPr>
          <w:rStyle w:val="FootnoteReference"/>
          <w:rFonts w:asciiTheme="minorHAnsi" w:hAnsiTheme="minorHAnsi"/>
        </w:rPr>
        <w:footnoteReference w:id="4"/>
      </w:r>
      <w:r w:rsidR="00672ECF">
        <w:rPr>
          <w:rFonts w:asciiTheme="minorHAnsi" w:hAnsiTheme="minorHAnsi"/>
        </w:rPr>
        <w:t>.</w:t>
      </w:r>
      <w:r w:rsidR="00870DD1">
        <w:rPr>
          <w:rFonts w:asciiTheme="minorHAnsi" w:hAnsiTheme="minorHAnsi"/>
        </w:rPr>
        <w:t xml:space="preserve"> </w:t>
      </w:r>
      <w:r w:rsidRPr="003F79BB">
        <w:rPr>
          <w:rFonts w:asciiTheme="minorHAnsi" w:hAnsiTheme="minorHAnsi"/>
        </w:rPr>
        <w:t xml:space="preserve">While there was general support for the intent of such changes, there was a range of views about what this would look like in practice. </w:t>
      </w:r>
    </w:p>
    <w:p w14:paraId="12544291" w14:textId="0043D980" w:rsidR="003C7047" w:rsidRPr="003F79BB" w:rsidRDefault="00970737" w:rsidP="003C7047">
      <w:pPr>
        <w:pStyle w:val="NoSpacing"/>
        <w:spacing w:after="240" w:line="276" w:lineRule="auto"/>
        <w:rPr>
          <w:rFonts w:asciiTheme="minorHAnsi" w:hAnsiTheme="minorHAnsi"/>
          <w:lang w:val="en-US"/>
        </w:rPr>
      </w:pPr>
      <w:r>
        <w:rPr>
          <w:rFonts w:asciiTheme="minorHAnsi" w:hAnsiTheme="minorHAnsi"/>
        </w:rPr>
        <w:t>In considering the options for appeal p</w:t>
      </w:r>
      <w:r w:rsidR="003C7047">
        <w:rPr>
          <w:rFonts w:asciiTheme="minorHAnsi" w:hAnsiTheme="minorHAnsi"/>
        </w:rPr>
        <w:t>eople saw benefits to fairness and access to justice, to people feeling heard and to the quality of HDC’s decision making</w:t>
      </w:r>
      <w:r w:rsidR="00CC22D4">
        <w:rPr>
          <w:rFonts w:asciiTheme="minorHAnsi" w:hAnsiTheme="minorHAnsi"/>
        </w:rPr>
        <w:t>. However</w:t>
      </w:r>
      <w:r w:rsidR="003C7047">
        <w:rPr>
          <w:rFonts w:asciiTheme="minorHAnsi" w:hAnsiTheme="minorHAnsi"/>
        </w:rPr>
        <w:t>, p</w:t>
      </w:r>
      <w:r w:rsidR="003C7047" w:rsidRPr="003F79BB">
        <w:rPr>
          <w:rFonts w:asciiTheme="minorHAnsi" w:hAnsiTheme="minorHAnsi"/>
        </w:rPr>
        <w:t>eople also shared concerns about the potential for increased delay</w:t>
      </w:r>
      <w:r w:rsidR="003C7047">
        <w:rPr>
          <w:rFonts w:asciiTheme="minorHAnsi" w:hAnsiTheme="minorHAnsi"/>
        </w:rPr>
        <w:t>, cost, stress</w:t>
      </w:r>
      <w:r w:rsidR="003C7047" w:rsidRPr="003F79BB">
        <w:rPr>
          <w:rFonts w:asciiTheme="minorHAnsi" w:hAnsiTheme="minorHAnsi"/>
        </w:rPr>
        <w:t xml:space="preserve"> and inequity</w:t>
      </w:r>
      <w:r w:rsidR="003C7047">
        <w:rPr>
          <w:rFonts w:asciiTheme="minorHAnsi" w:hAnsiTheme="minorHAnsi"/>
        </w:rPr>
        <w:t>. Ma</w:t>
      </w:r>
      <w:r w:rsidR="003C7047" w:rsidRPr="003F79BB">
        <w:rPr>
          <w:rFonts w:asciiTheme="minorHAnsi" w:hAnsiTheme="minorHAnsi"/>
        </w:rPr>
        <w:t xml:space="preserve">ny </w:t>
      </w:r>
      <w:r w:rsidR="003C7047">
        <w:rPr>
          <w:rFonts w:asciiTheme="minorHAnsi" w:hAnsiTheme="minorHAnsi"/>
        </w:rPr>
        <w:t xml:space="preserve">thought </w:t>
      </w:r>
      <w:r w:rsidR="003C7047" w:rsidRPr="003F79BB">
        <w:rPr>
          <w:rFonts w:asciiTheme="minorHAnsi" w:hAnsiTheme="minorHAnsi"/>
        </w:rPr>
        <w:t>changes to HDC’s existing complaints process would make the biggest difference.</w:t>
      </w:r>
    </w:p>
    <w:p w14:paraId="458A768A" w14:textId="1BD5FE0F" w:rsidR="003C7047" w:rsidRDefault="003C7047" w:rsidP="003C7047">
      <w:pPr>
        <w:spacing w:after="240"/>
        <w:rPr>
          <w:rFonts w:ascii="Aptos" w:hAnsi="Aptos"/>
        </w:rPr>
      </w:pPr>
      <w:r>
        <w:rPr>
          <w:rFonts w:ascii="Aptos" w:hAnsi="Aptos"/>
        </w:rPr>
        <w:t xml:space="preserve">The option to incorporate a statutory requirement for HDC to review decisions had the most support, with people stressing the need for </w:t>
      </w:r>
      <w:r w:rsidRPr="001826FA">
        <w:rPr>
          <w:rFonts w:ascii="Aptos" w:hAnsi="Aptos"/>
        </w:rPr>
        <w:t xml:space="preserve">a review process </w:t>
      </w:r>
      <w:r>
        <w:rPr>
          <w:rFonts w:ascii="Aptos" w:hAnsi="Aptos"/>
        </w:rPr>
        <w:t>to</w:t>
      </w:r>
      <w:r w:rsidRPr="001826FA">
        <w:rPr>
          <w:rFonts w:ascii="Aptos" w:hAnsi="Aptos"/>
        </w:rPr>
        <w:t xml:space="preserve"> be accessible, transparent, trauma-informed, </w:t>
      </w:r>
      <w:r w:rsidR="00FE4F09">
        <w:rPr>
          <w:rFonts w:ascii="Aptos" w:hAnsi="Aptos"/>
        </w:rPr>
        <w:t xml:space="preserve">independent from the previous </w:t>
      </w:r>
      <w:r w:rsidR="00C47D93">
        <w:rPr>
          <w:rFonts w:ascii="Aptos" w:hAnsi="Aptos"/>
        </w:rPr>
        <w:t xml:space="preserve">decisionmaker, </w:t>
      </w:r>
      <w:r w:rsidRPr="001826FA">
        <w:rPr>
          <w:rFonts w:ascii="Aptos" w:hAnsi="Aptos"/>
        </w:rPr>
        <w:t xml:space="preserve">and equally </w:t>
      </w:r>
      <w:r w:rsidRPr="001826FA">
        <w:rPr>
          <w:rFonts w:ascii="Aptos" w:hAnsi="Aptos"/>
        </w:rPr>
        <w:lastRenderedPageBreak/>
        <w:t>available to providers and consumers.</w:t>
      </w:r>
      <w:r>
        <w:rPr>
          <w:rFonts w:ascii="Aptos" w:hAnsi="Aptos"/>
        </w:rPr>
        <w:t xml:space="preserve"> People were split on the option to lower the threshold for access to the HRRT, with most of those who supported this option only wanting the threshold to drop </w:t>
      </w:r>
      <w:r w:rsidR="000A3ACA">
        <w:rPr>
          <w:rFonts w:ascii="Aptos" w:hAnsi="Aptos"/>
        </w:rPr>
        <w:t xml:space="preserve">slightly </w:t>
      </w:r>
      <w:r w:rsidR="006D6626">
        <w:rPr>
          <w:rFonts w:ascii="Aptos" w:hAnsi="Aptos"/>
        </w:rPr>
        <w:t>–</w:t>
      </w:r>
      <w:r w:rsidR="000A3ACA">
        <w:rPr>
          <w:rFonts w:ascii="Aptos" w:hAnsi="Aptos"/>
        </w:rPr>
        <w:t xml:space="preserve"> </w:t>
      </w:r>
      <w:r w:rsidR="006D6626">
        <w:rPr>
          <w:rFonts w:ascii="Aptos" w:hAnsi="Aptos"/>
        </w:rPr>
        <w:t xml:space="preserve">requiring </w:t>
      </w:r>
      <w:r>
        <w:rPr>
          <w:rFonts w:ascii="Aptos" w:hAnsi="Aptos"/>
        </w:rPr>
        <w:t xml:space="preserve">an HDC investigation </w:t>
      </w:r>
      <w:r w:rsidR="00A22D3A">
        <w:rPr>
          <w:rFonts w:ascii="Aptos" w:hAnsi="Aptos"/>
        </w:rPr>
        <w:t>to have</w:t>
      </w:r>
      <w:r>
        <w:rPr>
          <w:rFonts w:ascii="Aptos" w:hAnsi="Aptos"/>
        </w:rPr>
        <w:t xml:space="preserve"> been completed.  Many also felt that </w:t>
      </w:r>
      <w:r w:rsidR="00CC22D4">
        <w:rPr>
          <w:rFonts w:ascii="Aptos" w:hAnsi="Aptos"/>
        </w:rPr>
        <w:t xml:space="preserve">any lowering of the threshold </w:t>
      </w:r>
      <w:r>
        <w:rPr>
          <w:rFonts w:ascii="Aptos" w:hAnsi="Aptos"/>
        </w:rPr>
        <w:t>should occur alongside the ability to have decisions reviewed.</w:t>
      </w:r>
    </w:p>
    <w:p w14:paraId="6BF25902" w14:textId="75EE788B" w:rsidR="003C7047" w:rsidRDefault="003C7047" w:rsidP="003C7047">
      <w:pPr>
        <w:spacing w:after="240"/>
      </w:pPr>
      <w:r>
        <w:rPr>
          <w:rFonts w:ascii="Aptos" w:hAnsi="Aptos"/>
        </w:rPr>
        <w:t xml:space="preserve">We recommend incorporating </w:t>
      </w:r>
      <w:r w:rsidRPr="009B7C28">
        <w:t xml:space="preserve">a statutory </w:t>
      </w:r>
      <w:r>
        <w:t>requirement for HDC to review decisions</w:t>
      </w:r>
      <w:r w:rsidRPr="009B7C28">
        <w:t xml:space="preserve"> in</w:t>
      </w:r>
      <w:r>
        <w:t>to</w:t>
      </w:r>
      <w:r w:rsidRPr="009B7C28">
        <w:t xml:space="preserve"> the Act, with a time-limit and criteria to limit the scope and circumstances of a review in the interests of finality. </w:t>
      </w:r>
      <w:r w:rsidR="00DC14BE">
        <w:t xml:space="preserve">Given the small number of submissions on this issue, </w:t>
      </w:r>
      <w:r w:rsidR="00666946">
        <w:t>w</w:t>
      </w:r>
      <w:r>
        <w:t>e</w:t>
      </w:r>
      <w:r w:rsidR="00666946">
        <w:t xml:space="preserve"> have not adopted </w:t>
      </w:r>
      <w:r>
        <w:t xml:space="preserve">a position on whether access to the HRRT should be lowered. There are important arguments both for and against this option and we consider this issue is better addressed by the Ministry of Health in consultation with others. </w:t>
      </w:r>
      <w:r w:rsidRPr="0383EF12">
        <w:t xml:space="preserve">However, if a decision is taken to lower the </w:t>
      </w:r>
      <w:r w:rsidRPr="0CDCC216">
        <w:t>threshold</w:t>
      </w:r>
      <w:r w:rsidRPr="0383EF12">
        <w:t xml:space="preserve">, we do not </w:t>
      </w:r>
      <w:r w:rsidRPr="0C2B25B3">
        <w:t xml:space="preserve">support it being lowered to </w:t>
      </w:r>
      <w:r>
        <w:t xml:space="preserve">capture all complaints to HDC. </w:t>
      </w:r>
    </w:p>
    <w:p w14:paraId="5EFA5001" w14:textId="4B4FD925" w:rsidR="00805085" w:rsidRPr="002A32E8" w:rsidRDefault="00805085" w:rsidP="003C7047">
      <w:pPr>
        <w:spacing w:after="240"/>
        <w:rPr>
          <w:b/>
          <w:bCs/>
        </w:rPr>
      </w:pPr>
      <w:r w:rsidRPr="002A32E8">
        <w:rPr>
          <w:b/>
          <w:bCs/>
        </w:rPr>
        <w:t>Minor and technical changes</w:t>
      </w:r>
    </w:p>
    <w:p w14:paraId="00C7E445" w14:textId="5076ECBF" w:rsidR="00C418FD" w:rsidRDefault="00926BEA" w:rsidP="003C7047">
      <w:pPr>
        <w:spacing w:after="240"/>
      </w:pPr>
      <w:r>
        <w:t xml:space="preserve">HDC consulted on and made recommendations in relation to a variety of minor and technical changes, including </w:t>
      </w:r>
      <w:r w:rsidR="00E976AA">
        <w:t>recommending that</w:t>
      </w:r>
      <w:r w:rsidR="00C418FD">
        <w:t>:</w:t>
      </w:r>
    </w:p>
    <w:p w14:paraId="79ED3FF8" w14:textId="33818724" w:rsidR="00FC3ED0" w:rsidRDefault="0094765E" w:rsidP="002F50D7">
      <w:pPr>
        <w:pStyle w:val="ListParagraph"/>
        <w:numPr>
          <w:ilvl w:val="0"/>
          <w:numId w:val="40"/>
        </w:numPr>
        <w:spacing w:after="240"/>
      </w:pPr>
      <w:r>
        <w:t>The Act’s r</w:t>
      </w:r>
      <w:r w:rsidR="00D770D4">
        <w:t>equirements for reviewing the Act and the Code are aligned</w:t>
      </w:r>
      <w:r w:rsidR="00C202AB">
        <w:t xml:space="preserve"> and</w:t>
      </w:r>
      <w:r w:rsidR="00555ED2">
        <w:t xml:space="preserve"> </w:t>
      </w:r>
      <w:r w:rsidR="002F50D7">
        <w:t>timeframes for reviews are shifted to ‘at least every 10 years’;</w:t>
      </w:r>
    </w:p>
    <w:p w14:paraId="3A3E647F" w14:textId="04CA81AC" w:rsidR="002F50D7" w:rsidRDefault="004B117B" w:rsidP="002F50D7">
      <w:pPr>
        <w:pStyle w:val="ListParagraph"/>
        <w:numPr>
          <w:ilvl w:val="0"/>
          <w:numId w:val="40"/>
        </w:numPr>
        <w:spacing w:after="240"/>
      </w:pPr>
      <w:r>
        <w:t>The m</w:t>
      </w:r>
      <w:r w:rsidR="002F50D7">
        <w:t>aximum fine under the Act is increased to $10,000;</w:t>
      </w:r>
    </w:p>
    <w:p w14:paraId="2169E178" w14:textId="6DECD4EC" w:rsidR="002F50D7" w:rsidRDefault="004B117B" w:rsidP="002F50D7">
      <w:pPr>
        <w:pStyle w:val="ListParagraph"/>
        <w:numPr>
          <w:ilvl w:val="0"/>
          <w:numId w:val="40"/>
        </w:numPr>
        <w:spacing w:after="240"/>
      </w:pPr>
      <w:r>
        <w:t>The p</w:t>
      </w:r>
      <w:r w:rsidR="002D08CB">
        <w:t xml:space="preserve">hrase ‘aggrieved persons’ is replaced by the phrase </w:t>
      </w:r>
      <w:r w:rsidR="002D08CB" w:rsidRPr="007C5865">
        <w:rPr>
          <w:i/>
          <w:iCs/>
        </w:rPr>
        <w:t>‘the complainant (if any) or the aggrieved person (if not the complainant)’</w:t>
      </w:r>
      <w:r w:rsidR="002D08CB">
        <w:t xml:space="preserve"> </w:t>
      </w:r>
      <w:r w:rsidR="001933A8">
        <w:t>in relevant provisions from s52</w:t>
      </w:r>
      <w:r w:rsidR="004B25C3">
        <w:t xml:space="preserve"> of the Act (</w:t>
      </w:r>
      <w:r w:rsidR="00214FEC">
        <w:t>Remedies that may be sought)</w:t>
      </w:r>
      <w:r w:rsidR="001933A8">
        <w:t xml:space="preserve"> onwards</w:t>
      </w:r>
      <w:r w:rsidR="005F6668">
        <w:t>; and</w:t>
      </w:r>
    </w:p>
    <w:p w14:paraId="5695EB12" w14:textId="6A5BF6B9" w:rsidR="00140D47" w:rsidRDefault="004B117B" w:rsidP="00140D47">
      <w:pPr>
        <w:pStyle w:val="ListParagraph"/>
        <w:numPr>
          <w:ilvl w:val="0"/>
          <w:numId w:val="40"/>
        </w:numPr>
        <w:spacing w:before="120" w:after="120" w:line="276" w:lineRule="auto"/>
        <w:contextualSpacing w:val="0"/>
        <w:rPr>
          <w:b/>
        </w:rPr>
      </w:pPr>
      <w:r>
        <w:rPr>
          <w:bCs/>
        </w:rPr>
        <w:t>The p</w:t>
      </w:r>
      <w:r w:rsidR="00140D47" w:rsidRPr="00C75BF2">
        <w:rPr>
          <w:bCs/>
        </w:rPr>
        <w:t xml:space="preserve">hrase </w:t>
      </w:r>
      <w:r w:rsidR="00140D47">
        <w:rPr>
          <w:bCs/>
        </w:rPr>
        <w:t xml:space="preserve">‘under general anaesthetic’ </w:t>
      </w:r>
      <w:r w:rsidR="002325AA">
        <w:rPr>
          <w:bCs/>
        </w:rPr>
        <w:t xml:space="preserve">in Right 7(6)(c) of the Code </w:t>
      </w:r>
      <w:r w:rsidR="00140D47">
        <w:rPr>
          <w:bCs/>
        </w:rPr>
        <w:t>is replaced with ‘</w:t>
      </w:r>
      <w:r w:rsidR="00140D47" w:rsidRPr="00E306C7">
        <w:rPr>
          <w:bCs/>
          <w:i/>
          <w:iCs/>
        </w:rPr>
        <w:t>given medication designed to alter their level of consciousness, or awareness or recall, for the purpose of undertaking the procedure</w:t>
      </w:r>
      <w:r w:rsidR="00140D47">
        <w:rPr>
          <w:bCs/>
        </w:rPr>
        <w:t xml:space="preserve">’. </w:t>
      </w:r>
    </w:p>
    <w:p w14:paraId="6495032A" w14:textId="793A866E" w:rsidR="002F50D7" w:rsidRDefault="007C51FE" w:rsidP="003C7047">
      <w:pPr>
        <w:spacing w:after="240"/>
      </w:pPr>
      <w:r>
        <w:t>HDC</w:t>
      </w:r>
      <w:r w:rsidR="00B10DE0">
        <w:t xml:space="preserve"> also recommend</w:t>
      </w:r>
      <w:r w:rsidR="003C6DE5">
        <w:t xml:space="preserve"> that two changes </w:t>
      </w:r>
      <w:r w:rsidR="00B10DE0">
        <w:t>proposed by others during consultation are progressed by the Ministry of Health, in consultation with others:</w:t>
      </w:r>
    </w:p>
    <w:p w14:paraId="52DFC041" w14:textId="413D5895" w:rsidR="00926BEA" w:rsidRDefault="00D611D7" w:rsidP="00C418FD">
      <w:pPr>
        <w:pStyle w:val="ListParagraph"/>
        <w:numPr>
          <w:ilvl w:val="0"/>
          <w:numId w:val="39"/>
        </w:numPr>
        <w:spacing w:after="240"/>
      </w:pPr>
      <w:r>
        <w:t xml:space="preserve">Clarifying that Code </w:t>
      </w:r>
      <w:r w:rsidR="001962FF">
        <w:t>R</w:t>
      </w:r>
      <w:r>
        <w:t xml:space="preserve">ights extend beyond death in </w:t>
      </w:r>
      <w:r w:rsidR="00EB54E8">
        <w:t>limited situations; and</w:t>
      </w:r>
    </w:p>
    <w:p w14:paraId="67CEF0FC" w14:textId="74BE22EB" w:rsidR="00EB54E8" w:rsidRDefault="00C40C9B" w:rsidP="00EB248F">
      <w:pPr>
        <w:pStyle w:val="ListParagraph"/>
        <w:numPr>
          <w:ilvl w:val="0"/>
          <w:numId w:val="39"/>
        </w:numPr>
        <w:spacing w:after="240"/>
      </w:pPr>
      <w:r>
        <w:t>Changing the wording of section 72 of the Act (</w:t>
      </w:r>
      <w:r w:rsidR="00D605B7">
        <w:t>Liability of employer and principal</w:t>
      </w:r>
      <w:r>
        <w:t xml:space="preserve">) to make accountability </w:t>
      </w:r>
      <w:r w:rsidR="00902E8F">
        <w:t xml:space="preserve">clear, </w:t>
      </w:r>
      <w:r w:rsidR="003F446F">
        <w:t>fair and aligned with current practice</w:t>
      </w:r>
      <w:r w:rsidR="00643953">
        <w:t>.</w:t>
      </w:r>
    </w:p>
    <w:p w14:paraId="4B4D8980" w14:textId="683E77CE" w:rsidR="003C7047" w:rsidRPr="00C1441F" w:rsidRDefault="003C7047" w:rsidP="003C7047">
      <w:pPr>
        <w:spacing w:after="240"/>
        <w:rPr>
          <w:rFonts w:eastAsia="Calibri" w:cs="Calibri"/>
          <w:b/>
          <w:bCs/>
        </w:rPr>
      </w:pPr>
      <w:r w:rsidRPr="00B24546">
        <w:rPr>
          <w:rFonts w:ascii="Aptos" w:eastAsia="Aptos" w:hAnsi="Aptos" w:cs="Aptos"/>
          <w:b/>
          <w:bCs/>
          <w:color w:val="000000" w:themeColor="text1"/>
          <w:sz w:val="32"/>
          <w:szCs w:val="32"/>
        </w:rPr>
        <w:t xml:space="preserve">Conclusion </w:t>
      </w:r>
      <w:r w:rsidRPr="00B24546">
        <w:rPr>
          <w:rFonts w:asciiTheme="majorHAnsi" w:eastAsiaTheme="majorEastAsia" w:hAnsiTheme="majorHAnsi" w:cstheme="majorBidi"/>
          <w:b/>
          <w:bCs/>
          <w:color w:val="A6192E"/>
          <w:sz w:val="28"/>
          <w:szCs w:val="32"/>
        </w:rPr>
        <w:t>|</w:t>
      </w:r>
      <w:r w:rsidR="00550839">
        <w:rPr>
          <w:rFonts w:asciiTheme="majorHAnsi" w:eastAsiaTheme="majorEastAsia" w:hAnsiTheme="majorHAnsi" w:cstheme="majorBidi"/>
          <w:b/>
          <w:bCs/>
          <w:color w:val="A6192E"/>
          <w:sz w:val="28"/>
          <w:szCs w:val="32"/>
        </w:rPr>
        <w:t xml:space="preserve"> Whaka</w:t>
      </w:r>
      <w:r w:rsidR="00CC22D4">
        <w:rPr>
          <w:rFonts w:asciiTheme="majorHAnsi" w:eastAsiaTheme="majorEastAsia" w:hAnsiTheme="majorHAnsi" w:cstheme="majorBidi"/>
          <w:b/>
          <w:bCs/>
          <w:color w:val="A6192E"/>
          <w:sz w:val="28"/>
          <w:szCs w:val="32"/>
        </w:rPr>
        <w:t>kapinga</w:t>
      </w:r>
    </w:p>
    <w:p w14:paraId="78A0E35D" w14:textId="7028413B" w:rsidR="003C7047" w:rsidRDefault="003C7047" w:rsidP="003C7047">
      <w:pPr>
        <w:spacing w:after="240"/>
        <w:rPr>
          <w:rFonts w:eastAsia="Calibri" w:cs="Calibri"/>
        </w:rPr>
      </w:pPr>
      <w:r w:rsidRPr="00EE2085">
        <w:rPr>
          <w:rFonts w:eastAsia="Calibri" w:cs="Calibri"/>
        </w:rPr>
        <w:t>Changes to the Code are focused on shifting practice across the sector, strengthening the focus on person-centred care that responds to the diverse needs of our communities</w:t>
      </w:r>
      <w:r>
        <w:rPr>
          <w:rFonts w:eastAsia="Calibri" w:cs="Calibri"/>
        </w:rPr>
        <w:t xml:space="preserve"> and </w:t>
      </w:r>
      <w:r>
        <w:rPr>
          <w:rFonts w:eastAsia="Calibri" w:cs="Calibri"/>
        </w:rPr>
        <w:lastRenderedPageBreak/>
        <w:t>supports issues to be addressed early</w:t>
      </w:r>
      <w:r w:rsidRPr="00EE2085">
        <w:rPr>
          <w:rFonts w:eastAsia="Calibri" w:cs="Calibri"/>
        </w:rPr>
        <w:t xml:space="preserve">. The changes we propose to the Act are designed to improve how HDC operates. They are focused on ensuring that our processes </w:t>
      </w:r>
      <w:r w:rsidR="009C76E8">
        <w:rPr>
          <w:rFonts w:eastAsia="Calibri" w:cs="Calibri"/>
        </w:rPr>
        <w:t>are</w:t>
      </w:r>
      <w:r w:rsidR="00687CDF">
        <w:rPr>
          <w:rFonts w:eastAsia="Calibri" w:cs="Calibri"/>
        </w:rPr>
        <w:t xml:space="preserve"> more flexible</w:t>
      </w:r>
      <w:r w:rsidRPr="00EE2085">
        <w:rPr>
          <w:rFonts w:eastAsia="Calibri" w:cs="Calibri"/>
        </w:rPr>
        <w:t xml:space="preserve"> and that we have the mandate and capability to perform our role in a way that works well for everyone. </w:t>
      </w:r>
    </w:p>
    <w:p w14:paraId="4F3F6E41" w14:textId="77777777" w:rsidR="003C7047" w:rsidRDefault="003C7047" w:rsidP="003C7047">
      <w:pPr>
        <w:rPr>
          <w:rFonts w:eastAsia="Calibri" w:cs="Calibri"/>
        </w:rPr>
      </w:pPr>
      <w:r w:rsidRPr="00EE2085">
        <w:rPr>
          <w:rFonts w:eastAsia="Calibri" w:cs="Calibri"/>
        </w:rPr>
        <w:t xml:space="preserve">Central to these recommendations is a focus on relationships </w:t>
      </w:r>
      <w:r>
        <w:rPr>
          <w:rFonts w:eastAsia="Calibri" w:cs="Calibri"/>
        </w:rPr>
        <w:t>—</w:t>
      </w:r>
      <w:r w:rsidRPr="00EE2085">
        <w:rPr>
          <w:rFonts w:eastAsia="Calibri" w:cs="Calibri"/>
        </w:rPr>
        <w:t xml:space="preserve"> between consumers and providers, between providers and the wider system, and between HDC and the communities we serve. </w:t>
      </w:r>
    </w:p>
    <w:p w14:paraId="4F759D09" w14:textId="19365BF4" w:rsidR="003C7047" w:rsidRPr="0086393F" w:rsidRDefault="003C7047" w:rsidP="003C7047">
      <w:pPr>
        <w:rPr>
          <w:rFonts w:ascii="Aptos" w:eastAsia="Aptos" w:hAnsi="Aptos" w:cs="Aptos"/>
          <w:color w:val="000000" w:themeColor="text1"/>
        </w:rPr>
      </w:pPr>
      <w:r>
        <w:rPr>
          <w:rFonts w:ascii="Aptos" w:eastAsia="Aptos" w:hAnsi="Aptos" w:cs="Aptos"/>
          <w:color w:val="000000" w:themeColor="text1"/>
        </w:rPr>
        <w:t>Throughout the review we have been</w:t>
      </w:r>
      <w:r w:rsidRPr="2CB7A87C">
        <w:rPr>
          <w:rFonts w:ascii="Aptos" w:eastAsia="Aptos" w:hAnsi="Aptos" w:cs="Aptos"/>
          <w:color w:val="000000" w:themeColor="text1"/>
        </w:rPr>
        <w:t xml:space="preserve"> mindful of the intersection of our review with reviews of other legislation, particularly the Health Practitioners’ Competence Assurance Act and the Mental Health Act, the Law Commission’s review </w:t>
      </w:r>
      <w:r w:rsidR="002B7336">
        <w:rPr>
          <w:rFonts w:ascii="Aptos" w:eastAsia="Aptos" w:hAnsi="Aptos" w:cs="Aptos"/>
          <w:color w:val="000000" w:themeColor="text1"/>
        </w:rPr>
        <w:t>of</w:t>
      </w:r>
      <w:r w:rsidRPr="2CB7A87C">
        <w:rPr>
          <w:rFonts w:ascii="Aptos" w:eastAsia="Aptos" w:hAnsi="Aptos" w:cs="Aptos"/>
          <w:color w:val="000000" w:themeColor="text1"/>
        </w:rPr>
        <w:t xml:space="preserve"> adult-decision-making capacity law as well as the </w:t>
      </w:r>
      <w:r w:rsidR="00392091">
        <w:rPr>
          <w:rFonts w:ascii="Aptos" w:eastAsia="Aptos" w:hAnsi="Aptos" w:cs="Aptos"/>
          <w:color w:val="000000" w:themeColor="text1"/>
        </w:rPr>
        <w:t>G</w:t>
      </w:r>
      <w:r w:rsidRPr="2CB7A87C">
        <w:rPr>
          <w:rFonts w:ascii="Aptos" w:eastAsia="Aptos" w:hAnsi="Aptos" w:cs="Aptos"/>
          <w:color w:val="000000" w:themeColor="text1"/>
        </w:rPr>
        <w:t xml:space="preserve">overnment’s response to the Royal Commission of Inquiry into Abuse in State Care. </w:t>
      </w:r>
      <w:r>
        <w:rPr>
          <w:rFonts w:ascii="Aptos" w:eastAsia="Aptos" w:hAnsi="Aptos" w:cs="Aptos"/>
          <w:color w:val="000000" w:themeColor="text1"/>
        </w:rPr>
        <w:t>O</w:t>
      </w:r>
      <w:r w:rsidRPr="2CB7A87C">
        <w:rPr>
          <w:rFonts w:ascii="Aptos" w:eastAsia="Aptos" w:hAnsi="Aptos" w:cs="Aptos"/>
          <w:color w:val="000000" w:themeColor="text1"/>
        </w:rPr>
        <w:t xml:space="preserve">ur view is that changes to the Act should be progressed alongside this work to ensure consistency and cohesion, with changes to the Code finalised once the policy direction is clear. </w:t>
      </w:r>
    </w:p>
    <w:p w14:paraId="6E1651E9" w14:textId="024D8CDF" w:rsidR="003C7047" w:rsidRPr="001A797E" w:rsidRDefault="003C7047" w:rsidP="003C7047">
      <w:pPr>
        <w:spacing w:before="120" w:after="240" w:line="278" w:lineRule="auto"/>
      </w:pPr>
      <w:r>
        <w:t xml:space="preserve">While we agree that changes to the Act and Code are needed, we found that changes to HDC practice and processes, and sector guidance, education and promotion can resolve many of the issues people raised. </w:t>
      </w:r>
      <w:r w:rsidR="00EE4925">
        <w:t>T</w:t>
      </w:r>
      <w:r>
        <w:t>his review has identified priority actions to make further improvements within HDC’s current resources.</w:t>
      </w:r>
    </w:p>
    <w:p w14:paraId="69514A35" w14:textId="57DEC837" w:rsidR="003C7047" w:rsidRDefault="003C7047" w:rsidP="003C7047">
      <w:r>
        <w:t xml:space="preserve">The review also highlighted some areas that require further work by the sector to better uphold people’s rights. </w:t>
      </w:r>
      <w:r w:rsidR="00066B17">
        <w:t>As well as making specific recommendations to others in relation to these issues, w</w:t>
      </w:r>
      <w:r>
        <w:t>e will work with the sector to share learnings from the review, including the issues people have raised that are outside the scope of HDC.</w:t>
      </w:r>
    </w:p>
    <w:p w14:paraId="7660DD54" w14:textId="77777777" w:rsidR="00A33E17" w:rsidRDefault="00A33E17" w:rsidP="003C7047">
      <w:pPr>
        <w:spacing w:after="120" w:line="278" w:lineRule="auto"/>
      </w:pPr>
    </w:p>
    <w:sectPr w:rsidR="00A33E17" w:rsidSect="003C7047">
      <w:headerReference w:type="default" r:id="rId14"/>
      <w:footerReference w:type="default" r:id="rId15"/>
      <w:pgSz w:w="12240" w:h="15840"/>
      <w:pgMar w:top="1418" w:right="1418" w:bottom="1418" w:left="141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8E0BA8" w14:textId="77777777" w:rsidR="006C49FB" w:rsidRDefault="006C49FB" w:rsidP="0064502E">
      <w:pPr>
        <w:spacing w:after="0" w:line="240" w:lineRule="auto"/>
      </w:pPr>
      <w:r>
        <w:separator/>
      </w:r>
    </w:p>
  </w:endnote>
  <w:endnote w:type="continuationSeparator" w:id="0">
    <w:p w14:paraId="156BD182" w14:textId="77777777" w:rsidR="006C49FB" w:rsidRDefault="006C49FB" w:rsidP="0064502E">
      <w:pPr>
        <w:spacing w:after="0" w:line="240" w:lineRule="auto"/>
      </w:pPr>
      <w:r>
        <w:continuationSeparator/>
      </w:r>
    </w:p>
  </w:endnote>
  <w:endnote w:type="continuationNotice" w:id="1">
    <w:p w14:paraId="1AE7C8CB" w14:textId="77777777" w:rsidR="006C49FB" w:rsidRDefault="006C49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ldhabi">
    <w:charset w:val="B2"/>
    <w:family w:val="auto"/>
    <w:pitch w:val="variable"/>
    <w:sig w:usb0="8000200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0D96D" w14:textId="310C6D5C" w:rsidR="00734FE9" w:rsidRDefault="00AC7B3F">
    <w:pPr>
      <w:pStyle w:val="Footer"/>
    </w:pPr>
    <w:r w:rsidRPr="00480E9A">
      <w:rPr>
        <w:noProof/>
      </w:rPr>
      <w:drawing>
        <wp:anchor distT="0" distB="0" distL="114300" distR="114300" simplePos="0" relativeHeight="251658242" behindDoc="0" locked="0" layoutInCell="1" allowOverlap="1" wp14:anchorId="22DDBF0F" wp14:editId="44CC276E">
          <wp:simplePos x="0" y="0"/>
          <wp:positionH relativeFrom="column">
            <wp:posOffset>-6723169</wp:posOffset>
          </wp:positionH>
          <wp:positionV relativeFrom="paragraph">
            <wp:posOffset>-278977</wp:posOffset>
          </wp:positionV>
          <wp:extent cx="9399905" cy="633095"/>
          <wp:effectExtent l="0" t="0" r="0" b="0"/>
          <wp:wrapNone/>
          <wp:docPr id="16981452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399905" cy="633095"/>
                  </a:xfrm>
                  <a:prstGeom prst="rect">
                    <a:avLst/>
                  </a:prstGeom>
                </pic:spPr>
              </pic:pic>
            </a:graphicData>
          </a:graphic>
          <wp14:sizeRelH relativeFrom="page">
            <wp14:pctWidth>0</wp14:pctWidth>
          </wp14:sizeRelH>
          <wp14:sizeRelV relativeFrom="page">
            <wp14:pctHeight>0</wp14:pctHeight>
          </wp14:sizeRelV>
        </wp:anchor>
      </w:drawing>
    </w:r>
    <w:r w:rsidRPr="00480E9A">
      <w:rPr>
        <w:noProof/>
      </w:rPr>
      <w:drawing>
        <wp:anchor distT="0" distB="0" distL="114300" distR="114300" simplePos="0" relativeHeight="251658241" behindDoc="0" locked="0" layoutInCell="1" allowOverlap="1" wp14:anchorId="6B510310" wp14:editId="60736E83">
          <wp:simplePos x="0" y="0"/>
          <wp:positionH relativeFrom="column">
            <wp:posOffset>4655820</wp:posOffset>
          </wp:positionH>
          <wp:positionV relativeFrom="paragraph">
            <wp:posOffset>-279400</wp:posOffset>
          </wp:positionV>
          <wp:extent cx="9399905" cy="633095"/>
          <wp:effectExtent l="0" t="0" r="0" b="0"/>
          <wp:wrapNone/>
          <wp:docPr id="3511144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399905" cy="633095"/>
                  </a:xfrm>
                  <a:prstGeom prst="rect">
                    <a:avLst/>
                  </a:prstGeom>
                </pic:spPr>
              </pic:pic>
            </a:graphicData>
          </a:graphic>
          <wp14:sizeRelH relativeFrom="page">
            <wp14:pctWidth>0</wp14:pctWidth>
          </wp14:sizeRelH>
          <wp14:sizeRelV relativeFrom="page">
            <wp14:pctHeight>0</wp14:pctHeight>
          </wp14:sizeRelV>
        </wp:anchor>
      </w:drawing>
    </w:r>
    <w:r w:rsidR="004C3D74" w:rsidRPr="00480E9A">
      <w:rPr>
        <w:noProof/>
      </w:rPr>
      <w:drawing>
        <wp:anchor distT="0" distB="0" distL="114300" distR="114300" simplePos="0" relativeHeight="251658240" behindDoc="0" locked="0" layoutInCell="1" allowOverlap="1" wp14:anchorId="6BDB28BD" wp14:editId="270B0D10">
          <wp:simplePos x="0" y="0"/>
          <wp:positionH relativeFrom="column">
            <wp:posOffset>11363325</wp:posOffset>
          </wp:positionH>
          <wp:positionV relativeFrom="paragraph">
            <wp:posOffset>0</wp:posOffset>
          </wp:positionV>
          <wp:extent cx="9399905" cy="633095"/>
          <wp:effectExtent l="0" t="0" r="0" b="0"/>
          <wp:wrapNone/>
          <wp:docPr id="3730580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399905" cy="63309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FBAB2" w14:textId="54D19ADC" w:rsidR="00734FE9" w:rsidRDefault="002771D4">
    <w:pPr>
      <w:pStyle w:val="Footer"/>
    </w:pPr>
    <w:sdt>
      <w:sdtPr>
        <w:rPr>
          <w:sz w:val="20"/>
          <w:szCs w:val="20"/>
        </w:rPr>
        <w:id w:val="-203091609"/>
        <w:docPartObj>
          <w:docPartGallery w:val="Page Numbers (Bottom of Page)"/>
          <w:docPartUnique/>
        </w:docPartObj>
      </w:sdtPr>
      <w:sdtEndPr/>
      <w:sdtContent>
        <w:r w:rsidR="00C93A01" w:rsidRPr="006D2970">
          <w:rPr>
            <w:sz w:val="20"/>
            <w:szCs w:val="20"/>
          </w:rPr>
          <w:t xml:space="preserve">Review of the HDC Act and the Code 2024 — </w:t>
        </w:r>
        <w:r w:rsidR="00B376D1">
          <w:rPr>
            <w:sz w:val="20"/>
            <w:szCs w:val="20"/>
          </w:rPr>
          <w:t xml:space="preserve">Executive </w:t>
        </w:r>
        <w:r w:rsidR="007C614C">
          <w:rPr>
            <w:sz w:val="20"/>
            <w:szCs w:val="20"/>
          </w:rPr>
          <w:t>Summary</w:t>
        </w:r>
        <w:r w:rsidR="00C93A01" w:rsidRPr="006D2970">
          <w:rPr>
            <w:sz w:val="20"/>
            <w:szCs w:val="20"/>
          </w:rPr>
          <w:t xml:space="preserve"> | </w:t>
        </w:r>
        <w:r w:rsidR="00C93A01" w:rsidRPr="006D2970">
          <w:rPr>
            <w:sz w:val="20"/>
            <w:szCs w:val="20"/>
          </w:rPr>
          <w:fldChar w:fldCharType="begin"/>
        </w:r>
        <w:r w:rsidR="00C93A01" w:rsidRPr="006D2970">
          <w:rPr>
            <w:sz w:val="20"/>
            <w:szCs w:val="20"/>
          </w:rPr>
          <w:instrText xml:space="preserve"> PAGE   \* MERGEFORMAT </w:instrText>
        </w:r>
        <w:r w:rsidR="00C93A01" w:rsidRPr="006D2970">
          <w:rPr>
            <w:sz w:val="20"/>
            <w:szCs w:val="20"/>
          </w:rPr>
          <w:fldChar w:fldCharType="separate"/>
        </w:r>
        <w:r w:rsidR="00C93A01">
          <w:rPr>
            <w:sz w:val="20"/>
            <w:szCs w:val="20"/>
          </w:rPr>
          <w:t>2</w:t>
        </w:r>
        <w:r w:rsidR="00C93A01" w:rsidRPr="006D2970">
          <w:rPr>
            <w:sz w:val="20"/>
            <w:szCs w:val="20"/>
          </w:rPr>
          <w:fldChar w:fldCharType="end"/>
        </w:r>
      </w:sdtContent>
    </w:sdt>
    <w:r w:rsidR="00F94070" w:rsidRPr="00480E9A">
      <w:rPr>
        <w:noProof/>
      </w:rPr>
      <w:drawing>
        <wp:anchor distT="0" distB="0" distL="114300" distR="114300" simplePos="0" relativeHeight="251658243" behindDoc="0" locked="0" layoutInCell="1" allowOverlap="1" wp14:anchorId="5838512A" wp14:editId="50239E65">
          <wp:simplePos x="0" y="0"/>
          <wp:positionH relativeFrom="column">
            <wp:posOffset>11363325</wp:posOffset>
          </wp:positionH>
          <wp:positionV relativeFrom="paragraph">
            <wp:posOffset>0</wp:posOffset>
          </wp:positionV>
          <wp:extent cx="9399905" cy="633095"/>
          <wp:effectExtent l="0" t="0" r="0" b="0"/>
          <wp:wrapNone/>
          <wp:docPr id="4021547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399905" cy="6330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C9927D" w14:textId="77777777" w:rsidR="006C49FB" w:rsidRDefault="006C49FB" w:rsidP="0064502E">
      <w:pPr>
        <w:spacing w:after="0" w:line="240" w:lineRule="auto"/>
      </w:pPr>
      <w:r>
        <w:separator/>
      </w:r>
    </w:p>
  </w:footnote>
  <w:footnote w:type="continuationSeparator" w:id="0">
    <w:p w14:paraId="3E87174E" w14:textId="77777777" w:rsidR="006C49FB" w:rsidRDefault="006C49FB" w:rsidP="0064502E">
      <w:pPr>
        <w:spacing w:after="0" w:line="240" w:lineRule="auto"/>
      </w:pPr>
      <w:r>
        <w:continuationSeparator/>
      </w:r>
    </w:p>
  </w:footnote>
  <w:footnote w:type="continuationNotice" w:id="1">
    <w:p w14:paraId="146BE230" w14:textId="77777777" w:rsidR="006C49FB" w:rsidRDefault="006C49FB">
      <w:pPr>
        <w:spacing w:after="0" w:line="240" w:lineRule="auto"/>
      </w:pPr>
    </w:p>
  </w:footnote>
  <w:footnote w:id="2">
    <w:p w14:paraId="23094388" w14:textId="49705512" w:rsidR="00362F92" w:rsidRPr="00362F92" w:rsidRDefault="00362F92">
      <w:pPr>
        <w:pStyle w:val="FootnoteText"/>
        <w:rPr>
          <w:lang w:val="mi-NZ"/>
        </w:rPr>
      </w:pPr>
      <w:r>
        <w:rPr>
          <w:rStyle w:val="FootnoteReference"/>
        </w:rPr>
        <w:footnoteRef/>
      </w:r>
      <w:r>
        <w:t xml:space="preserve"> A</w:t>
      </w:r>
      <w:r w:rsidRPr="00362F92">
        <w:t xml:space="preserve"> tikanga-led process where whānau</w:t>
      </w:r>
      <w:r>
        <w:t xml:space="preserve"> (inclusive of the consumer)</w:t>
      </w:r>
      <w:r w:rsidRPr="00362F92">
        <w:t xml:space="preserve"> are the experts of their experience and are supported to determine what resolution looks like for them.</w:t>
      </w:r>
    </w:p>
  </w:footnote>
  <w:footnote w:id="3">
    <w:p w14:paraId="4309A210" w14:textId="34BB6308" w:rsidR="00362F92" w:rsidRPr="00362F92" w:rsidRDefault="00362F92">
      <w:pPr>
        <w:pStyle w:val="FootnoteText"/>
        <w:rPr>
          <w:lang w:val="mi-NZ"/>
        </w:rPr>
      </w:pPr>
      <w:r>
        <w:rPr>
          <w:rStyle w:val="FootnoteReference"/>
        </w:rPr>
        <w:footnoteRef/>
      </w:r>
      <w:r>
        <w:t xml:space="preserve"> </w:t>
      </w:r>
      <w:r w:rsidR="00D900B3" w:rsidRPr="00D900B3">
        <w:t>Hohou te rongo describes methods of resolving disputes using principles and values from te ao Māori (Māori world views).</w:t>
      </w:r>
      <w:r w:rsidR="00DD32E8">
        <w:t xml:space="preserve"> </w:t>
      </w:r>
      <w:r w:rsidR="00DD32E8" w:rsidRPr="00DD32E8">
        <w:t>Hohou te rongo provides an opportunity for the nawe (wrongdoings of a person(s)) experienced by whānau to be acknowledged by the providers and for whānau to seek peace in the experience within a culturally safe and appropriate environment.</w:t>
      </w:r>
    </w:p>
  </w:footnote>
  <w:footnote w:id="4">
    <w:p w14:paraId="50864E1C" w14:textId="404CCB50" w:rsidR="00672ECF" w:rsidRPr="00672ECF" w:rsidRDefault="00672ECF">
      <w:pPr>
        <w:pStyle w:val="FootnoteText"/>
        <w:rPr>
          <w:lang w:val="mi-NZ"/>
        </w:rPr>
      </w:pPr>
      <w:r>
        <w:rPr>
          <w:rStyle w:val="FootnoteReference"/>
        </w:rPr>
        <w:footnoteRef/>
      </w:r>
      <w:r>
        <w:t xml:space="preserve"> </w:t>
      </w:r>
      <w:r>
        <w:rPr>
          <w:rFonts w:asciiTheme="minorHAnsi" w:hAnsiTheme="minorHAnsi"/>
        </w:rPr>
        <w:t>Currently a breach finding by HDC is required to access the HRRT</w:t>
      </w:r>
      <w:r w:rsidRPr="008D525F">
        <w:rPr>
          <w:rFonts w:asciiTheme="minorHAnsi" w:hAnsiTheme="minorHAn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8AF72" w14:textId="77777777" w:rsidR="00734FE9" w:rsidRDefault="00734F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154BC"/>
    <w:multiLevelType w:val="hybridMultilevel"/>
    <w:tmpl w:val="52527538"/>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B4A3CC6"/>
    <w:multiLevelType w:val="hybridMultilevel"/>
    <w:tmpl w:val="B24ED460"/>
    <w:lvl w:ilvl="0" w:tplc="2696CC38">
      <w:start w:val="8"/>
      <w:numFmt w:val="decimal"/>
      <w:lvlText w:val="%1."/>
      <w:lvlJc w:val="left"/>
      <w:pPr>
        <w:ind w:left="1070" w:hanging="360"/>
      </w:pPr>
      <w:rPr>
        <w:rFonts w:hint="default"/>
        <w:b/>
        <w:bCs/>
        <w:color w:val="A6192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11046CFF"/>
    <w:multiLevelType w:val="hybridMultilevel"/>
    <w:tmpl w:val="AFFAC128"/>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74F5D8A"/>
    <w:multiLevelType w:val="hybridMultilevel"/>
    <w:tmpl w:val="9356B86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1F94259A"/>
    <w:multiLevelType w:val="hybridMultilevel"/>
    <w:tmpl w:val="D0CCCD14"/>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FC45290"/>
    <w:multiLevelType w:val="hybridMultilevel"/>
    <w:tmpl w:val="909C1E36"/>
    <w:lvl w:ilvl="0" w:tplc="1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4AC1C51"/>
    <w:multiLevelType w:val="hybridMultilevel"/>
    <w:tmpl w:val="30BE31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6530296"/>
    <w:multiLevelType w:val="hybridMultilevel"/>
    <w:tmpl w:val="77BA87AE"/>
    <w:lvl w:ilvl="0" w:tplc="911C62EA">
      <w:start w:val="1"/>
      <w:numFmt w:val="bullet"/>
      <w:lvlText w:val=""/>
      <w:lvlJc w:val="left"/>
      <w:pPr>
        <w:ind w:left="720" w:hanging="360"/>
      </w:pPr>
      <w:rPr>
        <w:rFonts w:ascii="Symbol" w:hAnsi="Symbol" w:hint="default"/>
        <w:color w:val="A6192E"/>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AF07724"/>
    <w:multiLevelType w:val="hybridMultilevel"/>
    <w:tmpl w:val="1690D40C"/>
    <w:lvl w:ilvl="0" w:tplc="4E604DF4">
      <w:start w:val="1"/>
      <w:numFmt w:val="decimal"/>
      <w:lvlText w:val="%1."/>
      <w:lvlJc w:val="left"/>
      <w:pPr>
        <w:ind w:left="720" w:hanging="360"/>
      </w:pPr>
      <w:rPr>
        <w:color w:val="A6192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2CF74C1E"/>
    <w:multiLevelType w:val="hybridMultilevel"/>
    <w:tmpl w:val="2926DE6E"/>
    <w:lvl w:ilvl="0" w:tplc="0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2F2370A"/>
    <w:multiLevelType w:val="hybridMultilevel"/>
    <w:tmpl w:val="6F7C4454"/>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359B4A9A"/>
    <w:multiLevelType w:val="hybridMultilevel"/>
    <w:tmpl w:val="30B88716"/>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35F37B15"/>
    <w:multiLevelType w:val="hybridMultilevel"/>
    <w:tmpl w:val="68A29030"/>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39CA4947"/>
    <w:multiLevelType w:val="hybridMultilevel"/>
    <w:tmpl w:val="EF7E53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B351979"/>
    <w:multiLevelType w:val="multilevel"/>
    <w:tmpl w:val="CF9E9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C823E0"/>
    <w:multiLevelType w:val="hybridMultilevel"/>
    <w:tmpl w:val="DAB28748"/>
    <w:lvl w:ilvl="0" w:tplc="58345856">
      <w:start w:val="1"/>
      <w:numFmt w:val="bullet"/>
      <w:lvlText w:val="•"/>
      <w:lvlJc w:val="left"/>
      <w:pPr>
        <w:tabs>
          <w:tab w:val="num" w:pos="720"/>
        </w:tabs>
        <w:ind w:left="720" w:hanging="360"/>
      </w:pPr>
      <w:rPr>
        <w:rFonts w:ascii="Aptos" w:hAnsi="Aptos" w:hint="default"/>
        <w:color w:val="A6192E"/>
      </w:rPr>
    </w:lvl>
    <w:lvl w:ilvl="1" w:tplc="56569940" w:tentative="1">
      <w:start w:val="1"/>
      <w:numFmt w:val="bullet"/>
      <w:lvlText w:val="•"/>
      <w:lvlJc w:val="left"/>
      <w:pPr>
        <w:tabs>
          <w:tab w:val="num" w:pos="1440"/>
        </w:tabs>
        <w:ind w:left="1440" w:hanging="360"/>
      </w:pPr>
      <w:rPr>
        <w:rFonts w:ascii="Arial" w:hAnsi="Arial" w:hint="default"/>
      </w:rPr>
    </w:lvl>
    <w:lvl w:ilvl="2" w:tplc="C89ECA14" w:tentative="1">
      <w:start w:val="1"/>
      <w:numFmt w:val="bullet"/>
      <w:lvlText w:val="•"/>
      <w:lvlJc w:val="left"/>
      <w:pPr>
        <w:tabs>
          <w:tab w:val="num" w:pos="2160"/>
        </w:tabs>
        <w:ind w:left="2160" w:hanging="360"/>
      </w:pPr>
      <w:rPr>
        <w:rFonts w:ascii="Arial" w:hAnsi="Arial" w:hint="default"/>
      </w:rPr>
    </w:lvl>
    <w:lvl w:ilvl="3" w:tplc="0E621F3A" w:tentative="1">
      <w:start w:val="1"/>
      <w:numFmt w:val="bullet"/>
      <w:lvlText w:val="•"/>
      <w:lvlJc w:val="left"/>
      <w:pPr>
        <w:tabs>
          <w:tab w:val="num" w:pos="2880"/>
        </w:tabs>
        <w:ind w:left="2880" w:hanging="360"/>
      </w:pPr>
      <w:rPr>
        <w:rFonts w:ascii="Arial" w:hAnsi="Arial" w:hint="default"/>
      </w:rPr>
    </w:lvl>
    <w:lvl w:ilvl="4" w:tplc="47060322" w:tentative="1">
      <w:start w:val="1"/>
      <w:numFmt w:val="bullet"/>
      <w:lvlText w:val="•"/>
      <w:lvlJc w:val="left"/>
      <w:pPr>
        <w:tabs>
          <w:tab w:val="num" w:pos="3600"/>
        </w:tabs>
        <w:ind w:left="3600" w:hanging="360"/>
      </w:pPr>
      <w:rPr>
        <w:rFonts w:ascii="Arial" w:hAnsi="Arial" w:hint="default"/>
      </w:rPr>
    </w:lvl>
    <w:lvl w:ilvl="5" w:tplc="B2FA9F76" w:tentative="1">
      <w:start w:val="1"/>
      <w:numFmt w:val="bullet"/>
      <w:lvlText w:val="•"/>
      <w:lvlJc w:val="left"/>
      <w:pPr>
        <w:tabs>
          <w:tab w:val="num" w:pos="4320"/>
        </w:tabs>
        <w:ind w:left="4320" w:hanging="360"/>
      </w:pPr>
      <w:rPr>
        <w:rFonts w:ascii="Arial" w:hAnsi="Arial" w:hint="default"/>
      </w:rPr>
    </w:lvl>
    <w:lvl w:ilvl="6" w:tplc="E5AEE5EE" w:tentative="1">
      <w:start w:val="1"/>
      <w:numFmt w:val="bullet"/>
      <w:lvlText w:val="•"/>
      <w:lvlJc w:val="left"/>
      <w:pPr>
        <w:tabs>
          <w:tab w:val="num" w:pos="5040"/>
        </w:tabs>
        <w:ind w:left="5040" w:hanging="360"/>
      </w:pPr>
      <w:rPr>
        <w:rFonts w:ascii="Arial" w:hAnsi="Arial" w:hint="default"/>
      </w:rPr>
    </w:lvl>
    <w:lvl w:ilvl="7" w:tplc="627CCB5E" w:tentative="1">
      <w:start w:val="1"/>
      <w:numFmt w:val="bullet"/>
      <w:lvlText w:val="•"/>
      <w:lvlJc w:val="left"/>
      <w:pPr>
        <w:tabs>
          <w:tab w:val="num" w:pos="5760"/>
        </w:tabs>
        <w:ind w:left="5760" w:hanging="360"/>
      </w:pPr>
      <w:rPr>
        <w:rFonts w:ascii="Arial" w:hAnsi="Arial" w:hint="default"/>
      </w:rPr>
    </w:lvl>
    <w:lvl w:ilvl="8" w:tplc="7ACE9B2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01B1D14"/>
    <w:multiLevelType w:val="hybridMultilevel"/>
    <w:tmpl w:val="88384B20"/>
    <w:lvl w:ilvl="0" w:tplc="C29EDF66">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41D36D7D"/>
    <w:multiLevelType w:val="hybridMultilevel"/>
    <w:tmpl w:val="35EE7B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2626730"/>
    <w:multiLevelType w:val="hybridMultilevel"/>
    <w:tmpl w:val="F7E832A6"/>
    <w:lvl w:ilvl="0" w:tplc="1070E280">
      <w:start w:val="1"/>
      <w:numFmt w:val="decimal"/>
      <w:lvlText w:val="%1."/>
      <w:lvlJc w:val="left"/>
      <w:pPr>
        <w:ind w:left="1070" w:hanging="360"/>
      </w:pPr>
      <w:rPr>
        <w:rFonts w:hint="default"/>
        <w:b/>
        <w:bCs/>
        <w:color w:val="A6192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442E4C2F"/>
    <w:multiLevelType w:val="hybridMultilevel"/>
    <w:tmpl w:val="4712E628"/>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49754A8B"/>
    <w:multiLevelType w:val="hybridMultilevel"/>
    <w:tmpl w:val="EA347F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C4F3261"/>
    <w:multiLevelType w:val="hybridMultilevel"/>
    <w:tmpl w:val="9A124DCC"/>
    <w:lvl w:ilvl="0" w:tplc="23609B6E">
      <w:start w:val="1"/>
      <w:numFmt w:val="bullet"/>
      <w:lvlText w:val=""/>
      <w:lvlJc w:val="left"/>
      <w:pPr>
        <w:ind w:left="3600" w:hanging="360"/>
      </w:pPr>
      <w:rPr>
        <w:rFonts w:ascii="Symbol" w:hAnsi="Symbol" w:hint="default"/>
        <w:color w:val="A6192E"/>
      </w:rPr>
    </w:lvl>
    <w:lvl w:ilvl="1" w:tplc="14090003" w:tentative="1">
      <w:start w:val="1"/>
      <w:numFmt w:val="bullet"/>
      <w:lvlText w:val="o"/>
      <w:lvlJc w:val="left"/>
      <w:pPr>
        <w:ind w:left="4320" w:hanging="360"/>
      </w:pPr>
      <w:rPr>
        <w:rFonts w:ascii="Courier New" w:hAnsi="Courier New" w:cs="Courier New" w:hint="default"/>
      </w:rPr>
    </w:lvl>
    <w:lvl w:ilvl="2" w:tplc="14090005" w:tentative="1">
      <w:start w:val="1"/>
      <w:numFmt w:val="bullet"/>
      <w:lvlText w:val=""/>
      <w:lvlJc w:val="left"/>
      <w:pPr>
        <w:ind w:left="5040" w:hanging="360"/>
      </w:pPr>
      <w:rPr>
        <w:rFonts w:ascii="Wingdings" w:hAnsi="Wingdings" w:hint="default"/>
      </w:rPr>
    </w:lvl>
    <w:lvl w:ilvl="3" w:tplc="14090001" w:tentative="1">
      <w:start w:val="1"/>
      <w:numFmt w:val="bullet"/>
      <w:lvlText w:val=""/>
      <w:lvlJc w:val="left"/>
      <w:pPr>
        <w:ind w:left="5760" w:hanging="360"/>
      </w:pPr>
      <w:rPr>
        <w:rFonts w:ascii="Symbol" w:hAnsi="Symbol" w:hint="default"/>
      </w:rPr>
    </w:lvl>
    <w:lvl w:ilvl="4" w:tplc="14090003" w:tentative="1">
      <w:start w:val="1"/>
      <w:numFmt w:val="bullet"/>
      <w:lvlText w:val="o"/>
      <w:lvlJc w:val="left"/>
      <w:pPr>
        <w:ind w:left="6480" w:hanging="360"/>
      </w:pPr>
      <w:rPr>
        <w:rFonts w:ascii="Courier New" w:hAnsi="Courier New" w:cs="Courier New" w:hint="default"/>
      </w:rPr>
    </w:lvl>
    <w:lvl w:ilvl="5" w:tplc="14090005" w:tentative="1">
      <w:start w:val="1"/>
      <w:numFmt w:val="bullet"/>
      <w:lvlText w:val=""/>
      <w:lvlJc w:val="left"/>
      <w:pPr>
        <w:ind w:left="7200" w:hanging="360"/>
      </w:pPr>
      <w:rPr>
        <w:rFonts w:ascii="Wingdings" w:hAnsi="Wingdings" w:hint="default"/>
      </w:rPr>
    </w:lvl>
    <w:lvl w:ilvl="6" w:tplc="14090001" w:tentative="1">
      <w:start w:val="1"/>
      <w:numFmt w:val="bullet"/>
      <w:lvlText w:val=""/>
      <w:lvlJc w:val="left"/>
      <w:pPr>
        <w:ind w:left="7920" w:hanging="360"/>
      </w:pPr>
      <w:rPr>
        <w:rFonts w:ascii="Symbol" w:hAnsi="Symbol" w:hint="default"/>
      </w:rPr>
    </w:lvl>
    <w:lvl w:ilvl="7" w:tplc="14090003" w:tentative="1">
      <w:start w:val="1"/>
      <w:numFmt w:val="bullet"/>
      <w:lvlText w:val="o"/>
      <w:lvlJc w:val="left"/>
      <w:pPr>
        <w:ind w:left="8640" w:hanging="360"/>
      </w:pPr>
      <w:rPr>
        <w:rFonts w:ascii="Courier New" w:hAnsi="Courier New" w:cs="Courier New" w:hint="default"/>
      </w:rPr>
    </w:lvl>
    <w:lvl w:ilvl="8" w:tplc="14090005" w:tentative="1">
      <w:start w:val="1"/>
      <w:numFmt w:val="bullet"/>
      <w:lvlText w:val=""/>
      <w:lvlJc w:val="left"/>
      <w:pPr>
        <w:ind w:left="9360" w:hanging="360"/>
      </w:pPr>
      <w:rPr>
        <w:rFonts w:ascii="Wingdings" w:hAnsi="Wingdings" w:hint="default"/>
      </w:rPr>
    </w:lvl>
  </w:abstractNum>
  <w:abstractNum w:abstractNumId="22" w15:restartNumberingAfterBreak="0">
    <w:nsid w:val="51544955"/>
    <w:multiLevelType w:val="hybridMultilevel"/>
    <w:tmpl w:val="2CE805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61E7AE7"/>
    <w:multiLevelType w:val="hybridMultilevel"/>
    <w:tmpl w:val="AFFAC12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6401871"/>
    <w:multiLevelType w:val="hybridMultilevel"/>
    <w:tmpl w:val="C17E7A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A071ACA"/>
    <w:multiLevelType w:val="multilevel"/>
    <w:tmpl w:val="D7461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E954D7"/>
    <w:multiLevelType w:val="hybridMultilevel"/>
    <w:tmpl w:val="41803F4E"/>
    <w:lvl w:ilvl="0" w:tplc="1016777E">
      <w:start w:val="1"/>
      <w:numFmt w:val="bullet"/>
      <w:lvlText w:val=""/>
      <w:lvlJc w:val="left"/>
      <w:pPr>
        <w:ind w:left="720" w:hanging="360"/>
      </w:pPr>
      <w:rPr>
        <w:rFonts w:ascii="Symbol" w:hAnsi="Symbol" w:hint="default"/>
        <w:b/>
        <w:bCs/>
        <w:color w:val="A6192E"/>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C0E46DB"/>
    <w:multiLevelType w:val="hybridMultilevel"/>
    <w:tmpl w:val="00FE6E6E"/>
    <w:lvl w:ilvl="0" w:tplc="31AAA932">
      <w:start w:val="3"/>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D69502C"/>
    <w:multiLevelType w:val="hybridMultilevel"/>
    <w:tmpl w:val="45AEB750"/>
    <w:lvl w:ilvl="0" w:tplc="14090003">
      <w:start w:val="1"/>
      <w:numFmt w:val="bullet"/>
      <w:lvlText w:val="o"/>
      <w:lvlJc w:val="left"/>
      <w:pPr>
        <w:ind w:left="892" w:hanging="360"/>
      </w:pPr>
      <w:rPr>
        <w:rFonts w:ascii="Courier New" w:hAnsi="Courier New" w:cs="Courier New" w:hint="default"/>
      </w:rPr>
    </w:lvl>
    <w:lvl w:ilvl="1" w:tplc="FFFFFFFF" w:tentative="1">
      <w:start w:val="1"/>
      <w:numFmt w:val="bullet"/>
      <w:lvlText w:val="o"/>
      <w:lvlJc w:val="left"/>
      <w:pPr>
        <w:ind w:left="1612" w:hanging="360"/>
      </w:pPr>
      <w:rPr>
        <w:rFonts w:ascii="Courier New" w:hAnsi="Courier New" w:cs="Courier New" w:hint="default"/>
      </w:rPr>
    </w:lvl>
    <w:lvl w:ilvl="2" w:tplc="FFFFFFFF" w:tentative="1">
      <w:start w:val="1"/>
      <w:numFmt w:val="bullet"/>
      <w:lvlText w:val=""/>
      <w:lvlJc w:val="left"/>
      <w:pPr>
        <w:ind w:left="2332" w:hanging="360"/>
      </w:pPr>
      <w:rPr>
        <w:rFonts w:ascii="Wingdings" w:hAnsi="Wingdings" w:hint="default"/>
      </w:rPr>
    </w:lvl>
    <w:lvl w:ilvl="3" w:tplc="FFFFFFFF" w:tentative="1">
      <w:start w:val="1"/>
      <w:numFmt w:val="bullet"/>
      <w:lvlText w:val=""/>
      <w:lvlJc w:val="left"/>
      <w:pPr>
        <w:ind w:left="3052" w:hanging="360"/>
      </w:pPr>
      <w:rPr>
        <w:rFonts w:ascii="Symbol" w:hAnsi="Symbol" w:hint="default"/>
      </w:rPr>
    </w:lvl>
    <w:lvl w:ilvl="4" w:tplc="FFFFFFFF" w:tentative="1">
      <w:start w:val="1"/>
      <w:numFmt w:val="bullet"/>
      <w:lvlText w:val="o"/>
      <w:lvlJc w:val="left"/>
      <w:pPr>
        <w:ind w:left="3772" w:hanging="360"/>
      </w:pPr>
      <w:rPr>
        <w:rFonts w:ascii="Courier New" w:hAnsi="Courier New" w:cs="Courier New" w:hint="default"/>
      </w:rPr>
    </w:lvl>
    <w:lvl w:ilvl="5" w:tplc="FFFFFFFF" w:tentative="1">
      <w:start w:val="1"/>
      <w:numFmt w:val="bullet"/>
      <w:lvlText w:val=""/>
      <w:lvlJc w:val="left"/>
      <w:pPr>
        <w:ind w:left="4492" w:hanging="360"/>
      </w:pPr>
      <w:rPr>
        <w:rFonts w:ascii="Wingdings" w:hAnsi="Wingdings" w:hint="default"/>
      </w:rPr>
    </w:lvl>
    <w:lvl w:ilvl="6" w:tplc="FFFFFFFF" w:tentative="1">
      <w:start w:val="1"/>
      <w:numFmt w:val="bullet"/>
      <w:lvlText w:val=""/>
      <w:lvlJc w:val="left"/>
      <w:pPr>
        <w:ind w:left="5212" w:hanging="360"/>
      </w:pPr>
      <w:rPr>
        <w:rFonts w:ascii="Symbol" w:hAnsi="Symbol" w:hint="default"/>
      </w:rPr>
    </w:lvl>
    <w:lvl w:ilvl="7" w:tplc="FFFFFFFF" w:tentative="1">
      <w:start w:val="1"/>
      <w:numFmt w:val="bullet"/>
      <w:lvlText w:val="o"/>
      <w:lvlJc w:val="left"/>
      <w:pPr>
        <w:ind w:left="5932" w:hanging="360"/>
      </w:pPr>
      <w:rPr>
        <w:rFonts w:ascii="Courier New" w:hAnsi="Courier New" w:cs="Courier New" w:hint="default"/>
      </w:rPr>
    </w:lvl>
    <w:lvl w:ilvl="8" w:tplc="FFFFFFFF" w:tentative="1">
      <w:start w:val="1"/>
      <w:numFmt w:val="bullet"/>
      <w:lvlText w:val=""/>
      <w:lvlJc w:val="left"/>
      <w:pPr>
        <w:ind w:left="6652" w:hanging="360"/>
      </w:pPr>
      <w:rPr>
        <w:rFonts w:ascii="Wingdings" w:hAnsi="Wingdings" w:hint="default"/>
      </w:rPr>
    </w:lvl>
  </w:abstractNum>
  <w:abstractNum w:abstractNumId="29" w15:restartNumberingAfterBreak="0">
    <w:nsid w:val="606D7081"/>
    <w:multiLevelType w:val="hybridMultilevel"/>
    <w:tmpl w:val="B7C21D94"/>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0" w15:restartNumberingAfterBreak="0">
    <w:nsid w:val="648162CB"/>
    <w:multiLevelType w:val="hybridMultilevel"/>
    <w:tmpl w:val="84E6FE44"/>
    <w:lvl w:ilvl="0" w:tplc="1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6232636"/>
    <w:multiLevelType w:val="hybridMultilevel"/>
    <w:tmpl w:val="4308DC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740417C"/>
    <w:multiLevelType w:val="hybridMultilevel"/>
    <w:tmpl w:val="D8FE05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C4C5FBF"/>
    <w:multiLevelType w:val="hybridMultilevel"/>
    <w:tmpl w:val="6406A230"/>
    <w:lvl w:ilvl="0" w:tplc="8DE05F6A">
      <w:start w:val="1"/>
      <w:numFmt w:val="bullet"/>
      <w:lvlText w:val=""/>
      <w:lvlJc w:val="left"/>
      <w:pPr>
        <w:ind w:left="720" w:hanging="360"/>
      </w:pPr>
      <w:rPr>
        <w:rFonts w:ascii="Symbol" w:hAnsi="Symbol" w:hint="default"/>
        <w:color w:val="A6192E"/>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716D3C6F"/>
    <w:multiLevelType w:val="hybridMultilevel"/>
    <w:tmpl w:val="53C4E0F4"/>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35" w15:restartNumberingAfterBreak="0">
    <w:nsid w:val="756866A0"/>
    <w:multiLevelType w:val="hybridMultilevel"/>
    <w:tmpl w:val="AFFAC12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61B3110"/>
    <w:multiLevelType w:val="hybridMultilevel"/>
    <w:tmpl w:val="D012D3E8"/>
    <w:lvl w:ilvl="0" w:tplc="14090001">
      <w:start w:val="1"/>
      <w:numFmt w:val="bullet"/>
      <w:lvlText w:val=""/>
      <w:lvlJc w:val="left"/>
      <w:pPr>
        <w:ind w:left="1070" w:hanging="360"/>
      </w:pPr>
      <w:rPr>
        <w:rFonts w:ascii="Symbol" w:hAnsi="Symbol" w:hint="default"/>
        <w:b/>
        <w:bCs/>
        <w:color w:val="A6192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6445615"/>
    <w:multiLevelType w:val="hybridMultilevel"/>
    <w:tmpl w:val="64A2FC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C8310ED"/>
    <w:multiLevelType w:val="hybridMultilevel"/>
    <w:tmpl w:val="03F05F0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7CC27ADA"/>
    <w:multiLevelType w:val="hybridMultilevel"/>
    <w:tmpl w:val="4546F90A"/>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2118283014">
    <w:abstractNumId w:val="0"/>
  </w:num>
  <w:num w:numId="2" w16cid:durableId="1012755308">
    <w:abstractNumId w:val="26"/>
  </w:num>
  <w:num w:numId="3" w16cid:durableId="84157056">
    <w:abstractNumId w:val="22"/>
  </w:num>
  <w:num w:numId="4" w16cid:durableId="983510691">
    <w:abstractNumId w:val="21"/>
  </w:num>
  <w:num w:numId="5" w16cid:durableId="2128111703">
    <w:abstractNumId w:val="8"/>
  </w:num>
  <w:num w:numId="6" w16cid:durableId="606353795">
    <w:abstractNumId w:val="1"/>
  </w:num>
  <w:num w:numId="7" w16cid:durableId="1814173255">
    <w:abstractNumId w:val="36"/>
  </w:num>
  <w:num w:numId="8" w16cid:durableId="1027872138">
    <w:abstractNumId w:val="38"/>
  </w:num>
  <w:num w:numId="9" w16cid:durableId="1352683289">
    <w:abstractNumId w:val="30"/>
  </w:num>
  <w:num w:numId="10" w16cid:durableId="481971129">
    <w:abstractNumId w:val="5"/>
  </w:num>
  <w:num w:numId="11" w16cid:durableId="257058768">
    <w:abstractNumId w:val="14"/>
  </w:num>
  <w:num w:numId="12" w16cid:durableId="957835342">
    <w:abstractNumId w:val="25"/>
  </w:num>
  <w:num w:numId="13" w16cid:durableId="1604726834">
    <w:abstractNumId w:val="7"/>
  </w:num>
  <w:num w:numId="14" w16cid:durableId="1161461132">
    <w:abstractNumId w:val="13"/>
  </w:num>
  <w:num w:numId="15" w16cid:durableId="1229455480">
    <w:abstractNumId w:val="9"/>
  </w:num>
  <w:num w:numId="16" w16cid:durableId="1803573304">
    <w:abstractNumId w:val="28"/>
  </w:num>
  <w:num w:numId="17" w16cid:durableId="1725905301">
    <w:abstractNumId w:val="17"/>
  </w:num>
  <w:num w:numId="18" w16cid:durableId="1153106485">
    <w:abstractNumId w:val="15"/>
  </w:num>
  <w:num w:numId="19" w16cid:durableId="1916209811">
    <w:abstractNumId w:val="32"/>
  </w:num>
  <w:num w:numId="20" w16cid:durableId="897279450">
    <w:abstractNumId w:val="3"/>
  </w:num>
  <w:num w:numId="21" w16cid:durableId="266735552">
    <w:abstractNumId w:val="31"/>
  </w:num>
  <w:num w:numId="22" w16cid:durableId="1904439249">
    <w:abstractNumId w:val="33"/>
  </w:num>
  <w:num w:numId="23" w16cid:durableId="2092503491">
    <w:abstractNumId w:val="11"/>
  </w:num>
  <w:num w:numId="24" w16cid:durableId="1148283219">
    <w:abstractNumId w:val="2"/>
  </w:num>
  <w:num w:numId="25" w16cid:durableId="486483761">
    <w:abstractNumId w:val="10"/>
  </w:num>
  <w:num w:numId="26" w16cid:durableId="388505976">
    <w:abstractNumId w:val="12"/>
  </w:num>
  <w:num w:numId="27" w16cid:durableId="1310864810">
    <w:abstractNumId w:val="4"/>
  </w:num>
  <w:num w:numId="28" w16cid:durableId="370307256">
    <w:abstractNumId w:val="39"/>
  </w:num>
  <w:num w:numId="29" w16cid:durableId="1833835977">
    <w:abstractNumId w:val="19"/>
  </w:num>
  <w:num w:numId="30" w16cid:durableId="1036198959">
    <w:abstractNumId w:val="20"/>
  </w:num>
  <w:num w:numId="31" w16cid:durableId="2044938709">
    <w:abstractNumId w:val="27"/>
  </w:num>
  <w:num w:numId="32" w16cid:durableId="1566453914">
    <w:abstractNumId w:val="35"/>
  </w:num>
  <w:num w:numId="33" w16cid:durableId="1051807939">
    <w:abstractNumId w:val="23"/>
  </w:num>
  <w:num w:numId="34" w16cid:durableId="1506940384">
    <w:abstractNumId w:val="29"/>
  </w:num>
  <w:num w:numId="35" w16cid:durableId="1307516552">
    <w:abstractNumId w:val="37"/>
  </w:num>
  <w:num w:numId="36" w16cid:durableId="1942030914">
    <w:abstractNumId w:val="18"/>
  </w:num>
  <w:num w:numId="37" w16cid:durableId="2028871606">
    <w:abstractNumId w:val="16"/>
  </w:num>
  <w:num w:numId="38" w16cid:durableId="1624657116">
    <w:abstractNumId w:val="24"/>
  </w:num>
  <w:num w:numId="39" w16cid:durableId="1772433130">
    <w:abstractNumId w:val="34"/>
  </w:num>
  <w:num w:numId="40" w16cid:durableId="73539648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hideGrammaticalError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8878AD4"/>
    <w:rsid w:val="00000017"/>
    <w:rsid w:val="0000063B"/>
    <w:rsid w:val="00000E75"/>
    <w:rsid w:val="00001D0A"/>
    <w:rsid w:val="0000221F"/>
    <w:rsid w:val="00002F61"/>
    <w:rsid w:val="000067E1"/>
    <w:rsid w:val="00006B03"/>
    <w:rsid w:val="00006E28"/>
    <w:rsid w:val="000070AF"/>
    <w:rsid w:val="00007FF7"/>
    <w:rsid w:val="0001003A"/>
    <w:rsid w:val="00010857"/>
    <w:rsid w:val="00010F28"/>
    <w:rsid w:val="00011C36"/>
    <w:rsid w:val="000123D4"/>
    <w:rsid w:val="00013F67"/>
    <w:rsid w:val="0001501D"/>
    <w:rsid w:val="0001583E"/>
    <w:rsid w:val="00017855"/>
    <w:rsid w:val="00017B71"/>
    <w:rsid w:val="0002012F"/>
    <w:rsid w:val="000213B6"/>
    <w:rsid w:val="00022AFB"/>
    <w:rsid w:val="000250F9"/>
    <w:rsid w:val="00025698"/>
    <w:rsid w:val="000306D0"/>
    <w:rsid w:val="00030F43"/>
    <w:rsid w:val="00030F8B"/>
    <w:rsid w:val="000346D5"/>
    <w:rsid w:val="00034B25"/>
    <w:rsid w:val="000360E4"/>
    <w:rsid w:val="00036C3F"/>
    <w:rsid w:val="00036E6D"/>
    <w:rsid w:val="00040FE9"/>
    <w:rsid w:val="00041A8A"/>
    <w:rsid w:val="00042135"/>
    <w:rsid w:val="000426DF"/>
    <w:rsid w:val="00045426"/>
    <w:rsid w:val="0004613D"/>
    <w:rsid w:val="00047340"/>
    <w:rsid w:val="00050473"/>
    <w:rsid w:val="000529EC"/>
    <w:rsid w:val="00052C83"/>
    <w:rsid w:val="0005300D"/>
    <w:rsid w:val="00053B30"/>
    <w:rsid w:val="00056746"/>
    <w:rsid w:val="000576E8"/>
    <w:rsid w:val="00057968"/>
    <w:rsid w:val="00057983"/>
    <w:rsid w:val="00057A09"/>
    <w:rsid w:val="000601BD"/>
    <w:rsid w:val="000610F6"/>
    <w:rsid w:val="000634C4"/>
    <w:rsid w:val="000659D3"/>
    <w:rsid w:val="00065F52"/>
    <w:rsid w:val="00066390"/>
    <w:rsid w:val="000666AD"/>
    <w:rsid w:val="00066B17"/>
    <w:rsid w:val="00070738"/>
    <w:rsid w:val="00071955"/>
    <w:rsid w:val="0007195C"/>
    <w:rsid w:val="00071AFA"/>
    <w:rsid w:val="00073218"/>
    <w:rsid w:val="000733CE"/>
    <w:rsid w:val="000743BF"/>
    <w:rsid w:val="00074AAD"/>
    <w:rsid w:val="00074E79"/>
    <w:rsid w:val="000756D4"/>
    <w:rsid w:val="00076C9D"/>
    <w:rsid w:val="00082D12"/>
    <w:rsid w:val="00083D85"/>
    <w:rsid w:val="00084636"/>
    <w:rsid w:val="00084C08"/>
    <w:rsid w:val="00084FD0"/>
    <w:rsid w:val="00085324"/>
    <w:rsid w:val="00087002"/>
    <w:rsid w:val="00090213"/>
    <w:rsid w:val="00091778"/>
    <w:rsid w:val="00095FA6"/>
    <w:rsid w:val="00096FD7"/>
    <w:rsid w:val="000975F5"/>
    <w:rsid w:val="00097A32"/>
    <w:rsid w:val="00097F78"/>
    <w:rsid w:val="000A027B"/>
    <w:rsid w:val="000A0CEF"/>
    <w:rsid w:val="000A1572"/>
    <w:rsid w:val="000A1F3F"/>
    <w:rsid w:val="000A27A7"/>
    <w:rsid w:val="000A2D03"/>
    <w:rsid w:val="000A3ACA"/>
    <w:rsid w:val="000A4DC0"/>
    <w:rsid w:val="000A504A"/>
    <w:rsid w:val="000A58BA"/>
    <w:rsid w:val="000A5F4B"/>
    <w:rsid w:val="000A6E1C"/>
    <w:rsid w:val="000A7BEF"/>
    <w:rsid w:val="000B1C2D"/>
    <w:rsid w:val="000B2DA4"/>
    <w:rsid w:val="000B35BF"/>
    <w:rsid w:val="000B44E8"/>
    <w:rsid w:val="000B5A0F"/>
    <w:rsid w:val="000B7418"/>
    <w:rsid w:val="000B76C3"/>
    <w:rsid w:val="000C0181"/>
    <w:rsid w:val="000C080E"/>
    <w:rsid w:val="000C1D04"/>
    <w:rsid w:val="000C2412"/>
    <w:rsid w:val="000C3F13"/>
    <w:rsid w:val="000C72A9"/>
    <w:rsid w:val="000D1BEA"/>
    <w:rsid w:val="000D29AA"/>
    <w:rsid w:val="000D30CB"/>
    <w:rsid w:val="000D3668"/>
    <w:rsid w:val="000D483D"/>
    <w:rsid w:val="000D5A3D"/>
    <w:rsid w:val="000D780A"/>
    <w:rsid w:val="000E0897"/>
    <w:rsid w:val="000E14D0"/>
    <w:rsid w:val="000E1A28"/>
    <w:rsid w:val="000E1FCE"/>
    <w:rsid w:val="000E2B2F"/>
    <w:rsid w:val="000E4496"/>
    <w:rsid w:val="000E5471"/>
    <w:rsid w:val="000E573B"/>
    <w:rsid w:val="000E6FE2"/>
    <w:rsid w:val="000E7055"/>
    <w:rsid w:val="000F1131"/>
    <w:rsid w:val="000F3FF3"/>
    <w:rsid w:val="000F5291"/>
    <w:rsid w:val="000F560B"/>
    <w:rsid w:val="000F5BF1"/>
    <w:rsid w:val="000F5EED"/>
    <w:rsid w:val="000F6BD2"/>
    <w:rsid w:val="000F6DF5"/>
    <w:rsid w:val="001002B3"/>
    <w:rsid w:val="00100859"/>
    <w:rsid w:val="00100EDA"/>
    <w:rsid w:val="001017D2"/>
    <w:rsid w:val="001027E3"/>
    <w:rsid w:val="00103121"/>
    <w:rsid w:val="00104988"/>
    <w:rsid w:val="001060ED"/>
    <w:rsid w:val="0010666A"/>
    <w:rsid w:val="00110BCD"/>
    <w:rsid w:val="00110E7E"/>
    <w:rsid w:val="00110F23"/>
    <w:rsid w:val="00112487"/>
    <w:rsid w:val="0011377E"/>
    <w:rsid w:val="001137D2"/>
    <w:rsid w:val="001140B2"/>
    <w:rsid w:val="001142A8"/>
    <w:rsid w:val="001142ED"/>
    <w:rsid w:val="0011496E"/>
    <w:rsid w:val="001151AF"/>
    <w:rsid w:val="00115442"/>
    <w:rsid w:val="0011675B"/>
    <w:rsid w:val="001207CC"/>
    <w:rsid w:val="00121B57"/>
    <w:rsid w:val="001226F9"/>
    <w:rsid w:val="00122ADA"/>
    <w:rsid w:val="00125542"/>
    <w:rsid w:val="001276CC"/>
    <w:rsid w:val="00130573"/>
    <w:rsid w:val="00131585"/>
    <w:rsid w:val="001332A9"/>
    <w:rsid w:val="00136390"/>
    <w:rsid w:val="00136E17"/>
    <w:rsid w:val="00137911"/>
    <w:rsid w:val="00140D47"/>
    <w:rsid w:val="0014138B"/>
    <w:rsid w:val="00141C5B"/>
    <w:rsid w:val="00141F93"/>
    <w:rsid w:val="00142467"/>
    <w:rsid w:val="001429CD"/>
    <w:rsid w:val="00144624"/>
    <w:rsid w:val="00144671"/>
    <w:rsid w:val="00144A2F"/>
    <w:rsid w:val="00144D78"/>
    <w:rsid w:val="0014566A"/>
    <w:rsid w:val="001478ED"/>
    <w:rsid w:val="0015238B"/>
    <w:rsid w:val="0015386E"/>
    <w:rsid w:val="00154857"/>
    <w:rsid w:val="001549EE"/>
    <w:rsid w:val="00154A26"/>
    <w:rsid w:val="0015555F"/>
    <w:rsid w:val="00155F3C"/>
    <w:rsid w:val="001567FB"/>
    <w:rsid w:val="00157474"/>
    <w:rsid w:val="00160E31"/>
    <w:rsid w:val="00162EEC"/>
    <w:rsid w:val="00162FA4"/>
    <w:rsid w:val="0016389C"/>
    <w:rsid w:val="00163FAB"/>
    <w:rsid w:val="00164F6D"/>
    <w:rsid w:val="001661BE"/>
    <w:rsid w:val="00167CE5"/>
    <w:rsid w:val="001701F0"/>
    <w:rsid w:val="0017132A"/>
    <w:rsid w:val="00171E35"/>
    <w:rsid w:val="0017299D"/>
    <w:rsid w:val="00172A85"/>
    <w:rsid w:val="00173A9C"/>
    <w:rsid w:val="00174474"/>
    <w:rsid w:val="00174E26"/>
    <w:rsid w:val="001764DF"/>
    <w:rsid w:val="00176517"/>
    <w:rsid w:val="00176FE3"/>
    <w:rsid w:val="00180F64"/>
    <w:rsid w:val="00181769"/>
    <w:rsid w:val="00181B8F"/>
    <w:rsid w:val="00182309"/>
    <w:rsid w:val="00182DE9"/>
    <w:rsid w:val="00182EA7"/>
    <w:rsid w:val="0018588C"/>
    <w:rsid w:val="00186010"/>
    <w:rsid w:val="0019036C"/>
    <w:rsid w:val="00190CAB"/>
    <w:rsid w:val="00191ACD"/>
    <w:rsid w:val="00192C9E"/>
    <w:rsid w:val="00192EB9"/>
    <w:rsid w:val="001931E8"/>
    <w:rsid w:val="001933A8"/>
    <w:rsid w:val="00194B1A"/>
    <w:rsid w:val="00194BE3"/>
    <w:rsid w:val="0019608D"/>
    <w:rsid w:val="001962FF"/>
    <w:rsid w:val="00196769"/>
    <w:rsid w:val="001A0A6D"/>
    <w:rsid w:val="001A1C37"/>
    <w:rsid w:val="001A277A"/>
    <w:rsid w:val="001A2A50"/>
    <w:rsid w:val="001A41F8"/>
    <w:rsid w:val="001A43FA"/>
    <w:rsid w:val="001A74C0"/>
    <w:rsid w:val="001A76E6"/>
    <w:rsid w:val="001B0867"/>
    <w:rsid w:val="001B091F"/>
    <w:rsid w:val="001B10F6"/>
    <w:rsid w:val="001B1651"/>
    <w:rsid w:val="001B2AF9"/>
    <w:rsid w:val="001B54DC"/>
    <w:rsid w:val="001B63F7"/>
    <w:rsid w:val="001C35D9"/>
    <w:rsid w:val="001C3B1D"/>
    <w:rsid w:val="001C3BA1"/>
    <w:rsid w:val="001C470B"/>
    <w:rsid w:val="001C57EC"/>
    <w:rsid w:val="001C6F8B"/>
    <w:rsid w:val="001C7270"/>
    <w:rsid w:val="001C77C7"/>
    <w:rsid w:val="001D2B43"/>
    <w:rsid w:val="001D4938"/>
    <w:rsid w:val="001D61C9"/>
    <w:rsid w:val="001D7C26"/>
    <w:rsid w:val="001E1559"/>
    <w:rsid w:val="001E1A28"/>
    <w:rsid w:val="001E1FE7"/>
    <w:rsid w:val="001E226E"/>
    <w:rsid w:val="001E2B28"/>
    <w:rsid w:val="001E4B6E"/>
    <w:rsid w:val="001E57B6"/>
    <w:rsid w:val="001E6CA3"/>
    <w:rsid w:val="001E7094"/>
    <w:rsid w:val="001F02EA"/>
    <w:rsid w:val="001F081B"/>
    <w:rsid w:val="001F094B"/>
    <w:rsid w:val="001F0B90"/>
    <w:rsid w:val="001F38F6"/>
    <w:rsid w:val="001F4693"/>
    <w:rsid w:val="001F57F4"/>
    <w:rsid w:val="001F79EF"/>
    <w:rsid w:val="001F7E50"/>
    <w:rsid w:val="002001FE"/>
    <w:rsid w:val="00200642"/>
    <w:rsid w:val="0020208B"/>
    <w:rsid w:val="002021C0"/>
    <w:rsid w:val="00202634"/>
    <w:rsid w:val="00202E8B"/>
    <w:rsid w:val="002031DD"/>
    <w:rsid w:val="00204633"/>
    <w:rsid w:val="00204F54"/>
    <w:rsid w:val="00206A5D"/>
    <w:rsid w:val="00206D17"/>
    <w:rsid w:val="00206FC8"/>
    <w:rsid w:val="00207B15"/>
    <w:rsid w:val="00210C46"/>
    <w:rsid w:val="00210E40"/>
    <w:rsid w:val="00211E72"/>
    <w:rsid w:val="0021302F"/>
    <w:rsid w:val="002131EE"/>
    <w:rsid w:val="002136E2"/>
    <w:rsid w:val="0021440F"/>
    <w:rsid w:val="0021454B"/>
    <w:rsid w:val="002147AD"/>
    <w:rsid w:val="00214FEC"/>
    <w:rsid w:val="00216FE5"/>
    <w:rsid w:val="002174FC"/>
    <w:rsid w:val="002177B2"/>
    <w:rsid w:val="00217C12"/>
    <w:rsid w:val="00217C5A"/>
    <w:rsid w:val="00220577"/>
    <w:rsid w:val="002246D1"/>
    <w:rsid w:val="002259E0"/>
    <w:rsid w:val="00225C9A"/>
    <w:rsid w:val="00226773"/>
    <w:rsid w:val="00226BF0"/>
    <w:rsid w:val="00226FCB"/>
    <w:rsid w:val="002317BF"/>
    <w:rsid w:val="002325AA"/>
    <w:rsid w:val="00234B95"/>
    <w:rsid w:val="00234F70"/>
    <w:rsid w:val="002354EA"/>
    <w:rsid w:val="00235981"/>
    <w:rsid w:val="002366C0"/>
    <w:rsid w:val="00236FA4"/>
    <w:rsid w:val="00237236"/>
    <w:rsid w:val="00237C42"/>
    <w:rsid w:val="00242CF0"/>
    <w:rsid w:val="00243470"/>
    <w:rsid w:val="0024386A"/>
    <w:rsid w:val="002439E9"/>
    <w:rsid w:val="002443AC"/>
    <w:rsid w:val="00244459"/>
    <w:rsid w:val="00246665"/>
    <w:rsid w:val="00250967"/>
    <w:rsid w:val="002512A4"/>
    <w:rsid w:val="00252194"/>
    <w:rsid w:val="00256A86"/>
    <w:rsid w:val="00257B8E"/>
    <w:rsid w:val="00262535"/>
    <w:rsid w:val="002656AA"/>
    <w:rsid w:val="0026659C"/>
    <w:rsid w:val="002704E3"/>
    <w:rsid w:val="0027059A"/>
    <w:rsid w:val="0027065E"/>
    <w:rsid w:val="002738B5"/>
    <w:rsid w:val="00274546"/>
    <w:rsid w:val="0027475F"/>
    <w:rsid w:val="002756C3"/>
    <w:rsid w:val="00275C55"/>
    <w:rsid w:val="00275DF5"/>
    <w:rsid w:val="002771D4"/>
    <w:rsid w:val="002778C4"/>
    <w:rsid w:val="00280F67"/>
    <w:rsid w:val="00281239"/>
    <w:rsid w:val="0028128B"/>
    <w:rsid w:val="00281402"/>
    <w:rsid w:val="00281D3F"/>
    <w:rsid w:val="002820D5"/>
    <w:rsid w:val="0028269A"/>
    <w:rsid w:val="002837FA"/>
    <w:rsid w:val="0028384F"/>
    <w:rsid w:val="00284B4D"/>
    <w:rsid w:val="0028642C"/>
    <w:rsid w:val="00286DD4"/>
    <w:rsid w:val="002905C2"/>
    <w:rsid w:val="00290709"/>
    <w:rsid w:val="002908A8"/>
    <w:rsid w:val="00290E29"/>
    <w:rsid w:val="00290FB3"/>
    <w:rsid w:val="0029123D"/>
    <w:rsid w:val="002920D6"/>
    <w:rsid w:val="00293FD6"/>
    <w:rsid w:val="00294D9E"/>
    <w:rsid w:val="002974B3"/>
    <w:rsid w:val="00297A08"/>
    <w:rsid w:val="002A0193"/>
    <w:rsid w:val="002A1192"/>
    <w:rsid w:val="002A32E8"/>
    <w:rsid w:val="002A3374"/>
    <w:rsid w:val="002A3502"/>
    <w:rsid w:val="002A49DE"/>
    <w:rsid w:val="002A4DF7"/>
    <w:rsid w:val="002A5650"/>
    <w:rsid w:val="002A5B5B"/>
    <w:rsid w:val="002A7A24"/>
    <w:rsid w:val="002A7B21"/>
    <w:rsid w:val="002B01EC"/>
    <w:rsid w:val="002B095A"/>
    <w:rsid w:val="002B0C8F"/>
    <w:rsid w:val="002B2ED5"/>
    <w:rsid w:val="002B2EEE"/>
    <w:rsid w:val="002B305F"/>
    <w:rsid w:val="002B3B21"/>
    <w:rsid w:val="002B4556"/>
    <w:rsid w:val="002B541F"/>
    <w:rsid w:val="002B7336"/>
    <w:rsid w:val="002B79BD"/>
    <w:rsid w:val="002C03BE"/>
    <w:rsid w:val="002C0BA4"/>
    <w:rsid w:val="002C1E42"/>
    <w:rsid w:val="002C3BE9"/>
    <w:rsid w:val="002C47D2"/>
    <w:rsid w:val="002C4F92"/>
    <w:rsid w:val="002C5260"/>
    <w:rsid w:val="002C5400"/>
    <w:rsid w:val="002C6321"/>
    <w:rsid w:val="002C69A4"/>
    <w:rsid w:val="002C72C3"/>
    <w:rsid w:val="002C7539"/>
    <w:rsid w:val="002C7956"/>
    <w:rsid w:val="002D08CB"/>
    <w:rsid w:val="002D0F11"/>
    <w:rsid w:val="002D4D1F"/>
    <w:rsid w:val="002D6A06"/>
    <w:rsid w:val="002E0163"/>
    <w:rsid w:val="002E18B3"/>
    <w:rsid w:val="002E1BF0"/>
    <w:rsid w:val="002E2E8E"/>
    <w:rsid w:val="002E3A17"/>
    <w:rsid w:val="002E3B96"/>
    <w:rsid w:val="002E3DE1"/>
    <w:rsid w:val="002E59D4"/>
    <w:rsid w:val="002E601B"/>
    <w:rsid w:val="002E644A"/>
    <w:rsid w:val="002E68E3"/>
    <w:rsid w:val="002F0970"/>
    <w:rsid w:val="002F1AD2"/>
    <w:rsid w:val="002F39CC"/>
    <w:rsid w:val="002F4316"/>
    <w:rsid w:val="002F4671"/>
    <w:rsid w:val="002F4E5D"/>
    <w:rsid w:val="002F50D7"/>
    <w:rsid w:val="002F5799"/>
    <w:rsid w:val="002F5CF7"/>
    <w:rsid w:val="002F5E9D"/>
    <w:rsid w:val="002F5FEA"/>
    <w:rsid w:val="002F60EB"/>
    <w:rsid w:val="002F66C7"/>
    <w:rsid w:val="0030073F"/>
    <w:rsid w:val="003007DB"/>
    <w:rsid w:val="00300804"/>
    <w:rsid w:val="00300FF8"/>
    <w:rsid w:val="00303F7C"/>
    <w:rsid w:val="0030430C"/>
    <w:rsid w:val="003043C3"/>
    <w:rsid w:val="00304D51"/>
    <w:rsid w:val="003058C9"/>
    <w:rsid w:val="00307430"/>
    <w:rsid w:val="003101BC"/>
    <w:rsid w:val="00310ACA"/>
    <w:rsid w:val="003122A6"/>
    <w:rsid w:val="00312DC4"/>
    <w:rsid w:val="003148F9"/>
    <w:rsid w:val="003164DF"/>
    <w:rsid w:val="003165DE"/>
    <w:rsid w:val="0031668A"/>
    <w:rsid w:val="003166BB"/>
    <w:rsid w:val="00317507"/>
    <w:rsid w:val="00320394"/>
    <w:rsid w:val="003208EF"/>
    <w:rsid w:val="003221CD"/>
    <w:rsid w:val="0032239C"/>
    <w:rsid w:val="003224CE"/>
    <w:rsid w:val="003226E1"/>
    <w:rsid w:val="00322D8F"/>
    <w:rsid w:val="00323BCA"/>
    <w:rsid w:val="003243F5"/>
    <w:rsid w:val="00325399"/>
    <w:rsid w:val="00327A8C"/>
    <w:rsid w:val="00327ADA"/>
    <w:rsid w:val="00327EB3"/>
    <w:rsid w:val="00330FC5"/>
    <w:rsid w:val="00334E63"/>
    <w:rsid w:val="00334EF9"/>
    <w:rsid w:val="00334F6E"/>
    <w:rsid w:val="00337F77"/>
    <w:rsid w:val="0034073D"/>
    <w:rsid w:val="00340C29"/>
    <w:rsid w:val="00341D24"/>
    <w:rsid w:val="00341D62"/>
    <w:rsid w:val="003427CD"/>
    <w:rsid w:val="00342FC6"/>
    <w:rsid w:val="003432EB"/>
    <w:rsid w:val="00344420"/>
    <w:rsid w:val="00345CFA"/>
    <w:rsid w:val="00346271"/>
    <w:rsid w:val="003475CA"/>
    <w:rsid w:val="00350360"/>
    <w:rsid w:val="00350C07"/>
    <w:rsid w:val="00351B97"/>
    <w:rsid w:val="00352087"/>
    <w:rsid w:val="00353012"/>
    <w:rsid w:val="00354DEC"/>
    <w:rsid w:val="0035513F"/>
    <w:rsid w:val="00355199"/>
    <w:rsid w:val="00355FE1"/>
    <w:rsid w:val="00357108"/>
    <w:rsid w:val="00360931"/>
    <w:rsid w:val="00360ECE"/>
    <w:rsid w:val="00360FDE"/>
    <w:rsid w:val="0036144C"/>
    <w:rsid w:val="0036254A"/>
    <w:rsid w:val="00362F92"/>
    <w:rsid w:val="00366B09"/>
    <w:rsid w:val="003679E5"/>
    <w:rsid w:val="00373955"/>
    <w:rsid w:val="00374665"/>
    <w:rsid w:val="00374FFE"/>
    <w:rsid w:val="00375538"/>
    <w:rsid w:val="0037586A"/>
    <w:rsid w:val="00375B68"/>
    <w:rsid w:val="00376999"/>
    <w:rsid w:val="00377262"/>
    <w:rsid w:val="00377656"/>
    <w:rsid w:val="00377F1C"/>
    <w:rsid w:val="00377F23"/>
    <w:rsid w:val="00380A53"/>
    <w:rsid w:val="0038171B"/>
    <w:rsid w:val="00382BD1"/>
    <w:rsid w:val="00383DFA"/>
    <w:rsid w:val="00384FF9"/>
    <w:rsid w:val="003867C2"/>
    <w:rsid w:val="00392091"/>
    <w:rsid w:val="0039511B"/>
    <w:rsid w:val="0039698B"/>
    <w:rsid w:val="00397826"/>
    <w:rsid w:val="003A06BB"/>
    <w:rsid w:val="003A08CC"/>
    <w:rsid w:val="003A0AD6"/>
    <w:rsid w:val="003A109F"/>
    <w:rsid w:val="003A1BA1"/>
    <w:rsid w:val="003A1D45"/>
    <w:rsid w:val="003A33B5"/>
    <w:rsid w:val="003A3419"/>
    <w:rsid w:val="003A34A5"/>
    <w:rsid w:val="003A374A"/>
    <w:rsid w:val="003A3A1B"/>
    <w:rsid w:val="003A4628"/>
    <w:rsid w:val="003A4A41"/>
    <w:rsid w:val="003A5F15"/>
    <w:rsid w:val="003B0918"/>
    <w:rsid w:val="003B0E3F"/>
    <w:rsid w:val="003B14D9"/>
    <w:rsid w:val="003B4C92"/>
    <w:rsid w:val="003B561A"/>
    <w:rsid w:val="003B6D68"/>
    <w:rsid w:val="003C01AC"/>
    <w:rsid w:val="003C08DE"/>
    <w:rsid w:val="003C2037"/>
    <w:rsid w:val="003C29E5"/>
    <w:rsid w:val="003C4B33"/>
    <w:rsid w:val="003C5A2B"/>
    <w:rsid w:val="003C6BF2"/>
    <w:rsid w:val="003C6DE5"/>
    <w:rsid w:val="003C7047"/>
    <w:rsid w:val="003C737D"/>
    <w:rsid w:val="003C7BAE"/>
    <w:rsid w:val="003D117F"/>
    <w:rsid w:val="003D1926"/>
    <w:rsid w:val="003D29EC"/>
    <w:rsid w:val="003D38E4"/>
    <w:rsid w:val="003D40E3"/>
    <w:rsid w:val="003D4911"/>
    <w:rsid w:val="003D4EFA"/>
    <w:rsid w:val="003E0AC5"/>
    <w:rsid w:val="003E0D1F"/>
    <w:rsid w:val="003E132C"/>
    <w:rsid w:val="003E1FF2"/>
    <w:rsid w:val="003E34D0"/>
    <w:rsid w:val="003E475D"/>
    <w:rsid w:val="003E7105"/>
    <w:rsid w:val="003E75D4"/>
    <w:rsid w:val="003F1DFD"/>
    <w:rsid w:val="003F1E6C"/>
    <w:rsid w:val="003F2D70"/>
    <w:rsid w:val="003F3F70"/>
    <w:rsid w:val="003F446F"/>
    <w:rsid w:val="003F4576"/>
    <w:rsid w:val="003F4B54"/>
    <w:rsid w:val="003F4F8A"/>
    <w:rsid w:val="003F70A0"/>
    <w:rsid w:val="00400E0F"/>
    <w:rsid w:val="00401F6C"/>
    <w:rsid w:val="00403798"/>
    <w:rsid w:val="004037D1"/>
    <w:rsid w:val="004048D8"/>
    <w:rsid w:val="004059F1"/>
    <w:rsid w:val="00405C5F"/>
    <w:rsid w:val="00405ED4"/>
    <w:rsid w:val="00405F67"/>
    <w:rsid w:val="004112C1"/>
    <w:rsid w:val="0041145D"/>
    <w:rsid w:val="00412C92"/>
    <w:rsid w:val="0041332E"/>
    <w:rsid w:val="00413D86"/>
    <w:rsid w:val="00414CA0"/>
    <w:rsid w:val="004151C8"/>
    <w:rsid w:val="0041579E"/>
    <w:rsid w:val="00416881"/>
    <w:rsid w:val="004177AA"/>
    <w:rsid w:val="004202B0"/>
    <w:rsid w:val="004218F4"/>
    <w:rsid w:val="004220C0"/>
    <w:rsid w:val="00422EF0"/>
    <w:rsid w:val="004232A0"/>
    <w:rsid w:val="00425388"/>
    <w:rsid w:val="00426991"/>
    <w:rsid w:val="00432349"/>
    <w:rsid w:val="004323DC"/>
    <w:rsid w:val="004343C9"/>
    <w:rsid w:val="00435219"/>
    <w:rsid w:val="004366A3"/>
    <w:rsid w:val="00436B7B"/>
    <w:rsid w:val="00440967"/>
    <w:rsid w:val="00440B46"/>
    <w:rsid w:val="00441FF0"/>
    <w:rsid w:val="00443601"/>
    <w:rsid w:val="00443FA8"/>
    <w:rsid w:val="00445734"/>
    <w:rsid w:val="004462E0"/>
    <w:rsid w:val="00446381"/>
    <w:rsid w:val="00446F9C"/>
    <w:rsid w:val="00450473"/>
    <w:rsid w:val="00452252"/>
    <w:rsid w:val="004539B4"/>
    <w:rsid w:val="00454889"/>
    <w:rsid w:val="00454F9B"/>
    <w:rsid w:val="00455E3F"/>
    <w:rsid w:val="00456145"/>
    <w:rsid w:val="004569F3"/>
    <w:rsid w:val="004616DC"/>
    <w:rsid w:val="0046193D"/>
    <w:rsid w:val="004628C5"/>
    <w:rsid w:val="00462E2A"/>
    <w:rsid w:val="00463763"/>
    <w:rsid w:val="004640CA"/>
    <w:rsid w:val="0047395E"/>
    <w:rsid w:val="0047432E"/>
    <w:rsid w:val="00476368"/>
    <w:rsid w:val="00476679"/>
    <w:rsid w:val="00481C5B"/>
    <w:rsid w:val="00483422"/>
    <w:rsid w:val="00484836"/>
    <w:rsid w:val="00490604"/>
    <w:rsid w:val="00491B66"/>
    <w:rsid w:val="004942E0"/>
    <w:rsid w:val="004950AA"/>
    <w:rsid w:val="00495BE1"/>
    <w:rsid w:val="00496576"/>
    <w:rsid w:val="00496A88"/>
    <w:rsid w:val="004A18D2"/>
    <w:rsid w:val="004A2159"/>
    <w:rsid w:val="004A3053"/>
    <w:rsid w:val="004A3317"/>
    <w:rsid w:val="004A3F07"/>
    <w:rsid w:val="004A3F8F"/>
    <w:rsid w:val="004A4824"/>
    <w:rsid w:val="004A58FF"/>
    <w:rsid w:val="004A5C38"/>
    <w:rsid w:val="004A5FD4"/>
    <w:rsid w:val="004B117B"/>
    <w:rsid w:val="004B1BD6"/>
    <w:rsid w:val="004B1E2F"/>
    <w:rsid w:val="004B25C3"/>
    <w:rsid w:val="004B3996"/>
    <w:rsid w:val="004B4DB8"/>
    <w:rsid w:val="004B76EC"/>
    <w:rsid w:val="004C2A92"/>
    <w:rsid w:val="004C3D74"/>
    <w:rsid w:val="004C4615"/>
    <w:rsid w:val="004C508C"/>
    <w:rsid w:val="004C62D2"/>
    <w:rsid w:val="004C7177"/>
    <w:rsid w:val="004C770B"/>
    <w:rsid w:val="004C7AD1"/>
    <w:rsid w:val="004C7C48"/>
    <w:rsid w:val="004D04BD"/>
    <w:rsid w:val="004D07F6"/>
    <w:rsid w:val="004D2918"/>
    <w:rsid w:val="004D5086"/>
    <w:rsid w:val="004D5194"/>
    <w:rsid w:val="004D54C9"/>
    <w:rsid w:val="004D5F3A"/>
    <w:rsid w:val="004D5FA5"/>
    <w:rsid w:val="004D65A8"/>
    <w:rsid w:val="004D6AE6"/>
    <w:rsid w:val="004D77B1"/>
    <w:rsid w:val="004E175B"/>
    <w:rsid w:val="004E309F"/>
    <w:rsid w:val="004E4A20"/>
    <w:rsid w:val="004E4E00"/>
    <w:rsid w:val="004E5BC3"/>
    <w:rsid w:val="004E74CD"/>
    <w:rsid w:val="004E7DD7"/>
    <w:rsid w:val="004F1675"/>
    <w:rsid w:val="004F19E7"/>
    <w:rsid w:val="004F1F53"/>
    <w:rsid w:val="004F205A"/>
    <w:rsid w:val="004F2228"/>
    <w:rsid w:val="004F2498"/>
    <w:rsid w:val="004F24FC"/>
    <w:rsid w:val="004F371F"/>
    <w:rsid w:val="004F3E21"/>
    <w:rsid w:val="0050023A"/>
    <w:rsid w:val="00501B41"/>
    <w:rsid w:val="00505999"/>
    <w:rsid w:val="00506326"/>
    <w:rsid w:val="005072C0"/>
    <w:rsid w:val="00511BFD"/>
    <w:rsid w:val="00512D83"/>
    <w:rsid w:val="0051530B"/>
    <w:rsid w:val="00515CE4"/>
    <w:rsid w:val="00515DAF"/>
    <w:rsid w:val="00515EA0"/>
    <w:rsid w:val="0051616A"/>
    <w:rsid w:val="00516B9D"/>
    <w:rsid w:val="00516BAA"/>
    <w:rsid w:val="00517014"/>
    <w:rsid w:val="00517D68"/>
    <w:rsid w:val="00522303"/>
    <w:rsid w:val="005229FA"/>
    <w:rsid w:val="0052344B"/>
    <w:rsid w:val="0052344F"/>
    <w:rsid w:val="0052584E"/>
    <w:rsid w:val="00526832"/>
    <w:rsid w:val="00526D23"/>
    <w:rsid w:val="00527D38"/>
    <w:rsid w:val="005307D1"/>
    <w:rsid w:val="005312F1"/>
    <w:rsid w:val="005335E3"/>
    <w:rsid w:val="00533CFE"/>
    <w:rsid w:val="00534A6C"/>
    <w:rsid w:val="00536412"/>
    <w:rsid w:val="00536BFB"/>
    <w:rsid w:val="00540689"/>
    <w:rsid w:val="00541118"/>
    <w:rsid w:val="00541F4A"/>
    <w:rsid w:val="00542459"/>
    <w:rsid w:val="005432C2"/>
    <w:rsid w:val="00544530"/>
    <w:rsid w:val="005453E9"/>
    <w:rsid w:val="005457B1"/>
    <w:rsid w:val="00545EE9"/>
    <w:rsid w:val="00546716"/>
    <w:rsid w:val="005477BB"/>
    <w:rsid w:val="0054793F"/>
    <w:rsid w:val="00550839"/>
    <w:rsid w:val="00550B04"/>
    <w:rsid w:val="00552B0B"/>
    <w:rsid w:val="005533B7"/>
    <w:rsid w:val="005545D2"/>
    <w:rsid w:val="00555B3B"/>
    <w:rsid w:val="00555D8E"/>
    <w:rsid w:val="00555ED2"/>
    <w:rsid w:val="00555FFC"/>
    <w:rsid w:val="0055639A"/>
    <w:rsid w:val="00556C53"/>
    <w:rsid w:val="005603A3"/>
    <w:rsid w:val="00563B5C"/>
    <w:rsid w:val="00564885"/>
    <w:rsid w:val="005655D3"/>
    <w:rsid w:val="00565A8D"/>
    <w:rsid w:val="00565EB9"/>
    <w:rsid w:val="005711E6"/>
    <w:rsid w:val="00571353"/>
    <w:rsid w:val="005716E7"/>
    <w:rsid w:val="00572625"/>
    <w:rsid w:val="00575164"/>
    <w:rsid w:val="0058128D"/>
    <w:rsid w:val="00583C21"/>
    <w:rsid w:val="00583D52"/>
    <w:rsid w:val="005846DE"/>
    <w:rsid w:val="0058618E"/>
    <w:rsid w:val="00586E09"/>
    <w:rsid w:val="00592BBD"/>
    <w:rsid w:val="005948E8"/>
    <w:rsid w:val="00594D2D"/>
    <w:rsid w:val="00597673"/>
    <w:rsid w:val="005A196E"/>
    <w:rsid w:val="005A1B5B"/>
    <w:rsid w:val="005A2C46"/>
    <w:rsid w:val="005A39F0"/>
    <w:rsid w:val="005A416B"/>
    <w:rsid w:val="005A4910"/>
    <w:rsid w:val="005A4A6F"/>
    <w:rsid w:val="005A53E8"/>
    <w:rsid w:val="005A5AE5"/>
    <w:rsid w:val="005A6FA6"/>
    <w:rsid w:val="005A7413"/>
    <w:rsid w:val="005B0FAF"/>
    <w:rsid w:val="005B1894"/>
    <w:rsid w:val="005B2310"/>
    <w:rsid w:val="005B2963"/>
    <w:rsid w:val="005B2C85"/>
    <w:rsid w:val="005B306E"/>
    <w:rsid w:val="005B4A2E"/>
    <w:rsid w:val="005B5507"/>
    <w:rsid w:val="005B666B"/>
    <w:rsid w:val="005B7256"/>
    <w:rsid w:val="005B79DA"/>
    <w:rsid w:val="005C05D9"/>
    <w:rsid w:val="005C2229"/>
    <w:rsid w:val="005C2C88"/>
    <w:rsid w:val="005C53CE"/>
    <w:rsid w:val="005D0D4E"/>
    <w:rsid w:val="005D1254"/>
    <w:rsid w:val="005D19E2"/>
    <w:rsid w:val="005D1D9F"/>
    <w:rsid w:val="005D2651"/>
    <w:rsid w:val="005D3E14"/>
    <w:rsid w:val="005D5CB2"/>
    <w:rsid w:val="005D6D10"/>
    <w:rsid w:val="005D76BE"/>
    <w:rsid w:val="005E2791"/>
    <w:rsid w:val="005E31DB"/>
    <w:rsid w:val="005E354B"/>
    <w:rsid w:val="005E35B0"/>
    <w:rsid w:val="005E35E3"/>
    <w:rsid w:val="005E3855"/>
    <w:rsid w:val="005E7EF8"/>
    <w:rsid w:val="005F08C3"/>
    <w:rsid w:val="005F2500"/>
    <w:rsid w:val="005F375A"/>
    <w:rsid w:val="005F44E7"/>
    <w:rsid w:val="005F4518"/>
    <w:rsid w:val="005F4C59"/>
    <w:rsid w:val="005F50B8"/>
    <w:rsid w:val="005F6668"/>
    <w:rsid w:val="00600739"/>
    <w:rsid w:val="006023C3"/>
    <w:rsid w:val="00602B69"/>
    <w:rsid w:val="00602EC5"/>
    <w:rsid w:val="00603DB5"/>
    <w:rsid w:val="00605903"/>
    <w:rsid w:val="00605A7F"/>
    <w:rsid w:val="00605AC9"/>
    <w:rsid w:val="00605AE1"/>
    <w:rsid w:val="0060765D"/>
    <w:rsid w:val="0061054D"/>
    <w:rsid w:val="00611190"/>
    <w:rsid w:val="0061188A"/>
    <w:rsid w:val="00611B6C"/>
    <w:rsid w:val="0061246E"/>
    <w:rsid w:val="00613E6E"/>
    <w:rsid w:val="006159D8"/>
    <w:rsid w:val="00615F84"/>
    <w:rsid w:val="00616944"/>
    <w:rsid w:val="00617CD6"/>
    <w:rsid w:val="00617E6A"/>
    <w:rsid w:val="006203F1"/>
    <w:rsid w:val="00620945"/>
    <w:rsid w:val="00622910"/>
    <w:rsid w:val="00624C33"/>
    <w:rsid w:val="00625D07"/>
    <w:rsid w:val="00630896"/>
    <w:rsid w:val="00632B83"/>
    <w:rsid w:val="0063300D"/>
    <w:rsid w:val="00634C2E"/>
    <w:rsid w:val="00635236"/>
    <w:rsid w:val="00635ABF"/>
    <w:rsid w:val="00636E51"/>
    <w:rsid w:val="00637131"/>
    <w:rsid w:val="0063779E"/>
    <w:rsid w:val="00637A7C"/>
    <w:rsid w:val="00637A7F"/>
    <w:rsid w:val="006403EA"/>
    <w:rsid w:val="0064056F"/>
    <w:rsid w:val="0064295E"/>
    <w:rsid w:val="00642DEB"/>
    <w:rsid w:val="00643953"/>
    <w:rsid w:val="00643EC5"/>
    <w:rsid w:val="0064495D"/>
    <w:rsid w:val="00644E4B"/>
    <w:rsid w:val="0064502E"/>
    <w:rsid w:val="006450A7"/>
    <w:rsid w:val="006450B1"/>
    <w:rsid w:val="00645F5A"/>
    <w:rsid w:val="00646004"/>
    <w:rsid w:val="00646D22"/>
    <w:rsid w:val="006471AD"/>
    <w:rsid w:val="006478B1"/>
    <w:rsid w:val="00650939"/>
    <w:rsid w:val="006509CA"/>
    <w:rsid w:val="00651410"/>
    <w:rsid w:val="00652AB5"/>
    <w:rsid w:val="0065459E"/>
    <w:rsid w:val="00654CA1"/>
    <w:rsid w:val="006556C8"/>
    <w:rsid w:val="00656036"/>
    <w:rsid w:val="00656B56"/>
    <w:rsid w:val="00660340"/>
    <w:rsid w:val="00660F1D"/>
    <w:rsid w:val="006619AB"/>
    <w:rsid w:val="00662A36"/>
    <w:rsid w:val="00662AD2"/>
    <w:rsid w:val="00663608"/>
    <w:rsid w:val="00665237"/>
    <w:rsid w:val="006657C4"/>
    <w:rsid w:val="00666946"/>
    <w:rsid w:val="006670A6"/>
    <w:rsid w:val="006671B3"/>
    <w:rsid w:val="00672D7B"/>
    <w:rsid w:val="00672ECF"/>
    <w:rsid w:val="00673737"/>
    <w:rsid w:val="00674D88"/>
    <w:rsid w:val="0067509E"/>
    <w:rsid w:val="00675C06"/>
    <w:rsid w:val="00676243"/>
    <w:rsid w:val="00676982"/>
    <w:rsid w:val="00676F11"/>
    <w:rsid w:val="0067738B"/>
    <w:rsid w:val="00681967"/>
    <w:rsid w:val="006873EB"/>
    <w:rsid w:val="00687CDF"/>
    <w:rsid w:val="0069048C"/>
    <w:rsid w:val="00693179"/>
    <w:rsid w:val="00693F71"/>
    <w:rsid w:val="006966BD"/>
    <w:rsid w:val="006977AF"/>
    <w:rsid w:val="00697850"/>
    <w:rsid w:val="006A0BCF"/>
    <w:rsid w:val="006A0FC8"/>
    <w:rsid w:val="006A2260"/>
    <w:rsid w:val="006A3844"/>
    <w:rsid w:val="006A4F27"/>
    <w:rsid w:val="006A5B87"/>
    <w:rsid w:val="006A646E"/>
    <w:rsid w:val="006A6C05"/>
    <w:rsid w:val="006A6F67"/>
    <w:rsid w:val="006A6FF2"/>
    <w:rsid w:val="006A7AF9"/>
    <w:rsid w:val="006B3844"/>
    <w:rsid w:val="006B50B9"/>
    <w:rsid w:val="006B73BB"/>
    <w:rsid w:val="006B75E4"/>
    <w:rsid w:val="006C07B7"/>
    <w:rsid w:val="006C1096"/>
    <w:rsid w:val="006C2093"/>
    <w:rsid w:val="006C2A40"/>
    <w:rsid w:val="006C4389"/>
    <w:rsid w:val="006C49FB"/>
    <w:rsid w:val="006C611B"/>
    <w:rsid w:val="006C673A"/>
    <w:rsid w:val="006C67FE"/>
    <w:rsid w:val="006C6936"/>
    <w:rsid w:val="006C74F2"/>
    <w:rsid w:val="006C7747"/>
    <w:rsid w:val="006D034C"/>
    <w:rsid w:val="006D13EE"/>
    <w:rsid w:val="006D21B4"/>
    <w:rsid w:val="006D21E5"/>
    <w:rsid w:val="006D2235"/>
    <w:rsid w:val="006D2C48"/>
    <w:rsid w:val="006D3148"/>
    <w:rsid w:val="006D322C"/>
    <w:rsid w:val="006D3A12"/>
    <w:rsid w:val="006D6626"/>
    <w:rsid w:val="006D76C0"/>
    <w:rsid w:val="006E0613"/>
    <w:rsid w:val="006E23BF"/>
    <w:rsid w:val="006E26CC"/>
    <w:rsid w:val="006E2DE3"/>
    <w:rsid w:val="006E3553"/>
    <w:rsid w:val="006E5135"/>
    <w:rsid w:val="006E6B5E"/>
    <w:rsid w:val="006F3FCF"/>
    <w:rsid w:val="006F5A73"/>
    <w:rsid w:val="00700278"/>
    <w:rsid w:val="00700B3B"/>
    <w:rsid w:val="0070113A"/>
    <w:rsid w:val="00701289"/>
    <w:rsid w:val="007034A2"/>
    <w:rsid w:val="00703B8D"/>
    <w:rsid w:val="00703C28"/>
    <w:rsid w:val="0070547D"/>
    <w:rsid w:val="007069E2"/>
    <w:rsid w:val="00706BB2"/>
    <w:rsid w:val="0070794F"/>
    <w:rsid w:val="007110C3"/>
    <w:rsid w:val="00711912"/>
    <w:rsid w:val="00712244"/>
    <w:rsid w:val="00712598"/>
    <w:rsid w:val="007147B8"/>
    <w:rsid w:val="00715594"/>
    <w:rsid w:val="00715602"/>
    <w:rsid w:val="00715E6F"/>
    <w:rsid w:val="0071641D"/>
    <w:rsid w:val="00722526"/>
    <w:rsid w:val="00722925"/>
    <w:rsid w:val="00724753"/>
    <w:rsid w:val="00724E45"/>
    <w:rsid w:val="00727170"/>
    <w:rsid w:val="00727286"/>
    <w:rsid w:val="00727491"/>
    <w:rsid w:val="00730496"/>
    <w:rsid w:val="0073176E"/>
    <w:rsid w:val="0073276C"/>
    <w:rsid w:val="00734FE9"/>
    <w:rsid w:val="00735782"/>
    <w:rsid w:val="0073710D"/>
    <w:rsid w:val="00737265"/>
    <w:rsid w:val="00737382"/>
    <w:rsid w:val="00737849"/>
    <w:rsid w:val="00740B42"/>
    <w:rsid w:val="00741E7D"/>
    <w:rsid w:val="007436C3"/>
    <w:rsid w:val="00743FD8"/>
    <w:rsid w:val="00744008"/>
    <w:rsid w:val="00744309"/>
    <w:rsid w:val="00745A1B"/>
    <w:rsid w:val="00745ADB"/>
    <w:rsid w:val="00745E17"/>
    <w:rsid w:val="00746A5B"/>
    <w:rsid w:val="007510D8"/>
    <w:rsid w:val="00751DC6"/>
    <w:rsid w:val="007521F4"/>
    <w:rsid w:val="00752BCE"/>
    <w:rsid w:val="0075478A"/>
    <w:rsid w:val="00756D13"/>
    <w:rsid w:val="00757092"/>
    <w:rsid w:val="00760035"/>
    <w:rsid w:val="00762652"/>
    <w:rsid w:val="007632D3"/>
    <w:rsid w:val="00764BD0"/>
    <w:rsid w:val="007654A0"/>
    <w:rsid w:val="007701CB"/>
    <w:rsid w:val="00771196"/>
    <w:rsid w:val="00775417"/>
    <w:rsid w:val="00775CA2"/>
    <w:rsid w:val="00776E05"/>
    <w:rsid w:val="0077736A"/>
    <w:rsid w:val="00780F8D"/>
    <w:rsid w:val="00781208"/>
    <w:rsid w:val="007815B3"/>
    <w:rsid w:val="0078291F"/>
    <w:rsid w:val="00783929"/>
    <w:rsid w:val="007845A0"/>
    <w:rsid w:val="007846AE"/>
    <w:rsid w:val="00785E4B"/>
    <w:rsid w:val="00792750"/>
    <w:rsid w:val="0079342F"/>
    <w:rsid w:val="00793477"/>
    <w:rsid w:val="007934A1"/>
    <w:rsid w:val="0079650D"/>
    <w:rsid w:val="00796861"/>
    <w:rsid w:val="007A00C8"/>
    <w:rsid w:val="007A01E8"/>
    <w:rsid w:val="007A0834"/>
    <w:rsid w:val="007A1809"/>
    <w:rsid w:val="007A275D"/>
    <w:rsid w:val="007A417F"/>
    <w:rsid w:val="007A45AC"/>
    <w:rsid w:val="007A4FEF"/>
    <w:rsid w:val="007A5EA9"/>
    <w:rsid w:val="007A682A"/>
    <w:rsid w:val="007A6DE0"/>
    <w:rsid w:val="007A758B"/>
    <w:rsid w:val="007A7DF7"/>
    <w:rsid w:val="007B0558"/>
    <w:rsid w:val="007B191E"/>
    <w:rsid w:val="007B1D3D"/>
    <w:rsid w:val="007B2B7F"/>
    <w:rsid w:val="007B31FF"/>
    <w:rsid w:val="007B4490"/>
    <w:rsid w:val="007B5358"/>
    <w:rsid w:val="007B689E"/>
    <w:rsid w:val="007B69D5"/>
    <w:rsid w:val="007B7449"/>
    <w:rsid w:val="007B7664"/>
    <w:rsid w:val="007B7B38"/>
    <w:rsid w:val="007C002A"/>
    <w:rsid w:val="007C076E"/>
    <w:rsid w:val="007C085A"/>
    <w:rsid w:val="007C1345"/>
    <w:rsid w:val="007C26B1"/>
    <w:rsid w:val="007C2884"/>
    <w:rsid w:val="007C2FE6"/>
    <w:rsid w:val="007C36E2"/>
    <w:rsid w:val="007C43A3"/>
    <w:rsid w:val="007C4908"/>
    <w:rsid w:val="007C4BAE"/>
    <w:rsid w:val="007C51FE"/>
    <w:rsid w:val="007C5865"/>
    <w:rsid w:val="007C614C"/>
    <w:rsid w:val="007C6358"/>
    <w:rsid w:val="007C67B6"/>
    <w:rsid w:val="007C69ED"/>
    <w:rsid w:val="007D0320"/>
    <w:rsid w:val="007D0734"/>
    <w:rsid w:val="007D0C76"/>
    <w:rsid w:val="007D2CBE"/>
    <w:rsid w:val="007D3022"/>
    <w:rsid w:val="007D3764"/>
    <w:rsid w:val="007D4FB0"/>
    <w:rsid w:val="007D525C"/>
    <w:rsid w:val="007D5EB9"/>
    <w:rsid w:val="007D626F"/>
    <w:rsid w:val="007D68A8"/>
    <w:rsid w:val="007D79F6"/>
    <w:rsid w:val="007E088D"/>
    <w:rsid w:val="007E1275"/>
    <w:rsid w:val="007E2D2F"/>
    <w:rsid w:val="007E36D4"/>
    <w:rsid w:val="007E510B"/>
    <w:rsid w:val="007E7117"/>
    <w:rsid w:val="007E788A"/>
    <w:rsid w:val="007F056D"/>
    <w:rsid w:val="007F1ACF"/>
    <w:rsid w:val="007F25CA"/>
    <w:rsid w:val="007F3451"/>
    <w:rsid w:val="007F348E"/>
    <w:rsid w:val="007F3989"/>
    <w:rsid w:val="007F3C01"/>
    <w:rsid w:val="007F5C2C"/>
    <w:rsid w:val="007F689C"/>
    <w:rsid w:val="007F7C99"/>
    <w:rsid w:val="0080010A"/>
    <w:rsid w:val="00800304"/>
    <w:rsid w:val="00800445"/>
    <w:rsid w:val="00801D65"/>
    <w:rsid w:val="008029E3"/>
    <w:rsid w:val="008040BF"/>
    <w:rsid w:val="008041CC"/>
    <w:rsid w:val="00804912"/>
    <w:rsid w:val="00804921"/>
    <w:rsid w:val="00805085"/>
    <w:rsid w:val="00806BB0"/>
    <w:rsid w:val="0080725D"/>
    <w:rsid w:val="0081044C"/>
    <w:rsid w:val="00811D13"/>
    <w:rsid w:val="008160BE"/>
    <w:rsid w:val="008162A8"/>
    <w:rsid w:val="008162E5"/>
    <w:rsid w:val="00816532"/>
    <w:rsid w:val="008170DF"/>
    <w:rsid w:val="00817265"/>
    <w:rsid w:val="00817756"/>
    <w:rsid w:val="00817817"/>
    <w:rsid w:val="00817D64"/>
    <w:rsid w:val="00820152"/>
    <w:rsid w:val="008222AC"/>
    <w:rsid w:val="008226F6"/>
    <w:rsid w:val="00822CE6"/>
    <w:rsid w:val="00823081"/>
    <w:rsid w:val="008306B1"/>
    <w:rsid w:val="0083198B"/>
    <w:rsid w:val="00831EEB"/>
    <w:rsid w:val="0083222D"/>
    <w:rsid w:val="00832957"/>
    <w:rsid w:val="00832D5D"/>
    <w:rsid w:val="00833E73"/>
    <w:rsid w:val="00835F7F"/>
    <w:rsid w:val="00836CB3"/>
    <w:rsid w:val="00837653"/>
    <w:rsid w:val="00837BDF"/>
    <w:rsid w:val="00837DD5"/>
    <w:rsid w:val="00840117"/>
    <w:rsid w:val="00841379"/>
    <w:rsid w:val="008417E8"/>
    <w:rsid w:val="008422D5"/>
    <w:rsid w:val="00843361"/>
    <w:rsid w:val="00844155"/>
    <w:rsid w:val="0084427A"/>
    <w:rsid w:val="0084480A"/>
    <w:rsid w:val="008474E1"/>
    <w:rsid w:val="008531C2"/>
    <w:rsid w:val="00854756"/>
    <w:rsid w:val="00854DB3"/>
    <w:rsid w:val="00855884"/>
    <w:rsid w:val="00855C2A"/>
    <w:rsid w:val="008600D4"/>
    <w:rsid w:val="00860C3D"/>
    <w:rsid w:val="00860DF0"/>
    <w:rsid w:val="0086160F"/>
    <w:rsid w:val="008618C9"/>
    <w:rsid w:val="0086283F"/>
    <w:rsid w:val="00863203"/>
    <w:rsid w:val="0086466D"/>
    <w:rsid w:val="00864CC8"/>
    <w:rsid w:val="00867AEB"/>
    <w:rsid w:val="008703F5"/>
    <w:rsid w:val="00870CBD"/>
    <w:rsid w:val="00870DD1"/>
    <w:rsid w:val="00871562"/>
    <w:rsid w:val="008727E4"/>
    <w:rsid w:val="008762BB"/>
    <w:rsid w:val="00876643"/>
    <w:rsid w:val="00877947"/>
    <w:rsid w:val="00880446"/>
    <w:rsid w:val="00880D25"/>
    <w:rsid w:val="00881105"/>
    <w:rsid w:val="008821CF"/>
    <w:rsid w:val="008831A8"/>
    <w:rsid w:val="008850D6"/>
    <w:rsid w:val="008861C5"/>
    <w:rsid w:val="0088638B"/>
    <w:rsid w:val="00890201"/>
    <w:rsid w:val="00890C56"/>
    <w:rsid w:val="00893A9D"/>
    <w:rsid w:val="00895D5B"/>
    <w:rsid w:val="00897DE2"/>
    <w:rsid w:val="008A24BC"/>
    <w:rsid w:val="008A2CFC"/>
    <w:rsid w:val="008A300F"/>
    <w:rsid w:val="008A4193"/>
    <w:rsid w:val="008A6AAC"/>
    <w:rsid w:val="008B07A7"/>
    <w:rsid w:val="008B0B41"/>
    <w:rsid w:val="008B3CDF"/>
    <w:rsid w:val="008B5E26"/>
    <w:rsid w:val="008B70AE"/>
    <w:rsid w:val="008B7B06"/>
    <w:rsid w:val="008C0632"/>
    <w:rsid w:val="008C3F97"/>
    <w:rsid w:val="008C5105"/>
    <w:rsid w:val="008C6165"/>
    <w:rsid w:val="008C6534"/>
    <w:rsid w:val="008C6DF4"/>
    <w:rsid w:val="008C7DC2"/>
    <w:rsid w:val="008D14BD"/>
    <w:rsid w:val="008D35A7"/>
    <w:rsid w:val="008D3A01"/>
    <w:rsid w:val="008D4CD1"/>
    <w:rsid w:val="008D525F"/>
    <w:rsid w:val="008D5374"/>
    <w:rsid w:val="008D57E4"/>
    <w:rsid w:val="008D5BC0"/>
    <w:rsid w:val="008D6317"/>
    <w:rsid w:val="008D63C1"/>
    <w:rsid w:val="008D7C09"/>
    <w:rsid w:val="008E246A"/>
    <w:rsid w:val="008E25B6"/>
    <w:rsid w:val="008E2986"/>
    <w:rsid w:val="008E2E9F"/>
    <w:rsid w:val="008E5C1E"/>
    <w:rsid w:val="008E68FE"/>
    <w:rsid w:val="008E6C98"/>
    <w:rsid w:val="008E7DE9"/>
    <w:rsid w:val="008F0591"/>
    <w:rsid w:val="008F097E"/>
    <w:rsid w:val="008F17DD"/>
    <w:rsid w:val="008F212F"/>
    <w:rsid w:val="008F2F1D"/>
    <w:rsid w:val="008F3EEA"/>
    <w:rsid w:val="008F3FD2"/>
    <w:rsid w:val="008F4B87"/>
    <w:rsid w:val="008F6529"/>
    <w:rsid w:val="008F77D0"/>
    <w:rsid w:val="0090039F"/>
    <w:rsid w:val="009006D7"/>
    <w:rsid w:val="009007BE"/>
    <w:rsid w:val="00900DDF"/>
    <w:rsid w:val="00901E98"/>
    <w:rsid w:val="00902E8F"/>
    <w:rsid w:val="00903DB1"/>
    <w:rsid w:val="009045D7"/>
    <w:rsid w:val="00904AA0"/>
    <w:rsid w:val="00904D59"/>
    <w:rsid w:val="00905DEF"/>
    <w:rsid w:val="00906390"/>
    <w:rsid w:val="0090734D"/>
    <w:rsid w:val="00907545"/>
    <w:rsid w:val="00912019"/>
    <w:rsid w:val="00912644"/>
    <w:rsid w:val="00916DB4"/>
    <w:rsid w:val="00917BB8"/>
    <w:rsid w:val="009228DD"/>
    <w:rsid w:val="00922FF8"/>
    <w:rsid w:val="00924262"/>
    <w:rsid w:val="009243EF"/>
    <w:rsid w:val="00924CD7"/>
    <w:rsid w:val="00926B08"/>
    <w:rsid w:val="00926BEA"/>
    <w:rsid w:val="00926D50"/>
    <w:rsid w:val="00931472"/>
    <w:rsid w:val="009314FC"/>
    <w:rsid w:val="00932600"/>
    <w:rsid w:val="00933CB1"/>
    <w:rsid w:val="009349DE"/>
    <w:rsid w:val="00934B04"/>
    <w:rsid w:val="00937C8C"/>
    <w:rsid w:val="009406D6"/>
    <w:rsid w:val="00941995"/>
    <w:rsid w:val="0094322A"/>
    <w:rsid w:val="00944ECF"/>
    <w:rsid w:val="009455CF"/>
    <w:rsid w:val="009456EF"/>
    <w:rsid w:val="00945A7B"/>
    <w:rsid w:val="0094765E"/>
    <w:rsid w:val="00947F72"/>
    <w:rsid w:val="00951357"/>
    <w:rsid w:val="0095277E"/>
    <w:rsid w:val="0095307C"/>
    <w:rsid w:val="0095540D"/>
    <w:rsid w:val="00956CB8"/>
    <w:rsid w:val="0096033C"/>
    <w:rsid w:val="00960561"/>
    <w:rsid w:val="0096071C"/>
    <w:rsid w:val="009613E3"/>
    <w:rsid w:val="00962BB0"/>
    <w:rsid w:val="00962EA8"/>
    <w:rsid w:val="0096354B"/>
    <w:rsid w:val="00970737"/>
    <w:rsid w:val="00970913"/>
    <w:rsid w:val="00971A0E"/>
    <w:rsid w:val="00972C48"/>
    <w:rsid w:val="00974466"/>
    <w:rsid w:val="00976D21"/>
    <w:rsid w:val="0097774D"/>
    <w:rsid w:val="00980560"/>
    <w:rsid w:val="00983DFB"/>
    <w:rsid w:val="00984DD9"/>
    <w:rsid w:val="00985099"/>
    <w:rsid w:val="009856FC"/>
    <w:rsid w:val="009863FC"/>
    <w:rsid w:val="00991EC4"/>
    <w:rsid w:val="00992734"/>
    <w:rsid w:val="00994350"/>
    <w:rsid w:val="00994A5D"/>
    <w:rsid w:val="00995F0A"/>
    <w:rsid w:val="00997220"/>
    <w:rsid w:val="00997DF6"/>
    <w:rsid w:val="00997FF0"/>
    <w:rsid w:val="009A0335"/>
    <w:rsid w:val="009A0665"/>
    <w:rsid w:val="009A18FB"/>
    <w:rsid w:val="009A2A70"/>
    <w:rsid w:val="009A2C50"/>
    <w:rsid w:val="009A53E5"/>
    <w:rsid w:val="009A5E1D"/>
    <w:rsid w:val="009A6D71"/>
    <w:rsid w:val="009A7BE5"/>
    <w:rsid w:val="009B2303"/>
    <w:rsid w:val="009B3A00"/>
    <w:rsid w:val="009B4E85"/>
    <w:rsid w:val="009B52DA"/>
    <w:rsid w:val="009B5BE3"/>
    <w:rsid w:val="009B73CD"/>
    <w:rsid w:val="009C2305"/>
    <w:rsid w:val="009C2452"/>
    <w:rsid w:val="009C2A17"/>
    <w:rsid w:val="009C3199"/>
    <w:rsid w:val="009C4E96"/>
    <w:rsid w:val="009C56E1"/>
    <w:rsid w:val="009C6DAF"/>
    <w:rsid w:val="009C76E8"/>
    <w:rsid w:val="009C7717"/>
    <w:rsid w:val="009D1FCA"/>
    <w:rsid w:val="009D312D"/>
    <w:rsid w:val="009D38A1"/>
    <w:rsid w:val="009D4E17"/>
    <w:rsid w:val="009E03C8"/>
    <w:rsid w:val="009E1BB4"/>
    <w:rsid w:val="009E24EF"/>
    <w:rsid w:val="009E25FF"/>
    <w:rsid w:val="009E2FDF"/>
    <w:rsid w:val="009E3738"/>
    <w:rsid w:val="009E45EA"/>
    <w:rsid w:val="009E491C"/>
    <w:rsid w:val="009E4D8B"/>
    <w:rsid w:val="009E63D3"/>
    <w:rsid w:val="009E75E8"/>
    <w:rsid w:val="009F2B33"/>
    <w:rsid w:val="009F2CFE"/>
    <w:rsid w:val="009F48DC"/>
    <w:rsid w:val="009F50CA"/>
    <w:rsid w:val="009F54B7"/>
    <w:rsid w:val="009F63E9"/>
    <w:rsid w:val="00A01610"/>
    <w:rsid w:val="00A023EE"/>
    <w:rsid w:val="00A0286F"/>
    <w:rsid w:val="00A02A13"/>
    <w:rsid w:val="00A02F63"/>
    <w:rsid w:val="00A034D0"/>
    <w:rsid w:val="00A03A59"/>
    <w:rsid w:val="00A04748"/>
    <w:rsid w:val="00A056F6"/>
    <w:rsid w:val="00A059F4"/>
    <w:rsid w:val="00A06343"/>
    <w:rsid w:val="00A07731"/>
    <w:rsid w:val="00A10EB3"/>
    <w:rsid w:val="00A11741"/>
    <w:rsid w:val="00A13947"/>
    <w:rsid w:val="00A14502"/>
    <w:rsid w:val="00A161D6"/>
    <w:rsid w:val="00A20091"/>
    <w:rsid w:val="00A202E4"/>
    <w:rsid w:val="00A21423"/>
    <w:rsid w:val="00A22CB9"/>
    <w:rsid w:val="00A22D3A"/>
    <w:rsid w:val="00A241A7"/>
    <w:rsid w:val="00A24DDB"/>
    <w:rsid w:val="00A25781"/>
    <w:rsid w:val="00A25BBD"/>
    <w:rsid w:val="00A278E7"/>
    <w:rsid w:val="00A30E35"/>
    <w:rsid w:val="00A31624"/>
    <w:rsid w:val="00A3194D"/>
    <w:rsid w:val="00A31BCA"/>
    <w:rsid w:val="00A31EA5"/>
    <w:rsid w:val="00A32689"/>
    <w:rsid w:val="00A33E17"/>
    <w:rsid w:val="00A343C8"/>
    <w:rsid w:val="00A37625"/>
    <w:rsid w:val="00A4078E"/>
    <w:rsid w:val="00A40B70"/>
    <w:rsid w:val="00A42F5B"/>
    <w:rsid w:val="00A44733"/>
    <w:rsid w:val="00A4476B"/>
    <w:rsid w:val="00A44D38"/>
    <w:rsid w:val="00A454AE"/>
    <w:rsid w:val="00A46044"/>
    <w:rsid w:val="00A46D1A"/>
    <w:rsid w:val="00A50A2C"/>
    <w:rsid w:val="00A51E12"/>
    <w:rsid w:val="00A52262"/>
    <w:rsid w:val="00A52B3A"/>
    <w:rsid w:val="00A53BBA"/>
    <w:rsid w:val="00A53E76"/>
    <w:rsid w:val="00A53EA3"/>
    <w:rsid w:val="00A54213"/>
    <w:rsid w:val="00A551EA"/>
    <w:rsid w:val="00A5566A"/>
    <w:rsid w:val="00A56BF4"/>
    <w:rsid w:val="00A60FCD"/>
    <w:rsid w:val="00A62766"/>
    <w:rsid w:val="00A62CB0"/>
    <w:rsid w:val="00A62F1B"/>
    <w:rsid w:val="00A63E73"/>
    <w:rsid w:val="00A64099"/>
    <w:rsid w:val="00A64D95"/>
    <w:rsid w:val="00A66550"/>
    <w:rsid w:val="00A66556"/>
    <w:rsid w:val="00A67B02"/>
    <w:rsid w:val="00A71276"/>
    <w:rsid w:val="00A73F1E"/>
    <w:rsid w:val="00A74083"/>
    <w:rsid w:val="00A7447B"/>
    <w:rsid w:val="00A7595E"/>
    <w:rsid w:val="00A77893"/>
    <w:rsid w:val="00A77DDD"/>
    <w:rsid w:val="00A81DD1"/>
    <w:rsid w:val="00A8226F"/>
    <w:rsid w:val="00A82F4D"/>
    <w:rsid w:val="00A8413E"/>
    <w:rsid w:val="00A87BEB"/>
    <w:rsid w:val="00A90D0E"/>
    <w:rsid w:val="00A932E6"/>
    <w:rsid w:val="00A93764"/>
    <w:rsid w:val="00A9546B"/>
    <w:rsid w:val="00A96EB4"/>
    <w:rsid w:val="00A972A5"/>
    <w:rsid w:val="00A9790B"/>
    <w:rsid w:val="00A97E89"/>
    <w:rsid w:val="00AA0C45"/>
    <w:rsid w:val="00AA1710"/>
    <w:rsid w:val="00AA2CD9"/>
    <w:rsid w:val="00AA3599"/>
    <w:rsid w:val="00AA381E"/>
    <w:rsid w:val="00AA61C0"/>
    <w:rsid w:val="00AA6B77"/>
    <w:rsid w:val="00AA7135"/>
    <w:rsid w:val="00AB00F0"/>
    <w:rsid w:val="00AB0599"/>
    <w:rsid w:val="00AB1A59"/>
    <w:rsid w:val="00AB2606"/>
    <w:rsid w:val="00AB2690"/>
    <w:rsid w:val="00AB3174"/>
    <w:rsid w:val="00AB39F7"/>
    <w:rsid w:val="00AB5CAA"/>
    <w:rsid w:val="00AB60B2"/>
    <w:rsid w:val="00AB65C4"/>
    <w:rsid w:val="00AC2AAC"/>
    <w:rsid w:val="00AC2DB1"/>
    <w:rsid w:val="00AC4BBB"/>
    <w:rsid w:val="00AC4BF4"/>
    <w:rsid w:val="00AC68E2"/>
    <w:rsid w:val="00AC6C43"/>
    <w:rsid w:val="00AC770F"/>
    <w:rsid w:val="00AC7B3F"/>
    <w:rsid w:val="00AC7E4D"/>
    <w:rsid w:val="00AD011C"/>
    <w:rsid w:val="00AD1857"/>
    <w:rsid w:val="00AD18EB"/>
    <w:rsid w:val="00AD2C4A"/>
    <w:rsid w:val="00AD4414"/>
    <w:rsid w:val="00AD4548"/>
    <w:rsid w:val="00AD5A30"/>
    <w:rsid w:val="00AD6394"/>
    <w:rsid w:val="00AE0481"/>
    <w:rsid w:val="00AE1BE6"/>
    <w:rsid w:val="00AE21D5"/>
    <w:rsid w:val="00AE5619"/>
    <w:rsid w:val="00AE5649"/>
    <w:rsid w:val="00AE5EAD"/>
    <w:rsid w:val="00AE675A"/>
    <w:rsid w:val="00AE7AB9"/>
    <w:rsid w:val="00AF04B0"/>
    <w:rsid w:val="00AF0834"/>
    <w:rsid w:val="00AF1D3B"/>
    <w:rsid w:val="00AF1D4C"/>
    <w:rsid w:val="00AF2CCF"/>
    <w:rsid w:val="00AF2F11"/>
    <w:rsid w:val="00AF45D2"/>
    <w:rsid w:val="00AF48E7"/>
    <w:rsid w:val="00AF55A4"/>
    <w:rsid w:val="00AF56E8"/>
    <w:rsid w:val="00AF73A0"/>
    <w:rsid w:val="00AF7DA8"/>
    <w:rsid w:val="00B00386"/>
    <w:rsid w:val="00B00404"/>
    <w:rsid w:val="00B00EBC"/>
    <w:rsid w:val="00B02ABB"/>
    <w:rsid w:val="00B02F49"/>
    <w:rsid w:val="00B03B77"/>
    <w:rsid w:val="00B047CA"/>
    <w:rsid w:val="00B04A4F"/>
    <w:rsid w:val="00B04A95"/>
    <w:rsid w:val="00B04F55"/>
    <w:rsid w:val="00B04FC4"/>
    <w:rsid w:val="00B06472"/>
    <w:rsid w:val="00B07284"/>
    <w:rsid w:val="00B109E6"/>
    <w:rsid w:val="00B10DE0"/>
    <w:rsid w:val="00B11DE4"/>
    <w:rsid w:val="00B11FF6"/>
    <w:rsid w:val="00B1283E"/>
    <w:rsid w:val="00B133DB"/>
    <w:rsid w:val="00B1419E"/>
    <w:rsid w:val="00B178D3"/>
    <w:rsid w:val="00B203A7"/>
    <w:rsid w:val="00B20D04"/>
    <w:rsid w:val="00B22C2F"/>
    <w:rsid w:val="00B23BB2"/>
    <w:rsid w:val="00B248BD"/>
    <w:rsid w:val="00B2501D"/>
    <w:rsid w:val="00B255CD"/>
    <w:rsid w:val="00B2568B"/>
    <w:rsid w:val="00B2596E"/>
    <w:rsid w:val="00B26252"/>
    <w:rsid w:val="00B3241D"/>
    <w:rsid w:val="00B33EEE"/>
    <w:rsid w:val="00B347EC"/>
    <w:rsid w:val="00B34E95"/>
    <w:rsid w:val="00B35677"/>
    <w:rsid w:val="00B36BA3"/>
    <w:rsid w:val="00B376D1"/>
    <w:rsid w:val="00B37927"/>
    <w:rsid w:val="00B40984"/>
    <w:rsid w:val="00B41F8B"/>
    <w:rsid w:val="00B42F30"/>
    <w:rsid w:val="00B4320B"/>
    <w:rsid w:val="00B4367A"/>
    <w:rsid w:val="00B44DD9"/>
    <w:rsid w:val="00B46524"/>
    <w:rsid w:val="00B46E0D"/>
    <w:rsid w:val="00B47319"/>
    <w:rsid w:val="00B47966"/>
    <w:rsid w:val="00B50089"/>
    <w:rsid w:val="00B5078F"/>
    <w:rsid w:val="00B50A99"/>
    <w:rsid w:val="00B53BEA"/>
    <w:rsid w:val="00B55A5D"/>
    <w:rsid w:val="00B5723D"/>
    <w:rsid w:val="00B611F4"/>
    <w:rsid w:val="00B61B4D"/>
    <w:rsid w:val="00B62790"/>
    <w:rsid w:val="00B62D02"/>
    <w:rsid w:val="00B63467"/>
    <w:rsid w:val="00B64955"/>
    <w:rsid w:val="00B64B40"/>
    <w:rsid w:val="00B65394"/>
    <w:rsid w:val="00B66130"/>
    <w:rsid w:val="00B668E2"/>
    <w:rsid w:val="00B67282"/>
    <w:rsid w:val="00B67462"/>
    <w:rsid w:val="00B67E0D"/>
    <w:rsid w:val="00B67FFB"/>
    <w:rsid w:val="00B710B0"/>
    <w:rsid w:val="00B73611"/>
    <w:rsid w:val="00B73FAA"/>
    <w:rsid w:val="00B74A09"/>
    <w:rsid w:val="00B75CCE"/>
    <w:rsid w:val="00B775AC"/>
    <w:rsid w:val="00B831EE"/>
    <w:rsid w:val="00B83246"/>
    <w:rsid w:val="00B83A99"/>
    <w:rsid w:val="00B851B8"/>
    <w:rsid w:val="00B85A1A"/>
    <w:rsid w:val="00B86F92"/>
    <w:rsid w:val="00B87679"/>
    <w:rsid w:val="00B908EE"/>
    <w:rsid w:val="00B90C98"/>
    <w:rsid w:val="00B91D6B"/>
    <w:rsid w:val="00B92ECF"/>
    <w:rsid w:val="00B92F55"/>
    <w:rsid w:val="00B9396D"/>
    <w:rsid w:val="00B954C5"/>
    <w:rsid w:val="00B962FE"/>
    <w:rsid w:val="00B96736"/>
    <w:rsid w:val="00B96AC9"/>
    <w:rsid w:val="00B97538"/>
    <w:rsid w:val="00BA2A02"/>
    <w:rsid w:val="00BA43D8"/>
    <w:rsid w:val="00BA4D2D"/>
    <w:rsid w:val="00BA67B4"/>
    <w:rsid w:val="00BA68E2"/>
    <w:rsid w:val="00BB3094"/>
    <w:rsid w:val="00BB438A"/>
    <w:rsid w:val="00BB43FF"/>
    <w:rsid w:val="00BB46C7"/>
    <w:rsid w:val="00BB5789"/>
    <w:rsid w:val="00BB5842"/>
    <w:rsid w:val="00BB653F"/>
    <w:rsid w:val="00BB7F65"/>
    <w:rsid w:val="00BC0213"/>
    <w:rsid w:val="00BC14AA"/>
    <w:rsid w:val="00BC17EC"/>
    <w:rsid w:val="00BC3980"/>
    <w:rsid w:val="00BD16DE"/>
    <w:rsid w:val="00BD1E05"/>
    <w:rsid w:val="00BD28DB"/>
    <w:rsid w:val="00BD40FB"/>
    <w:rsid w:val="00BD4D4E"/>
    <w:rsid w:val="00BD6474"/>
    <w:rsid w:val="00BD74D4"/>
    <w:rsid w:val="00BE1165"/>
    <w:rsid w:val="00BE163C"/>
    <w:rsid w:val="00BE37AC"/>
    <w:rsid w:val="00BE5E84"/>
    <w:rsid w:val="00BE70B9"/>
    <w:rsid w:val="00BF0E33"/>
    <w:rsid w:val="00BF1813"/>
    <w:rsid w:val="00BF2A85"/>
    <w:rsid w:val="00BF30D4"/>
    <w:rsid w:val="00BF435A"/>
    <w:rsid w:val="00BF4AEB"/>
    <w:rsid w:val="00BF597C"/>
    <w:rsid w:val="00BF6D96"/>
    <w:rsid w:val="00C028BF"/>
    <w:rsid w:val="00C05BA1"/>
    <w:rsid w:val="00C1040F"/>
    <w:rsid w:val="00C11D06"/>
    <w:rsid w:val="00C11E5F"/>
    <w:rsid w:val="00C12700"/>
    <w:rsid w:val="00C14020"/>
    <w:rsid w:val="00C202AB"/>
    <w:rsid w:val="00C20E63"/>
    <w:rsid w:val="00C23DC6"/>
    <w:rsid w:val="00C24E19"/>
    <w:rsid w:val="00C252DC"/>
    <w:rsid w:val="00C26236"/>
    <w:rsid w:val="00C3256E"/>
    <w:rsid w:val="00C3557F"/>
    <w:rsid w:val="00C35719"/>
    <w:rsid w:val="00C36FE4"/>
    <w:rsid w:val="00C375CD"/>
    <w:rsid w:val="00C40131"/>
    <w:rsid w:val="00C40C9B"/>
    <w:rsid w:val="00C41615"/>
    <w:rsid w:val="00C418FD"/>
    <w:rsid w:val="00C41CA3"/>
    <w:rsid w:val="00C435EB"/>
    <w:rsid w:val="00C436D9"/>
    <w:rsid w:val="00C44164"/>
    <w:rsid w:val="00C458A5"/>
    <w:rsid w:val="00C45A08"/>
    <w:rsid w:val="00C45A30"/>
    <w:rsid w:val="00C47D93"/>
    <w:rsid w:val="00C51A83"/>
    <w:rsid w:val="00C524BE"/>
    <w:rsid w:val="00C53627"/>
    <w:rsid w:val="00C54626"/>
    <w:rsid w:val="00C54ADB"/>
    <w:rsid w:val="00C55977"/>
    <w:rsid w:val="00C56A6C"/>
    <w:rsid w:val="00C578D9"/>
    <w:rsid w:val="00C57A50"/>
    <w:rsid w:val="00C57E25"/>
    <w:rsid w:val="00C60492"/>
    <w:rsid w:val="00C6316F"/>
    <w:rsid w:val="00C63B69"/>
    <w:rsid w:val="00C640C3"/>
    <w:rsid w:val="00C6470F"/>
    <w:rsid w:val="00C6573C"/>
    <w:rsid w:val="00C66413"/>
    <w:rsid w:val="00C66A16"/>
    <w:rsid w:val="00C67C75"/>
    <w:rsid w:val="00C70806"/>
    <w:rsid w:val="00C71AE1"/>
    <w:rsid w:val="00C72012"/>
    <w:rsid w:val="00C724F4"/>
    <w:rsid w:val="00C752D8"/>
    <w:rsid w:val="00C75B7F"/>
    <w:rsid w:val="00C75C4F"/>
    <w:rsid w:val="00C76464"/>
    <w:rsid w:val="00C76DFC"/>
    <w:rsid w:val="00C77EB3"/>
    <w:rsid w:val="00C82292"/>
    <w:rsid w:val="00C82385"/>
    <w:rsid w:val="00C82443"/>
    <w:rsid w:val="00C82D4A"/>
    <w:rsid w:val="00C8330D"/>
    <w:rsid w:val="00C8345D"/>
    <w:rsid w:val="00C83ACF"/>
    <w:rsid w:val="00C83B90"/>
    <w:rsid w:val="00C87C85"/>
    <w:rsid w:val="00C90B0B"/>
    <w:rsid w:val="00C91252"/>
    <w:rsid w:val="00C91695"/>
    <w:rsid w:val="00C92935"/>
    <w:rsid w:val="00C92E37"/>
    <w:rsid w:val="00C93134"/>
    <w:rsid w:val="00C93A01"/>
    <w:rsid w:val="00C93B30"/>
    <w:rsid w:val="00C94164"/>
    <w:rsid w:val="00C95E84"/>
    <w:rsid w:val="00C96027"/>
    <w:rsid w:val="00C9639B"/>
    <w:rsid w:val="00C96A9A"/>
    <w:rsid w:val="00CA2FDA"/>
    <w:rsid w:val="00CA311F"/>
    <w:rsid w:val="00CA386E"/>
    <w:rsid w:val="00CA4255"/>
    <w:rsid w:val="00CA4CCB"/>
    <w:rsid w:val="00CA6AB6"/>
    <w:rsid w:val="00CB0B3A"/>
    <w:rsid w:val="00CB3333"/>
    <w:rsid w:val="00CB34C5"/>
    <w:rsid w:val="00CB45C3"/>
    <w:rsid w:val="00CB4B56"/>
    <w:rsid w:val="00CB549F"/>
    <w:rsid w:val="00CB664C"/>
    <w:rsid w:val="00CB6E19"/>
    <w:rsid w:val="00CC0320"/>
    <w:rsid w:val="00CC0FF2"/>
    <w:rsid w:val="00CC22D4"/>
    <w:rsid w:val="00CC398A"/>
    <w:rsid w:val="00CC39C1"/>
    <w:rsid w:val="00CC3E53"/>
    <w:rsid w:val="00CC47AF"/>
    <w:rsid w:val="00CC49E0"/>
    <w:rsid w:val="00CC535D"/>
    <w:rsid w:val="00CC6478"/>
    <w:rsid w:val="00CC73C7"/>
    <w:rsid w:val="00CD0353"/>
    <w:rsid w:val="00CD0E5D"/>
    <w:rsid w:val="00CD19DA"/>
    <w:rsid w:val="00CD1D6F"/>
    <w:rsid w:val="00CD21EB"/>
    <w:rsid w:val="00CD22F9"/>
    <w:rsid w:val="00CD2DA6"/>
    <w:rsid w:val="00CD46AC"/>
    <w:rsid w:val="00CD4B90"/>
    <w:rsid w:val="00CD50FD"/>
    <w:rsid w:val="00CD5A1A"/>
    <w:rsid w:val="00CD75F4"/>
    <w:rsid w:val="00CD7643"/>
    <w:rsid w:val="00CE029F"/>
    <w:rsid w:val="00CE0D92"/>
    <w:rsid w:val="00CE1C5A"/>
    <w:rsid w:val="00CE2E41"/>
    <w:rsid w:val="00CE327F"/>
    <w:rsid w:val="00CE3EE3"/>
    <w:rsid w:val="00CE5623"/>
    <w:rsid w:val="00CE6A3F"/>
    <w:rsid w:val="00CE79FD"/>
    <w:rsid w:val="00CE7B46"/>
    <w:rsid w:val="00CF0569"/>
    <w:rsid w:val="00CF1574"/>
    <w:rsid w:val="00CF4288"/>
    <w:rsid w:val="00CF5FD6"/>
    <w:rsid w:val="00CF6385"/>
    <w:rsid w:val="00CF68CB"/>
    <w:rsid w:val="00CF6B67"/>
    <w:rsid w:val="00CF7358"/>
    <w:rsid w:val="00CF7707"/>
    <w:rsid w:val="00D01397"/>
    <w:rsid w:val="00D046D0"/>
    <w:rsid w:val="00D04992"/>
    <w:rsid w:val="00D04F03"/>
    <w:rsid w:val="00D106CB"/>
    <w:rsid w:val="00D1093E"/>
    <w:rsid w:val="00D11A34"/>
    <w:rsid w:val="00D13F99"/>
    <w:rsid w:val="00D13FEF"/>
    <w:rsid w:val="00D156DF"/>
    <w:rsid w:val="00D20ABE"/>
    <w:rsid w:val="00D2297B"/>
    <w:rsid w:val="00D2671B"/>
    <w:rsid w:val="00D27283"/>
    <w:rsid w:val="00D318C4"/>
    <w:rsid w:val="00D32C42"/>
    <w:rsid w:val="00D33244"/>
    <w:rsid w:val="00D34806"/>
    <w:rsid w:val="00D35AD4"/>
    <w:rsid w:val="00D360D1"/>
    <w:rsid w:val="00D374CA"/>
    <w:rsid w:val="00D37F6E"/>
    <w:rsid w:val="00D411FB"/>
    <w:rsid w:val="00D412D5"/>
    <w:rsid w:val="00D432B5"/>
    <w:rsid w:val="00D43E2F"/>
    <w:rsid w:val="00D441AD"/>
    <w:rsid w:val="00D44A85"/>
    <w:rsid w:val="00D455DA"/>
    <w:rsid w:val="00D45966"/>
    <w:rsid w:val="00D46AEE"/>
    <w:rsid w:val="00D471ED"/>
    <w:rsid w:val="00D4726F"/>
    <w:rsid w:val="00D5192E"/>
    <w:rsid w:val="00D521E1"/>
    <w:rsid w:val="00D521F5"/>
    <w:rsid w:val="00D54199"/>
    <w:rsid w:val="00D5427F"/>
    <w:rsid w:val="00D546FD"/>
    <w:rsid w:val="00D54854"/>
    <w:rsid w:val="00D54A89"/>
    <w:rsid w:val="00D55D1F"/>
    <w:rsid w:val="00D569EC"/>
    <w:rsid w:val="00D605B7"/>
    <w:rsid w:val="00D611D7"/>
    <w:rsid w:val="00D613DC"/>
    <w:rsid w:val="00D61513"/>
    <w:rsid w:val="00D63046"/>
    <w:rsid w:val="00D63360"/>
    <w:rsid w:val="00D6378B"/>
    <w:rsid w:val="00D64E3A"/>
    <w:rsid w:val="00D65DDA"/>
    <w:rsid w:val="00D65F87"/>
    <w:rsid w:val="00D66B75"/>
    <w:rsid w:val="00D67604"/>
    <w:rsid w:val="00D67729"/>
    <w:rsid w:val="00D70451"/>
    <w:rsid w:val="00D70E76"/>
    <w:rsid w:val="00D72328"/>
    <w:rsid w:val="00D74E54"/>
    <w:rsid w:val="00D7662D"/>
    <w:rsid w:val="00D770D4"/>
    <w:rsid w:val="00D77C17"/>
    <w:rsid w:val="00D80594"/>
    <w:rsid w:val="00D81185"/>
    <w:rsid w:val="00D836A5"/>
    <w:rsid w:val="00D84F26"/>
    <w:rsid w:val="00D85608"/>
    <w:rsid w:val="00D856DE"/>
    <w:rsid w:val="00D87053"/>
    <w:rsid w:val="00D900B3"/>
    <w:rsid w:val="00D900BB"/>
    <w:rsid w:val="00D90320"/>
    <w:rsid w:val="00D91B11"/>
    <w:rsid w:val="00D921C4"/>
    <w:rsid w:val="00D92688"/>
    <w:rsid w:val="00D93AE1"/>
    <w:rsid w:val="00D95149"/>
    <w:rsid w:val="00D969E1"/>
    <w:rsid w:val="00D96BB1"/>
    <w:rsid w:val="00D9749F"/>
    <w:rsid w:val="00DA0267"/>
    <w:rsid w:val="00DA04CF"/>
    <w:rsid w:val="00DA1A23"/>
    <w:rsid w:val="00DA1DAE"/>
    <w:rsid w:val="00DA221F"/>
    <w:rsid w:val="00DA26D3"/>
    <w:rsid w:val="00DA2E56"/>
    <w:rsid w:val="00DA3337"/>
    <w:rsid w:val="00DA3492"/>
    <w:rsid w:val="00DA7368"/>
    <w:rsid w:val="00DA7BB1"/>
    <w:rsid w:val="00DB2EA7"/>
    <w:rsid w:val="00DB484F"/>
    <w:rsid w:val="00DB48DD"/>
    <w:rsid w:val="00DB4F73"/>
    <w:rsid w:val="00DB5238"/>
    <w:rsid w:val="00DB6455"/>
    <w:rsid w:val="00DB6E05"/>
    <w:rsid w:val="00DB73A1"/>
    <w:rsid w:val="00DB7F6F"/>
    <w:rsid w:val="00DC0DA9"/>
    <w:rsid w:val="00DC14BE"/>
    <w:rsid w:val="00DC1511"/>
    <w:rsid w:val="00DC2132"/>
    <w:rsid w:val="00DC2E48"/>
    <w:rsid w:val="00DC7174"/>
    <w:rsid w:val="00DD09BD"/>
    <w:rsid w:val="00DD1745"/>
    <w:rsid w:val="00DD2C25"/>
    <w:rsid w:val="00DD314E"/>
    <w:rsid w:val="00DD32E8"/>
    <w:rsid w:val="00DD46D5"/>
    <w:rsid w:val="00DD4CD1"/>
    <w:rsid w:val="00DD524A"/>
    <w:rsid w:val="00DD5521"/>
    <w:rsid w:val="00DD6559"/>
    <w:rsid w:val="00DD6C26"/>
    <w:rsid w:val="00DE0503"/>
    <w:rsid w:val="00DE08FA"/>
    <w:rsid w:val="00DE2F56"/>
    <w:rsid w:val="00DE35DF"/>
    <w:rsid w:val="00DE3A3C"/>
    <w:rsid w:val="00DE3C10"/>
    <w:rsid w:val="00DE5015"/>
    <w:rsid w:val="00DE5A62"/>
    <w:rsid w:val="00DE5DF0"/>
    <w:rsid w:val="00DE6553"/>
    <w:rsid w:val="00DE7178"/>
    <w:rsid w:val="00DE7312"/>
    <w:rsid w:val="00DE7A50"/>
    <w:rsid w:val="00DF08F8"/>
    <w:rsid w:val="00DF37BA"/>
    <w:rsid w:val="00DF3BCB"/>
    <w:rsid w:val="00DF4B0C"/>
    <w:rsid w:val="00DF57EB"/>
    <w:rsid w:val="00DF5AD6"/>
    <w:rsid w:val="00DF5BF7"/>
    <w:rsid w:val="00DF5FE0"/>
    <w:rsid w:val="00DF7258"/>
    <w:rsid w:val="00E00896"/>
    <w:rsid w:val="00E00C94"/>
    <w:rsid w:val="00E01D99"/>
    <w:rsid w:val="00E02C91"/>
    <w:rsid w:val="00E02EB1"/>
    <w:rsid w:val="00E03DF7"/>
    <w:rsid w:val="00E04AA5"/>
    <w:rsid w:val="00E06FB8"/>
    <w:rsid w:val="00E129D0"/>
    <w:rsid w:val="00E13E80"/>
    <w:rsid w:val="00E1535B"/>
    <w:rsid w:val="00E155A7"/>
    <w:rsid w:val="00E15728"/>
    <w:rsid w:val="00E159C5"/>
    <w:rsid w:val="00E1677B"/>
    <w:rsid w:val="00E209DF"/>
    <w:rsid w:val="00E213B6"/>
    <w:rsid w:val="00E21A4B"/>
    <w:rsid w:val="00E21CFA"/>
    <w:rsid w:val="00E22358"/>
    <w:rsid w:val="00E226ED"/>
    <w:rsid w:val="00E22DCB"/>
    <w:rsid w:val="00E240DA"/>
    <w:rsid w:val="00E251C7"/>
    <w:rsid w:val="00E2654D"/>
    <w:rsid w:val="00E31BE1"/>
    <w:rsid w:val="00E32E62"/>
    <w:rsid w:val="00E34147"/>
    <w:rsid w:val="00E349BE"/>
    <w:rsid w:val="00E34F35"/>
    <w:rsid w:val="00E36309"/>
    <w:rsid w:val="00E37437"/>
    <w:rsid w:val="00E40B59"/>
    <w:rsid w:val="00E40CAC"/>
    <w:rsid w:val="00E42EB5"/>
    <w:rsid w:val="00E44327"/>
    <w:rsid w:val="00E51926"/>
    <w:rsid w:val="00E51987"/>
    <w:rsid w:val="00E52CF5"/>
    <w:rsid w:val="00E556F9"/>
    <w:rsid w:val="00E56443"/>
    <w:rsid w:val="00E56F9D"/>
    <w:rsid w:val="00E57666"/>
    <w:rsid w:val="00E60528"/>
    <w:rsid w:val="00E61C6D"/>
    <w:rsid w:val="00E6369F"/>
    <w:rsid w:val="00E64901"/>
    <w:rsid w:val="00E64E7C"/>
    <w:rsid w:val="00E66335"/>
    <w:rsid w:val="00E67CA8"/>
    <w:rsid w:val="00E70D73"/>
    <w:rsid w:val="00E7125B"/>
    <w:rsid w:val="00E71773"/>
    <w:rsid w:val="00E71B1B"/>
    <w:rsid w:val="00E71F50"/>
    <w:rsid w:val="00E73E88"/>
    <w:rsid w:val="00E74F4A"/>
    <w:rsid w:val="00E75050"/>
    <w:rsid w:val="00E751B0"/>
    <w:rsid w:val="00E75C09"/>
    <w:rsid w:val="00E764C0"/>
    <w:rsid w:val="00E77090"/>
    <w:rsid w:val="00E77F8B"/>
    <w:rsid w:val="00E81EC3"/>
    <w:rsid w:val="00E83F27"/>
    <w:rsid w:val="00E8417B"/>
    <w:rsid w:val="00E8427B"/>
    <w:rsid w:val="00E85E3A"/>
    <w:rsid w:val="00E86049"/>
    <w:rsid w:val="00E86E89"/>
    <w:rsid w:val="00E87F8E"/>
    <w:rsid w:val="00E90723"/>
    <w:rsid w:val="00E90B41"/>
    <w:rsid w:val="00E90B52"/>
    <w:rsid w:val="00E9210B"/>
    <w:rsid w:val="00E92C93"/>
    <w:rsid w:val="00E93508"/>
    <w:rsid w:val="00E940BE"/>
    <w:rsid w:val="00E95BB4"/>
    <w:rsid w:val="00E964D6"/>
    <w:rsid w:val="00E97288"/>
    <w:rsid w:val="00E974E4"/>
    <w:rsid w:val="00E976AA"/>
    <w:rsid w:val="00E97991"/>
    <w:rsid w:val="00EA1D8E"/>
    <w:rsid w:val="00EA2573"/>
    <w:rsid w:val="00EA62D4"/>
    <w:rsid w:val="00EB058B"/>
    <w:rsid w:val="00EB1047"/>
    <w:rsid w:val="00EB248F"/>
    <w:rsid w:val="00EB2901"/>
    <w:rsid w:val="00EB4833"/>
    <w:rsid w:val="00EB54E8"/>
    <w:rsid w:val="00EB56EC"/>
    <w:rsid w:val="00EB635C"/>
    <w:rsid w:val="00EB63EC"/>
    <w:rsid w:val="00EB7C7B"/>
    <w:rsid w:val="00EC044E"/>
    <w:rsid w:val="00EC138C"/>
    <w:rsid w:val="00EC1628"/>
    <w:rsid w:val="00EC165C"/>
    <w:rsid w:val="00EC21BB"/>
    <w:rsid w:val="00EC26C4"/>
    <w:rsid w:val="00EC3299"/>
    <w:rsid w:val="00EC35E5"/>
    <w:rsid w:val="00EC36D7"/>
    <w:rsid w:val="00EC3710"/>
    <w:rsid w:val="00EC3D0E"/>
    <w:rsid w:val="00EC43D7"/>
    <w:rsid w:val="00EC50D8"/>
    <w:rsid w:val="00EC5636"/>
    <w:rsid w:val="00EC5AB7"/>
    <w:rsid w:val="00EC65D7"/>
    <w:rsid w:val="00EC6E49"/>
    <w:rsid w:val="00EC73B8"/>
    <w:rsid w:val="00ED202B"/>
    <w:rsid w:val="00ED3562"/>
    <w:rsid w:val="00ED517F"/>
    <w:rsid w:val="00ED5402"/>
    <w:rsid w:val="00ED6206"/>
    <w:rsid w:val="00ED720D"/>
    <w:rsid w:val="00ED7CA8"/>
    <w:rsid w:val="00EE1FBC"/>
    <w:rsid w:val="00EE225E"/>
    <w:rsid w:val="00EE26DA"/>
    <w:rsid w:val="00EE2A93"/>
    <w:rsid w:val="00EE3F95"/>
    <w:rsid w:val="00EE46AC"/>
    <w:rsid w:val="00EE4925"/>
    <w:rsid w:val="00EE5B5A"/>
    <w:rsid w:val="00EE5F35"/>
    <w:rsid w:val="00EE6269"/>
    <w:rsid w:val="00EE6440"/>
    <w:rsid w:val="00EE65FB"/>
    <w:rsid w:val="00EE6843"/>
    <w:rsid w:val="00EE6F60"/>
    <w:rsid w:val="00EE77AF"/>
    <w:rsid w:val="00EF0C84"/>
    <w:rsid w:val="00EF0E7C"/>
    <w:rsid w:val="00EF22AD"/>
    <w:rsid w:val="00EF3519"/>
    <w:rsid w:val="00EF44F6"/>
    <w:rsid w:val="00EF529D"/>
    <w:rsid w:val="00EF62EB"/>
    <w:rsid w:val="00EF662D"/>
    <w:rsid w:val="00EF6678"/>
    <w:rsid w:val="00EF6AA0"/>
    <w:rsid w:val="00EF6D4B"/>
    <w:rsid w:val="00EF7907"/>
    <w:rsid w:val="00F012B6"/>
    <w:rsid w:val="00F02A7B"/>
    <w:rsid w:val="00F041AD"/>
    <w:rsid w:val="00F04C74"/>
    <w:rsid w:val="00F05236"/>
    <w:rsid w:val="00F13696"/>
    <w:rsid w:val="00F15287"/>
    <w:rsid w:val="00F15DE8"/>
    <w:rsid w:val="00F15E0B"/>
    <w:rsid w:val="00F171E2"/>
    <w:rsid w:val="00F20FFC"/>
    <w:rsid w:val="00F21557"/>
    <w:rsid w:val="00F21A3F"/>
    <w:rsid w:val="00F21F2D"/>
    <w:rsid w:val="00F228DF"/>
    <w:rsid w:val="00F23328"/>
    <w:rsid w:val="00F23740"/>
    <w:rsid w:val="00F238F2"/>
    <w:rsid w:val="00F23D42"/>
    <w:rsid w:val="00F240F4"/>
    <w:rsid w:val="00F25635"/>
    <w:rsid w:val="00F258FD"/>
    <w:rsid w:val="00F266C9"/>
    <w:rsid w:val="00F307ED"/>
    <w:rsid w:val="00F328AF"/>
    <w:rsid w:val="00F34613"/>
    <w:rsid w:val="00F3558A"/>
    <w:rsid w:val="00F37354"/>
    <w:rsid w:val="00F37B6A"/>
    <w:rsid w:val="00F4088C"/>
    <w:rsid w:val="00F40F00"/>
    <w:rsid w:val="00F410BC"/>
    <w:rsid w:val="00F425F4"/>
    <w:rsid w:val="00F42D1E"/>
    <w:rsid w:val="00F43A29"/>
    <w:rsid w:val="00F43A78"/>
    <w:rsid w:val="00F43B16"/>
    <w:rsid w:val="00F445A9"/>
    <w:rsid w:val="00F472C7"/>
    <w:rsid w:val="00F50150"/>
    <w:rsid w:val="00F5113A"/>
    <w:rsid w:val="00F52E5B"/>
    <w:rsid w:val="00F53337"/>
    <w:rsid w:val="00F53C5E"/>
    <w:rsid w:val="00F549C8"/>
    <w:rsid w:val="00F55067"/>
    <w:rsid w:val="00F5618B"/>
    <w:rsid w:val="00F56F60"/>
    <w:rsid w:val="00F61595"/>
    <w:rsid w:val="00F6383E"/>
    <w:rsid w:val="00F6440B"/>
    <w:rsid w:val="00F649BB"/>
    <w:rsid w:val="00F71BE7"/>
    <w:rsid w:val="00F721E3"/>
    <w:rsid w:val="00F804F4"/>
    <w:rsid w:val="00F80547"/>
    <w:rsid w:val="00F8762C"/>
    <w:rsid w:val="00F878BA"/>
    <w:rsid w:val="00F87EF8"/>
    <w:rsid w:val="00F900AF"/>
    <w:rsid w:val="00F936AD"/>
    <w:rsid w:val="00F93DD1"/>
    <w:rsid w:val="00F94070"/>
    <w:rsid w:val="00F94538"/>
    <w:rsid w:val="00F94B8C"/>
    <w:rsid w:val="00F9594E"/>
    <w:rsid w:val="00F95F6D"/>
    <w:rsid w:val="00FA005C"/>
    <w:rsid w:val="00FA0997"/>
    <w:rsid w:val="00FA0DD1"/>
    <w:rsid w:val="00FA131C"/>
    <w:rsid w:val="00FA3388"/>
    <w:rsid w:val="00FA3702"/>
    <w:rsid w:val="00FA3901"/>
    <w:rsid w:val="00FA4327"/>
    <w:rsid w:val="00FA5150"/>
    <w:rsid w:val="00FA5B68"/>
    <w:rsid w:val="00FA5D80"/>
    <w:rsid w:val="00FB0668"/>
    <w:rsid w:val="00FB093C"/>
    <w:rsid w:val="00FB3116"/>
    <w:rsid w:val="00FB4252"/>
    <w:rsid w:val="00FB63A2"/>
    <w:rsid w:val="00FB6FC9"/>
    <w:rsid w:val="00FB71FC"/>
    <w:rsid w:val="00FC1109"/>
    <w:rsid w:val="00FC1417"/>
    <w:rsid w:val="00FC1A20"/>
    <w:rsid w:val="00FC1EEE"/>
    <w:rsid w:val="00FC301E"/>
    <w:rsid w:val="00FC3ED0"/>
    <w:rsid w:val="00FC666F"/>
    <w:rsid w:val="00FC6E93"/>
    <w:rsid w:val="00FC70B5"/>
    <w:rsid w:val="00FD01CA"/>
    <w:rsid w:val="00FD19CB"/>
    <w:rsid w:val="00FD2F16"/>
    <w:rsid w:val="00FD4C33"/>
    <w:rsid w:val="00FE3821"/>
    <w:rsid w:val="00FE45B3"/>
    <w:rsid w:val="00FE499A"/>
    <w:rsid w:val="00FE4F09"/>
    <w:rsid w:val="00FE63EE"/>
    <w:rsid w:val="00FF345A"/>
    <w:rsid w:val="00FF34DD"/>
    <w:rsid w:val="00FF3DF6"/>
    <w:rsid w:val="00FF7B76"/>
    <w:rsid w:val="1597DE43"/>
    <w:rsid w:val="179CE10C"/>
    <w:rsid w:val="21E85E5D"/>
    <w:rsid w:val="28878AD4"/>
    <w:rsid w:val="2BDFA436"/>
    <w:rsid w:val="36D4AA84"/>
    <w:rsid w:val="3B0CC2AE"/>
    <w:rsid w:val="4620C8AC"/>
    <w:rsid w:val="6EB8F51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878AD4"/>
  <w15:chartTrackingRefBased/>
  <w15:docId w15:val="{A0DAF3EA-DE8A-4809-91EA-A4A13D9F7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4327"/>
    <w:pPr>
      <w:spacing w:after="120" w:line="278" w:lineRule="auto"/>
      <w:outlineLvl w:val="0"/>
    </w:pPr>
    <w:rPr>
      <w:rFonts w:ascii="Aptos" w:eastAsiaTheme="minorHAnsi" w:hAnsi="Aptos" w:cs="Arial"/>
      <w:b/>
      <w:bCs/>
      <w:color w:val="A6192E"/>
      <w:sz w:val="36"/>
      <w:szCs w:val="32"/>
      <w:lang w:val="en-NZ" w:eastAsia="en-US"/>
    </w:rPr>
  </w:style>
  <w:style w:type="paragraph" w:styleId="Heading2">
    <w:name w:val="heading 2"/>
    <w:basedOn w:val="Heading1"/>
    <w:next w:val="Normal"/>
    <w:link w:val="Heading2Char"/>
    <w:uiPriority w:val="9"/>
    <w:unhideWhenUsed/>
    <w:qFormat/>
    <w:rsid w:val="008D35A7"/>
    <w:pPr>
      <w:spacing w:after="60"/>
      <w:outlineLvl w:val="1"/>
    </w:pPr>
    <w:rPr>
      <w:color w:val="000000" w:themeColor="text1"/>
      <w:sz w:val="32"/>
      <w:szCs w:val="28"/>
    </w:rPr>
  </w:style>
  <w:style w:type="paragraph" w:styleId="Heading3">
    <w:name w:val="heading 3"/>
    <w:basedOn w:val="Heading2"/>
    <w:next w:val="Normal"/>
    <w:link w:val="Heading3Char"/>
    <w:uiPriority w:val="9"/>
    <w:unhideWhenUsed/>
    <w:qFormat/>
    <w:rsid w:val="003A4628"/>
    <w:pPr>
      <w:outlineLvl w:val="2"/>
    </w:pPr>
    <w:rPr>
      <w:noProof/>
      <w:sz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ptos" w:eastAsiaTheme="minorHAnsi" w:hAnsi="Aptos" w:cs="Arial"/>
      <w:b/>
      <w:bCs/>
      <w:color w:val="A6192E"/>
      <w:sz w:val="36"/>
      <w:szCs w:val="32"/>
      <w:lang w:val="en-NZ" w:eastAsia="en-US"/>
    </w:rPr>
  </w:style>
  <w:style w:type="character" w:customStyle="1" w:styleId="Heading2Char">
    <w:name w:val="Heading 2 Char"/>
    <w:basedOn w:val="DefaultParagraphFont"/>
    <w:link w:val="Heading2"/>
    <w:uiPriority w:val="9"/>
    <w:rPr>
      <w:rFonts w:ascii="Aptos" w:eastAsiaTheme="minorHAnsi" w:hAnsi="Aptos" w:cs="Arial"/>
      <w:b/>
      <w:bCs/>
      <w:color w:val="000000" w:themeColor="text1"/>
      <w:sz w:val="32"/>
      <w:szCs w:val="28"/>
      <w:lang w:val="en-NZ" w:eastAsia="en-US"/>
    </w:rPr>
  </w:style>
  <w:style w:type="character" w:customStyle="1" w:styleId="Heading3Char">
    <w:name w:val="Heading 3 Char"/>
    <w:basedOn w:val="DefaultParagraphFont"/>
    <w:link w:val="Heading3"/>
    <w:uiPriority w:val="9"/>
    <w:rPr>
      <w:rFonts w:ascii="Aptos" w:eastAsiaTheme="minorHAnsi" w:hAnsi="Aptos" w:cs="Arial"/>
      <w:b/>
      <w:bCs/>
      <w:noProof/>
      <w:color w:val="000000" w:themeColor="text1"/>
      <w:sz w:val="28"/>
      <w:szCs w:val="28"/>
      <w:lang w:val="en-NZ" w:eastAsia="en-US"/>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aliases w:val="Bullet Normal,List Paragraph1,List Paragraph11,Recommendation,First level bullet point,Level 3,List Paragraph numbered,List Bullet indent,Body,Rec para,List 1,Other List,FooterText,numbered,Paragraphe de liste1,Bulletr List Paragraph,列出段落"/>
    <w:basedOn w:val="Normal"/>
    <w:link w:val="ListParagraphChar"/>
    <w:uiPriority w:val="34"/>
    <w:qFormat/>
    <w:rsid w:val="007B7664"/>
    <w:pPr>
      <w:ind w:left="720"/>
      <w:contextualSpacing/>
    </w:pPr>
  </w:style>
  <w:style w:type="character" w:styleId="Hyperlink">
    <w:name w:val="Hyperlink"/>
    <w:basedOn w:val="DefaultParagraphFont"/>
    <w:uiPriority w:val="99"/>
    <w:unhideWhenUsed/>
    <w:rsid w:val="0064502E"/>
    <w:rPr>
      <w:color w:val="74B230"/>
      <w:u w:val="single"/>
    </w:rPr>
  </w:style>
  <w:style w:type="paragraph" w:styleId="FootnoteText">
    <w:name w:val="footnote text"/>
    <w:basedOn w:val="Normal"/>
    <w:link w:val="FootnoteTextChar"/>
    <w:uiPriority w:val="99"/>
    <w:unhideWhenUsed/>
    <w:rsid w:val="0064502E"/>
    <w:pPr>
      <w:spacing w:after="0" w:line="240" w:lineRule="auto"/>
    </w:pPr>
    <w:rPr>
      <w:rFonts w:ascii="Aptos" w:eastAsiaTheme="minorHAnsi" w:hAnsi="Aptos" w:cs="Arial"/>
      <w:sz w:val="20"/>
      <w:szCs w:val="20"/>
      <w:lang w:val="en-NZ" w:eastAsia="en-US"/>
    </w:rPr>
  </w:style>
  <w:style w:type="character" w:customStyle="1" w:styleId="FootnoteTextChar">
    <w:name w:val="Footnote Text Char"/>
    <w:basedOn w:val="DefaultParagraphFont"/>
    <w:link w:val="FootnoteText"/>
    <w:uiPriority w:val="99"/>
    <w:rsid w:val="0064502E"/>
    <w:rPr>
      <w:rFonts w:ascii="Aptos" w:eastAsiaTheme="minorHAnsi" w:hAnsi="Aptos" w:cs="Arial"/>
      <w:sz w:val="20"/>
      <w:szCs w:val="20"/>
      <w:lang w:val="en-NZ" w:eastAsia="en-US"/>
    </w:rPr>
  </w:style>
  <w:style w:type="character" w:styleId="FootnoteReference">
    <w:name w:val="footnote reference"/>
    <w:basedOn w:val="DefaultParagraphFont"/>
    <w:uiPriority w:val="99"/>
    <w:semiHidden/>
    <w:unhideWhenUsed/>
    <w:rsid w:val="0064502E"/>
    <w:rPr>
      <w:vertAlign w:val="superscript"/>
    </w:rPr>
  </w:style>
  <w:style w:type="table" w:styleId="TableGrid">
    <w:name w:val="Table Grid"/>
    <w:basedOn w:val="TableNormal"/>
    <w:uiPriority w:val="39"/>
    <w:rsid w:val="001E2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45E17"/>
    <w:pPr>
      <w:spacing w:after="0" w:line="240" w:lineRule="auto"/>
    </w:pPr>
    <w:rPr>
      <w:rFonts w:ascii="Calibri" w:eastAsiaTheme="minorHAnsi" w:hAnsi="Calibri"/>
      <w:szCs w:val="22"/>
      <w:lang w:val="en-NZ" w:eastAsia="en-US"/>
    </w:rPr>
  </w:style>
  <w:style w:type="paragraph" w:styleId="Header">
    <w:name w:val="header"/>
    <w:basedOn w:val="Normal"/>
    <w:link w:val="HeaderChar"/>
    <w:uiPriority w:val="99"/>
    <w:unhideWhenUsed/>
    <w:rsid w:val="00517D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7D68"/>
  </w:style>
  <w:style w:type="paragraph" w:styleId="Footer">
    <w:name w:val="footer"/>
    <w:basedOn w:val="Normal"/>
    <w:link w:val="FooterChar"/>
    <w:uiPriority w:val="99"/>
    <w:unhideWhenUsed/>
    <w:rsid w:val="00517D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7D68"/>
  </w:style>
  <w:style w:type="paragraph" w:styleId="Revision">
    <w:name w:val="Revision"/>
    <w:hidden/>
    <w:uiPriority w:val="99"/>
    <w:semiHidden/>
    <w:rsid w:val="00517D68"/>
    <w:pPr>
      <w:spacing w:after="0" w:line="240" w:lineRule="auto"/>
    </w:pPr>
  </w:style>
  <w:style w:type="character" w:styleId="CommentReference">
    <w:name w:val="annotation reference"/>
    <w:basedOn w:val="DefaultParagraphFont"/>
    <w:uiPriority w:val="99"/>
    <w:semiHidden/>
    <w:unhideWhenUsed/>
    <w:rsid w:val="00E93508"/>
    <w:rPr>
      <w:sz w:val="16"/>
      <w:szCs w:val="16"/>
    </w:rPr>
  </w:style>
  <w:style w:type="paragraph" w:styleId="CommentText">
    <w:name w:val="annotation text"/>
    <w:basedOn w:val="Normal"/>
    <w:link w:val="CommentTextChar"/>
    <w:uiPriority w:val="99"/>
    <w:unhideWhenUsed/>
    <w:rsid w:val="00E93508"/>
    <w:pPr>
      <w:spacing w:line="240" w:lineRule="auto"/>
    </w:pPr>
    <w:rPr>
      <w:sz w:val="20"/>
      <w:szCs w:val="20"/>
    </w:rPr>
  </w:style>
  <w:style w:type="character" w:customStyle="1" w:styleId="CommentTextChar">
    <w:name w:val="Comment Text Char"/>
    <w:basedOn w:val="DefaultParagraphFont"/>
    <w:link w:val="CommentText"/>
    <w:uiPriority w:val="99"/>
    <w:rsid w:val="00E93508"/>
    <w:rPr>
      <w:sz w:val="20"/>
      <w:szCs w:val="20"/>
    </w:rPr>
  </w:style>
  <w:style w:type="paragraph" w:styleId="CommentSubject">
    <w:name w:val="annotation subject"/>
    <w:basedOn w:val="CommentText"/>
    <w:next w:val="CommentText"/>
    <w:link w:val="CommentSubjectChar"/>
    <w:uiPriority w:val="99"/>
    <w:semiHidden/>
    <w:unhideWhenUsed/>
    <w:rsid w:val="00E93508"/>
    <w:rPr>
      <w:b/>
      <w:bCs/>
    </w:rPr>
  </w:style>
  <w:style w:type="character" w:customStyle="1" w:styleId="CommentSubjectChar">
    <w:name w:val="Comment Subject Char"/>
    <w:basedOn w:val="CommentTextChar"/>
    <w:link w:val="CommentSubject"/>
    <w:uiPriority w:val="99"/>
    <w:semiHidden/>
    <w:rsid w:val="00E93508"/>
    <w:rPr>
      <w:b/>
      <w:bCs/>
      <w:sz w:val="20"/>
      <w:szCs w:val="20"/>
    </w:rPr>
  </w:style>
  <w:style w:type="paragraph" w:styleId="TOC1">
    <w:name w:val="toc 1"/>
    <w:basedOn w:val="Normal"/>
    <w:next w:val="Normal"/>
    <w:autoRedefine/>
    <w:uiPriority w:val="39"/>
    <w:unhideWhenUsed/>
    <w:rsid w:val="00734FE9"/>
    <w:pPr>
      <w:spacing w:after="100"/>
    </w:pPr>
  </w:style>
  <w:style w:type="paragraph" w:styleId="TOC2">
    <w:name w:val="toc 2"/>
    <w:basedOn w:val="Normal"/>
    <w:next w:val="Normal"/>
    <w:autoRedefine/>
    <w:uiPriority w:val="39"/>
    <w:unhideWhenUsed/>
    <w:rsid w:val="00734FE9"/>
    <w:pPr>
      <w:spacing w:after="100"/>
      <w:ind w:left="240"/>
    </w:pPr>
  </w:style>
  <w:style w:type="paragraph" w:styleId="TOC3">
    <w:name w:val="toc 3"/>
    <w:basedOn w:val="Normal"/>
    <w:next w:val="Normal"/>
    <w:autoRedefine/>
    <w:uiPriority w:val="39"/>
    <w:unhideWhenUsed/>
    <w:rsid w:val="00734FE9"/>
    <w:pPr>
      <w:tabs>
        <w:tab w:val="right" w:leader="dot" w:pos="9350"/>
      </w:tabs>
      <w:spacing w:after="100"/>
      <w:ind w:left="480"/>
    </w:pPr>
  </w:style>
  <w:style w:type="character" w:customStyle="1" w:styleId="ListParagraphChar">
    <w:name w:val="List Paragraph Char"/>
    <w:aliases w:val="Bullet Normal Char,List Paragraph1 Char,List Paragraph11 Char,Recommendation Char,First level bullet point Char,Level 3 Char,List Paragraph numbered Char,List Bullet indent Char,Body Char,Rec para Char,List 1 Char,Other List Char"/>
    <w:basedOn w:val="DefaultParagraphFont"/>
    <w:link w:val="ListParagraph"/>
    <w:uiPriority w:val="34"/>
    <w:locked/>
    <w:rsid w:val="00744309"/>
  </w:style>
  <w:style w:type="character" w:styleId="UnresolvedMention">
    <w:name w:val="Unresolved Mention"/>
    <w:basedOn w:val="DefaultParagraphFont"/>
    <w:uiPriority w:val="99"/>
    <w:semiHidden/>
    <w:unhideWhenUsed/>
    <w:rsid w:val="002771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9606F195F9E54E90C15C550B60BDE3" ma:contentTypeVersion="11" ma:contentTypeDescription="Create a new document." ma:contentTypeScope="" ma:versionID="dedc0b5a0225392dfa498ed922a1885e">
  <xsd:schema xmlns:xsd="http://www.w3.org/2001/XMLSchema" xmlns:xs="http://www.w3.org/2001/XMLSchema" xmlns:p="http://schemas.microsoft.com/office/2006/metadata/properties" xmlns:ns2="b5af7db8-44d3-477b-9aa3-f59a2f3112db" xmlns:ns3="4811a21b-5327-45df-a691-13b15a93419e" targetNamespace="http://schemas.microsoft.com/office/2006/metadata/properties" ma:root="true" ma:fieldsID="eb8c68c38b667fcb1225d9bdd084b409" ns2:_="" ns3:_="">
    <xsd:import namespace="b5af7db8-44d3-477b-9aa3-f59a2f3112db"/>
    <xsd:import namespace="4811a21b-5327-45df-a691-13b15a93419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af7db8-44d3-477b-9aa3-f59a2f3112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a4be973-1e2a-42b0-8d4b-c97c1dd982c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811a21b-5327-45df-a691-13b15a93419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0ab812c-0c46-483d-b2f9-b70c2c7d2b64}" ma:internalName="TaxCatchAll" ma:showField="CatchAllData" ma:web="4811a21b-5327-45df-a691-13b15a9341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811a21b-5327-45df-a691-13b15a93419e" xsi:nil="true"/>
    <lcf76f155ced4ddcb4097134ff3c332f xmlns="b5af7db8-44d3-477b-9aa3-f59a2f3112d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D7FF83-0868-410C-8AFB-E2F6AAA37D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af7db8-44d3-477b-9aa3-f59a2f3112db"/>
    <ds:schemaRef ds:uri="4811a21b-5327-45df-a691-13b15a9341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0C932E-040F-45BD-AB9D-6E57A5E6FD54}">
  <ds:schemaRefs>
    <ds:schemaRef ds:uri="http://purl.org/dc/elements/1.1/"/>
    <ds:schemaRef ds:uri="http://purl.org/dc/terms/"/>
    <ds:schemaRef ds:uri="http://schemas.microsoft.com/office/2006/documentManagement/types"/>
    <ds:schemaRef ds:uri="http://purl.org/dc/dcmitype/"/>
    <ds:schemaRef ds:uri="http://schemas.openxmlformats.org/package/2006/metadata/core-properties"/>
    <ds:schemaRef ds:uri="http://www.w3.org/XML/1998/namespace"/>
    <ds:schemaRef ds:uri="http://schemas.microsoft.com/office/infopath/2007/PartnerControls"/>
    <ds:schemaRef ds:uri="4811a21b-5327-45df-a691-13b15a93419e"/>
    <ds:schemaRef ds:uri="b5af7db8-44d3-477b-9aa3-f59a2f3112db"/>
    <ds:schemaRef ds:uri="http://schemas.microsoft.com/office/2006/metadata/properties"/>
  </ds:schemaRefs>
</ds:datastoreItem>
</file>

<file path=customXml/itemProps3.xml><?xml version="1.0" encoding="utf-8"?>
<ds:datastoreItem xmlns:ds="http://schemas.openxmlformats.org/officeDocument/2006/customXml" ds:itemID="{6B0FD1D3-0830-42AA-A352-DFF62F535107}">
  <ds:schemaRefs>
    <ds:schemaRef ds:uri="http://schemas.openxmlformats.org/officeDocument/2006/bibliography"/>
  </ds:schemaRefs>
</ds:datastoreItem>
</file>

<file path=customXml/itemProps4.xml><?xml version="1.0" encoding="utf-8"?>
<ds:datastoreItem xmlns:ds="http://schemas.openxmlformats.org/officeDocument/2006/customXml" ds:itemID="{BA8C7FD0-D830-44DA-9ACA-8B85071BE5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2239</Words>
  <Characters>11894</Characters>
  <Application>Microsoft Office Word</Application>
  <DocSecurity>2</DocSecurity>
  <Lines>194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McCullough</dc:creator>
  <cp:keywords/>
  <dc:description/>
  <cp:lastModifiedBy>Catherine McCullough</cp:lastModifiedBy>
  <cp:revision>12</cp:revision>
  <cp:lastPrinted>2025-03-25T20:04:00Z</cp:lastPrinted>
  <dcterms:created xsi:type="dcterms:W3CDTF">2025-03-05T03:44:00Z</dcterms:created>
  <dcterms:modified xsi:type="dcterms:W3CDTF">2025-03-25T20:04:00Z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0x010100609606F195F9E54E90C15C550B60BDE3</vt:lpwstr>
  </property>
  <property fmtid="{D5CDD505-2E9C-101B-9397-08002B2CF9AE}" pid="3" name="MediaServiceImageTags">
    <vt:lpwstr/>
  </property>
</Properties>
</file>