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6F31C4" w:rsidRPr="00666BAC" w:rsidRDefault="006F31C4" w:rsidP="006F31C4"/>
    <w:p w:rsidR="00057134" w:rsidRPr="00666BAC" w:rsidRDefault="00057134" w:rsidP="00057134">
      <w:pPr>
        <w:pStyle w:val="NoSpacing"/>
        <w:jc w:val="center"/>
        <w:rPr>
          <w:rFonts w:eastAsiaTheme="majorEastAsia" w:cstheme="majorBidi"/>
          <w:b/>
          <w:sz w:val="48"/>
          <w:szCs w:val="48"/>
          <w:lang w:val="en-NZ"/>
        </w:rPr>
      </w:pPr>
      <w:r w:rsidRPr="00666BAC">
        <w:rPr>
          <w:rFonts w:eastAsiaTheme="majorEastAsia" w:cstheme="majorBidi"/>
          <w:b/>
          <w:sz w:val="48"/>
          <w:szCs w:val="48"/>
          <w:lang w:val="en-NZ"/>
        </w:rPr>
        <w:t xml:space="preserve">Complaints to the Health and Disability Commissioner involving </w:t>
      </w:r>
    </w:p>
    <w:p w:rsidR="00057134" w:rsidRPr="00666BAC" w:rsidRDefault="00057134" w:rsidP="00057134">
      <w:pPr>
        <w:pStyle w:val="NoSpacing"/>
        <w:jc w:val="center"/>
        <w:rPr>
          <w:rFonts w:eastAsiaTheme="majorEastAsia" w:cstheme="majorBidi"/>
          <w:b/>
          <w:sz w:val="48"/>
          <w:szCs w:val="48"/>
          <w:lang w:val="en-NZ"/>
        </w:rPr>
      </w:pPr>
      <w:r w:rsidRPr="00666BAC">
        <w:rPr>
          <w:rFonts w:eastAsiaTheme="majorEastAsia" w:cstheme="majorBidi"/>
          <w:b/>
          <w:sz w:val="48"/>
          <w:szCs w:val="48"/>
          <w:lang w:val="en-NZ"/>
        </w:rPr>
        <w:t>District Health Boards</w:t>
      </w:r>
    </w:p>
    <w:p w:rsidR="00E129ED" w:rsidRPr="00666BAC" w:rsidRDefault="00E129ED" w:rsidP="00E129ED">
      <w:pPr>
        <w:pStyle w:val="NoSpacing"/>
        <w:jc w:val="center"/>
        <w:rPr>
          <w:rFonts w:eastAsiaTheme="majorEastAsia" w:cstheme="majorBidi"/>
          <w:b/>
          <w:sz w:val="36"/>
          <w:szCs w:val="36"/>
          <w:lang w:val="en-NZ"/>
        </w:rPr>
      </w:pPr>
    </w:p>
    <w:p w:rsidR="00E129ED" w:rsidRPr="00666BAC" w:rsidRDefault="00E129ED" w:rsidP="00E129ED">
      <w:pPr>
        <w:pStyle w:val="NoSpacing"/>
        <w:jc w:val="center"/>
        <w:rPr>
          <w:rFonts w:eastAsiaTheme="majorEastAsia" w:cstheme="majorBidi"/>
          <w:b/>
          <w:sz w:val="32"/>
          <w:szCs w:val="32"/>
          <w:lang w:val="en-NZ"/>
        </w:rPr>
      </w:pPr>
      <w:r w:rsidRPr="00666BAC">
        <w:rPr>
          <w:rFonts w:eastAsiaTheme="majorEastAsia" w:cstheme="majorBidi"/>
          <w:b/>
          <w:sz w:val="32"/>
          <w:szCs w:val="32"/>
          <w:lang w:val="en-NZ"/>
        </w:rPr>
        <w:t>Report a</w:t>
      </w:r>
      <w:r w:rsidR="00664BA8" w:rsidRPr="00666BAC">
        <w:rPr>
          <w:rFonts w:eastAsiaTheme="majorEastAsia" w:cstheme="majorBidi"/>
          <w:b/>
          <w:sz w:val="32"/>
          <w:szCs w:val="32"/>
          <w:lang w:val="en-NZ"/>
        </w:rPr>
        <w:t>nd Analysis for period 1 J</w:t>
      </w:r>
      <w:r w:rsidR="00057134" w:rsidRPr="00666BAC">
        <w:rPr>
          <w:rFonts w:eastAsiaTheme="majorEastAsia" w:cstheme="majorBidi"/>
          <w:b/>
          <w:sz w:val="32"/>
          <w:szCs w:val="32"/>
          <w:lang w:val="en-NZ"/>
        </w:rPr>
        <w:t>uly 201</w:t>
      </w:r>
      <w:r w:rsidR="00E60C4A">
        <w:rPr>
          <w:rFonts w:eastAsiaTheme="majorEastAsia" w:cstheme="majorBidi"/>
          <w:b/>
          <w:sz w:val="32"/>
          <w:szCs w:val="32"/>
          <w:lang w:val="en-NZ"/>
        </w:rPr>
        <w:t>7</w:t>
      </w:r>
      <w:r w:rsidR="00664BA8" w:rsidRPr="00666BAC">
        <w:rPr>
          <w:rFonts w:eastAsiaTheme="majorEastAsia" w:cstheme="majorBidi"/>
          <w:b/>
          <w:sz w:val="32"/>
          <w:szCs w:val="32"/>
          <w:lang w:val="en-NZ"/>
        </w:rPr>
        <w:t xml:space="preserve"> to 30</w:t>
      </w:r>
      <w:r w:rsidR="005270CD" w:rsidRPr="00666BAC">
        <w:rPr>
          <w:rFonts w:eastAsiaTheme="majorEastAsia" w:cstheme="majorBidi"/>
          <w:b/>
          <w:sz w:val="32"/>
          <w:szCs w:val="32"/>
          <w:lang w:val="en-NZ"/>
        </w:rPr>
        <w:t xml:space="preserve"> </w:t>
      </w:r>
      <w:r w:rsidR="00664BA8" w:rsidRPr="00666BAC">
        <w:rPr>
          <w:rFonts w:eastAsiaTheme="majorEastAsia" w:cstheme="majorBidi"/>
          <w:b/>
          <w:sz w:val="32"/>
          <w:szCs w:val="32"/>
          <w:lang w:val="en-NZ"/>
        </w:rPr>
        <w:t>June</w:t>
      </w:r>
      <w:r w:rsidRPr="00666BAC">
        <w:rPr>
          <w:rFonts w:eastAsiaTheme="majorEastAsia" w:cstheme="majorBidi"/>
          <w:b/>
          <w:sz w:val="32"/>
          <w:szCs w:val="32"/>
          <w:lang w:val="en-NZ"/>
        </w:rPr>
        <w:t xml:space="preserve"> 201</w:t>
      </w:r>
      <w:r w:rsidR="00E60C4A">
        <w:rPr>
          <w:rFonts w:eastAsiaTheme="majorEastAsia" w:cstheme="majorBidi"/>
          <w:b/>
          <w:sz w:val="32"/>
          <w:szCs w:val="32"/>
          <w:lang w:val="en-NZ"/>
        </w:rPr>
        <w:t>8</w:t>
      </w: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p>
    <w:p w:rsidR="00E129ED" w:rsidRPr="00666BAC" w:rsidRDefault="00E129ED" w:rsidP="00E129ED">
      <w:pPr>
        <w:pStyle w:val="NoSpacing"/>
        <w:jc w:val="center"/>
        <w:rPr>
          <w:rFonts w:eastAsiaTheme="majorEastAsia" w:cstheme="majorBidi"/>
          <w:b/>
          <w:sz w:val="32"/>
          <w:szCs w:val="32"/>
          <w:lang w:val="en-NZ"/>
        </w:rPr>
      </w:pPr>
      <w:r w:rsidRPr="00666BAC">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051633CB" wp14:editId="3FCDA10D">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rsidR="00E129ED" w:rsidRPr="00666BAC" w:rsidRDefault="00E129ED" w:rsidP="00E129ED">
      <w:pPr>
        <w:jc w:val="center"/>
        <w:sectPr w:rsidR="00E129ED" w:rsidRPr="00666BAC" w:rsidSect="00A9442D">
          <w:footerReference w:type="even" r:id="rId10"/>
          <w:footerReference w:type="first" r:id="rId11"/>
          <w:pgSz w:w="11906" w:h="16838" w:code="9"/>
          <w:pgMar w:top="1140" w:right="1412" w:bottom="851" w:left="1412" w:header="720" w:footer="590" w:gutter="0"/>
          <w:cols w:space="720"/>
          <w:titlePg/>
          <w:docGrid w:linePitch="360"/>
        </w:sect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p>
    <w:p w:rsidR="003D7EDA" w:rsidRPr="00666BAC" w:rsidRDefault="003D7EDA" w:rsidP="003D7EDA">
      <w:pPr>
        <w:rPr>
          <w:b/>
          <w:szCs w:val="22"/>
        </w:rPr>
      </w:pPr>
      <w:r w:rsidRPr="00666BAC">
        <w:rPr>
          <w:b/>
          <w:szCs w:val="22"/>
        </w:rPr>
        <w:t>Feedback</w:t>
      </w:r>
    </w:p>
    <w:p w:rsidR="003D7EDA" w:rsidRPr="00666BAC" w:rsidRDefault="003D7EDA" w:rsidP="003D7EDA">
      <w:pPr>
        <w:jc w:val="left"/>
        <w:rPr>
          <w:szCs w:val="22"/>
        </w:rPr>
      </w:pPr>
      <w:r w:rsidRPr="00666BAC">
        <w:rPr>
          <w:szCs w:val="22"/>
        </w:rPr>
        <w:t>We welcome your feedback on this report. Please contact Natasha Davidson at hdc@hdc.org.nz</w:t>
      </w:r>
    </w:p>
    <w:p w:rsidR="003D7EDA" w:rsidRPr="00666BAC" w:rsidRDefault="003D7EDA" w:rsidP="003D7EDA">
      <w:pPr>
        <w:jc w:val="left"/>
        <w:rPr>
          <w:szCs w:val="22"/>
        </w:rPr>
      </w:pPr>
    </w:p>
    <w:p w:rsidR="003D7EDA" w:rsidRPr="00666BAC" w:rsidRDefault="003D7EDA" w:rsidP="003D7EDA">
      <w:pPr>
        <w:jc w:val="left"/>
        <w:rPr>
          <w:b/>
          <w:szCs w:val="22"/>
        </w:rPr>
      </w:pPr>
      <w:r w:rsidRPr="00666BAC">
        <w:rPr>
          <w:b/>
          <w:szCs w:val="22"/>
        </w:rPr>
        <w:t>Authors</w:t>
      </w:r>
    </w:p>
    <w:p w:rsidR="003D7EDA" w:rsidRPr="00666BAC" w:rsidRDefault="003D7EDA" w:rsidP="003D7EDA">
      <w:pPr>
        <w:jc w:val="left"/>
        <w:rPr>
          <w:szCs w:val="22"/>
        </w:rPr>
      </w:pPr>
      <w:r w:rsidRPr="00666BAC">
        <w:rPr>
          <w:szCs w:val="22"/>
        </w:rPr>
        <w:t>This report was prepared by Natasha Davidson (</w:t>
      </w:r>
      <w:r w:rsidR="00E75777">
        <w:rPr>
          <w:szCs w:val="22"/>
        </w:rPr>
        <w:t>Principal</w:t>
      </w:r>
      <w:r w:rsidR="00E75777" w:rsidRPr="00666BAC">
        <w:rPr>
          <w:szCs w:val="22"/>
        </w:rPr>
        <w:t xml:space="preserve"> </w:t>
      </w:r>
      <w:r w:rsidR="002B4B70" w:rsidRPr="00666BAC">
        <w:rPr>
          <w:szCs w:val="22"/>
        </w:rPr>
        <w:t>Advisor – Research and Education).</w:t>
      </w:r>
    </w:p>
    <w:p w:rsidR="003D7EDA" w:rsidRPr="00666BAC" w:rsidRDefault="003D7EDA" w:rsidP="003D7EDA">
      <w:pPr>
        <w:jc w:val="left"/>
        <w:rPr>
          <w:szCs w:val="22"/>
        </w:rPr>
      </w:pPr>
    </w:p>
    <w:p w:rsidR="003D7EDA" w:rsidRPr="00666BAC" w:rsidRDefault="003D7EDA" w:rsidP="003D7EDA">
      <w:pPr>
        <w:jc w:val="left"/>
        <w:rPr>
          <w:i/>
          <w:szCs w:val="22"/>
        </w:rPr>
      </w:pPr>
      <w:r w:rsidRPr="00666BAC">
        <w:rPr>
          <w:szCs w:val="22"/>
        </w:rPr>
        <w:t>Citation: The Health a</w:t>
      </w:r>
      <w:r w:rsidR="00E60C4A">
        <w:rPr>
          <w:szCs w:val="22"/>
        </w:rPr>
        <w:t>nd Disability Commissioner. 2019</w:t>
      </w:r>
      <w:r w:rsidRPr="00666BAC">
        <w:rPr>
          <w:szCs w:val="22"/>
        </w:rPr>
        <w:t xml:space="preserve">. </w:t>
      </w:r>
      <w:r w:rsidRPr="00666BAC">
        <w:rPr>
          <w:i/>
          <w:szCs w:val="22"/>
        </w:rPr>
        <w:t xml:space="preserve">Complaints to the Health and Disability Commissioner involving District Health </w:t>
      </w:r>
      <w:r w:rsidR="00E60C4A">
        <w:rPr>
          <w:i/>
          <w:szCs w:val="22"/>
        </w:rPr>
        <w:t>Boards: Analysis and Report 2017/18</w:t>
      </w:r>
      <w:r w:rsidRPr="00666BAC">
        <w:rPr>
          <w:i/>
          <w:szCs w:val="22"/>
        </w:rPr>
        <w:t>.</w:t>
      </w:r>
    </w:p>
    <w:p w:rsidR="003D7EDA" w:rsidRPr="00666BAC" w:rsidRDefault="003D7EDA" w:rsidP="003D7EDA">
      <w:pPr>
        <w:jc w:val="left"/>
        <w:rPr>
          <w:szCs w:val="22"/>
        </w:rPr>
      </w:pPr>
    </w:p>
    <w:p w:rsidR="003D7EDA" w:rsidRPr="00666BAC" w:rsidRDefault="003D7EDA" w:rsidP="003D7EDA">
      <w:pPr>
        <w:jc w:val="left"/>
        <w:rPr>
          <w:szCs w:val="22"/>
        </w:rPr>
      </w:pPr>
      <w:r w:rsidRPr="00666BAC">
        <w:rPr>
          <w:szCs w:val="22"/>
        </w:rPr>
        <w:t xml:space="preserve">Published in </w:t>
      </w:r>
      <w:r w:rsidR="002F2899">
        <w:rPr>
          <w:szCs w:val="22"/>
        </w:rPr>
        <w:t>June</w:t>
      </w:r>
      <w:r w:rsidR="00E75777">
        <w:rPr>
          <w:szCs w:val="22"/>
        </w:rPr>
        <w:t xml:space="preserve"> </w:t>
      </w:r>
      <w:r w:rsidR="00E60C4A">
        <w:rPr>
          <w:szCs w:val="22"/>
        </w:rPr>
        <w:t>2019</w:t>
      </w:r>
    </w:p>
    <w:p w:rsidR="003D7EDA" w:rsidRPr="00666BAC" w:rsidRDefault="003D7EDA" w:rsidP="003D7EDA">
      <w:pPr>
        <w:jc w:val="left"/>
        <w:rPr>
          <w:szCs w:val="22"/>
        </w:rPr>
      </w:pPr>
      <w:r w:rsidRPr="00666BAC">
        <w:rPr>
          <w:szCs w:val="22"/>
        </w:rPr>
        <w:t>by the Health and Disability Commissioner</w:t>
      </w:r>
    </w:p>
    <w:p w:rsidR="003D7EDA" w:rsidRPr="00666BAC" w:rsidRDefault="003D7EDA" w:rsidP="003D7EDA">
      <w:pPr>
        <w:jc w:val="left"/>
        <w:rPr>
          <w:szCs w:val="22"/>
        </w:rPr>
      </w:pPr>
      <w:r w:rsidRPr="00666BAC">
        <w:rPr>
          <w:szCs w:val="22"/>
        </w:rPr>
        <w:t>PO Box 1791, Auckland 1140</w:t>
      </w:r>
    </w:p>
    <w:p w:rsidR="003D7EDA" w:rsidRPr="00666BAC" w:rsidRDefault="003D7EDA" w:rsidP="003D7EDA">
      <w:pPr>
        <w:jc w:val="left"/>
        <w:rPr>
          <w:b/>
          <w:szCs w:val="22"/>
        </w:rPr>
      </w:pPr>
    </w:p>
    <w:p w:rsidR="003D7EDA" w:rsidRPr="00666BAC" w:rsidRDefault="0032313D" w:rsidP="003D7EDA">
      <w:pPr>
        <w:jc w:val="left"/>
        <w:rPr>
          <w:szCs w:val="22"/>
        </w:rPr>
      </w:pPr>
      <w:r w:rsidRPr="00666BAC">
        <w:rPr>
          <w:szCs w:val="22"/>
        </w:rPr>
        <w:t>©201</w:t>
      </w:r>
      <w:r w:rsidR="00E60C4A">
        <w:rPr>
          <w:szCs w:val="22"/>
        </w:rPr>
        <w:t>9</w:t>
      </w:r>
      <w:r w:rsidR="003D7EDA" w:rsidRPr="00666BAC">
        <w:rPr>
          <w:szCs w:val="22"/>
        </w:rPr>
        <w:t xml:space="preserve"> The Health and Disability Commissioner</w:t>
      </w:r>
    </w:p>
    <w:p w:rsidR="003D7EDA" w:rsidRPr="00666BAC" w:rsidRDefault="003D7EDA" w:rsidP="003D7EDA">
      <w:pPr>
        <w:jc w:val="left"/>
        <w:rPr>
          <w:b/>
          <w:szCs w:val="22"/>
        </w:rPr>
      </w:pPr>
    </w:p>
    <w:p w:rsidR="003D7EDA" w:rsidRPr="00666BAC" w:rsidRDefault="003D7EDA" w:rsidP="003D7EDA">
      <w:pPr>
        <w:jc w:val="left"/>
        <w:rPr>
          <w:b/>
          <w:szCs w:val="22"/>
        </w:rPr>
        <w:sectPr w:rsidR="003D7EDA" w:rsidRPr="00666BAC" w:rsidSect="003D7EDA">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E129ED" w:rsidRPr="00666BAC" w:rsidRDefault="00E129ED" w:rsidP="00E129ED">
      <w:pPr>
        <w:sectPr w:rsidR="00E129ED" w:rsidRPr="00666BAC" w:rsidSect="00635635">
          <w:pgSz w:w="11906" w:h="16838" w:code="9"/>
          <w:pgMar w:top="1140" w:right="1412" w:bottom="851" w:left="1412" w:header="720" w:footer="590" w:gutter="0"/>
          <w:pgNumType w:start="0"/>
          <w:cols w:space="720"/>
          <w:titlePg/>
          <w:docGrid w:linePitch="360"/>
        </w:sectPr>
      </w:pPr>
    </w:p>
    <w:p w:rsidR="00E129ED" w:rsidRPr="00666BAC" w:rsidRDefault="00E129ED" w:rsidP="005270CD">
      <w:pPr>
        <w:pStyle w:val="Heading1"/>
        <w:rPr>
          <w:lang w:val="en-NZ"/>
        </w:rPr>
      </w:pPr>
      <w:r w:rsidRPr="00666BAC">
        <w:rPr>
          <w:lang w:val="en-NZ"/>
        </w:rPr>
        <w:lastRenderedPageBreak/>
        <w:br w:type="textWrapping" w:clear="all"/>
      </w:r>
      <w:bookmarkStart w:id="0" w:name="_Toc506278056"/>
      <w:r w:rsidR="003D7EDA" w:rsidRPr="00666BAC">
        <w:rPr>
          <w:color w:val="C00000"/>
          <w:sz w:val="36"/>
          <w:szCs w:val="36"/>
        </w:rPr>
        <w:t>CONTENTS</w:t>
      </w:r>
      <w:bookmarkEnd w:id="0"/>
      <w:r w:rsidR="003D7EDA" w:rsidRPr="00666BAC">
        <w:rPr>
          <w:color w:val="C00000"/>
          <w:sz w:val="36"/>
          <w:szCs w:val="36"/>
        </w:rPr>
        <w:t xml:space="preserve">  </w:t>
      </w:r>
    </w:p>
    <w:p w:rsidR="0025126B" w:rsidRDefault="00E129ED">
      <w:pPr>
        <w:pStyle w:val="TOC1"/>
        <w:rPr>
          <w:rFonts w:eastAsiaTheme="minorEastAsia" w:cstheme="minorBidi"/>
          <w:b w:val="0"/>
          <w:noProof/>
          <w:sz w:val="22"/>
          <w:szCs w:val="22"/>
          <w:lang w:eastAsia="en-NZ" w:bidi="ar-SA"/>
        </w:rPr>
      </w:pPr>
      <w:r w:rsidRPr="00666BAC">
        <w:rPr>
          <w:color w:val="000000" w:themeColor="text1"/>
          <w:sz w:val="32"/>
          <w:szCs w:val="32"/>
        </w:rPr>
        <w:fldChar w:fldCharType="begin"/>
      </w:r>
      <w:r w:rsidRPr="00666BAC">
        <w:rPr>
          <w:color w:val="000000" w:themeColor="text1"/>
          <w:sz w:val="32"/>
          <w:szCs w:val="32"/>
        </w:rPr>
        <w:instrText xml:space="preserve"> TOC \o "2-3" \h \z \t "Heading 1,1" </w:instrText>
      </w:r>
      <w:r w:rsidRPr="00666BAC">
        <w:rPr>
          <w:color w:val="000000" w:themeColor="text1"/>
          <w:sz w:val="32"/>
          <w:szCs w:val="32"/>
        </w:rPr>
        <w:fldChar w:fldCharType="separate"/>
      </w:r>
      <w:hyperlink w:anchor="_Toc506278056" w:history="1">
        <w:r w:rsidR="0025126B" w:rsidRPr="008A04DE">
          <w:rPr>
            <w:rStyle w:val="Hyperlink"/>
            <w:noProof/>
          </w:rPr>
          <w:t>CONTENTS</w:t>
        </w:r>
        <w:r w:rsidR="0025126B">
          <w:rPr>
            <w:noProof/>
            <w:webHidden/>
          </w:rPr>
          <w:tab/>
        </w:r>
        <w:r w:rsidR="0025126B">
          <w:rPr>
            <w:noProof/>
            <w:webHidden/>
          </w:rPr>
          <w:fldChar w:fldCharType="begin"/>
        </w:r>
        <w:r w:rsidR="0025126B">
          <w:rPr>
            <w:noProof/>
            <w:webHidden/>
          </w:rPr>
          <w:instrText xml:space="preserve"> PAGEREF _Toc506278056 \h </w:instrText>
        </w:r>
        <w:r w:rsidR="0025126B">
          <w:rPr>
            <w:noProof/>
            <w:webHidden/>
          </w:rPr>
        </w:r>
        <w:r w:rsidR="0025126B">
          <w:rPr>
            <w:noProof/>
            <w:webHidden/>
          </w:rPr>
          <w:fldChar w:fldCharType="separate"/>
        </w:r>
        <w:r w:rsidR="000B048F">
          <w:rPr>
            <w:noProof/>
            <w:webHidden/>
          </w:rPr>
          <w:t>i</w:t>
        </w:r>
        <w:r w:rsidR="0025126B">
          <w:rPr>
            <w:noProof/>
            <w:webHidden/>
          </w:rPr>
          <w:fldChar w:fldCharType="end"/>
        </w:r>
      </w:hyperlink>
    </w:p>
    <w:p w:rsidR="0025126B" w:rsidRDefault="00CF696F">
      <w:pPr>
        <w:pStyle w:val="TOC1"/>
        <w:rPr>
          <w:rFonts w:eastAsiaTheme="minorEastAsia" w:cstheme="minorBidi"/>
          <w:b w:val="0"/>
          <w:noProof/>
          <w:sz w:val="22"/>
          <w:szCs w:val="22"/>
          <w:lang w:eastAsia="en-NZ" w:bidi="ar-SA"/>
        </w:rPr>
      </w:pPr>
      <w:hyperlink w:anchor="_Toc506278057" w:history="1">
        <w:r w:rsidR="0025126B" w:rsidRPr="008A04DE">
          <w:rPr>
            <w:rStyle w:val="Hyperlink"/>
            <w:noProof/>
          </w:rPr>
          <w:t>COMMISSIONER’S FOREWORD</w:t>
        </w:r>
        <w:r w:rsidR="0025126B">
          <w:rPr>
            <w:noProof/>
            <w:webHidden/>
          </w:rPr>
          <w:tab/>
        </w:r>
        <w:r w:rsidR="0025126B">
          <w:rPr>
            <w:noProof/>
            <w:webHidden/>
          </w:rPr>
          <w:fldChar w:fldCharType="begin"/>
        </w:r>
        <w:r w:rsidR="0025126B">
          <w:rPr>
            <w:noProof/>
            <w:webHidden/>
          </w:rPr>
          <w:instrText xml:space="preserve"> PAGEREF _Toc506278057 \h </w:instrText>
        </w:r>
        <w:r w:rsidR="0025126B">
          <w:rPr>
            <w:noProof/>
            <w:webHidden/>
          </w:rPr>
        </w:r>
        <w:r w:rsidR="0025126B">
          <w:rPr>
            <w:noProof/>
            <w:webHidden/>
          </w:rPr>
          <w:fldChar w:fldCharType="separate"/>
        </w:r>
        <w:r w:rsidR="000B048F">
          <w:rPr>
            <w:noProof/>
            <w:webHidden/>
          </w:rPr>
          <w:t>ii</w:t>
        </w:r>
        <w:r w:rsidR="0025126B">
          <w:rPr>
            <w:noProof/>
            <w:webHidden/>
          </w:rPr>
          <w:fldChar w:fldCharType="end"/>
        </w:r>
      </w:hyperlink>
    </w:p>
    <w:p w:rsidR="0025126B" w:rsidRDefault="00CF696F">
      <w:pPr>
        <w:pStyle w:val="TOC1"/>
        <w:rPr>
          <w:rFonts w:eastAsiaTheme="minorEastAsia" w:cstheme="minorBidi"/>
          <w:b w:val="0"/>
          <w:noProof/>
          <w:sz w:val="22"/>
          <w:szCs w:val="22"/>
          <w:lang w:eastAsia="en-NZ" w:bidi="ar-SA"/>
        </w:rPr>
      </w:pPr>
      <w:hyperlink w:anchor="_Toc506278058" w:history="1">
        <w:r w:rsidR="0025126B" w:rsidRPr="008A04DE">
          <w:rPr>
            <w:rStyle w:val="Hyperlink"/>
            <w:noProof/>
          </w:rPr>
          <w:t>EXECUTIVE SUMMARY</w:t>
        </w:r>
        <w:r w:rsidR="0025126B">
          <w:rPr>
            <w:noProof/>
            <w:webHidden/>
          </w:rPr>
          <w:tab/>
        </w:r>
        <w:r w:rsidR="0025126B">
          <w:rPr>
            <w:noProof/>
            <w:webHidden/>
          </w:rPr>
          <w:fldChar w:fldCharType="begin"/>
        </w:r>
        <w:r w:rsidR="0025126B">
          <w:rPr>
            <w:noProof/>
            <w:webHidden/>
          </w:rPr>
          <w:instrText xml:space="preserve"> PAGEREF _Toc506278058 \h </w:instrText>
        </w:r>
        <w:r w:rsidR="0025126B">
          <w:rPr>
            <w:noProof/>
            <w:webHidden/>
          </w:rPr>
        </w:r>
        <w:r w:rsidR="0025126B">
          <w:rPr>
            <w:noProof/>
            <w:webHidden/>
          </w:rPr>
          <w:fldChar w:fldCharType="separate"/>
        </w:r>
        <w:r w:rsidR="000B048F">
          <w:rPr>
            <w:noProof/>
            <w:webHidden/>
          </w:rPr>
          <w:t>1</w:t>
        </w:r>
        <w:r w:rsidR="0025126B">
          <w:rPr>
            <w:noProof/>
            <w:webHidden/>
          </w:rPr>
          <w:fldChar w:fldCharType="end"/>
        </w:r>
      </w:hyperlink>
    </w:p>
    <w:p w:rsidR="0025126B" w:rsidRDefault="00CF696F">
      <w:pPr>
        <w:pStyle w:val="TOC1"/>
        <w:rPr>
          <w:rFonts w:eastAsiaTheme="minorEastAsia" w:cstheme="minorBidi"/>
          <w:b w:val="0"/>
          <w:noProof/>
          <w:sz w:val="22"/>
          <w:szCs w:val="22"/>
          <w:lang w:eastAsia="en-NZ" w:bidi="ar-SA"/>
        </w:rPr>
      </w:pPr>
      <w:hyperlink w:anchor="_Toc506278059" w:history="1">
        <w:r w:rsidR="0025126B" w:rsidRPr="008A04DE">
          <w:rPr>
            <w:rStyle w:val="Hyperlink"/>
            <w:noProof/>
          </w:rPr>
          <w:t>BACKGROUND</w:t>
        </w:r>
        <w:r w:rsidR="0025126B">
          <w:rPr>
            <w:noProof/>
            <w:webHidden/>
          </w:rPr>
          <w:tab/>
        </w:r>
        <w:r w:rsidR="0025126B">
          <w:rPr>
            <w:noProof/>
            <w:webHidden/>
          </w:rPr>
          <w:fldChar w:fldCharType="begin"/>
        </w:r>
        <w:r w:rsidR="0025126B">
          <w:rPr>
            <w:noProof/>
            <w:webHidden/>
          </w:rPr>
          <w:instrText xml:space="preserve"> PAGEREF _Toc506278059 \h </w:instrText>
        </w:r>
        <w:r w:rsidR="0025126B">
          <w:rPr>
            <w:noProof/>
            <w:webHidden/>
          </w:rPr>
        </w:r>
        <w:r w:rsidR="0025126B">
          <w:rPr>
            <w:noProof/>
            <w:webHidden/>
          </w:rPr>
          <w:fldChar w:fldCharType="separate"/>
        </w:r>
        <w:r w:rsidR="000B048F">
          <w:rPr>
            <w:noProof/>
            <w:webHidden/>
          </w:rPr>
          <w:t>2</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60" w:history="1">
        <w:r w:rsidR="0025126B" w:rsidRPr="008A04DE">
          <w:rPr>
            <w:rStyle w:val="Hyperlink"/>
            <w:noProof/>
          </w:rPr>
          <w:t>1.</w:t>
        </w:r>
        <w:r w:rsidR="0025126B">
          <w:rPr>
            <w:rFonts w:eastAsiaTheme="minorEastAsia" w:cstheme="minorBidi"/>
            <w:b w:val="0"/>
            <w:noProof/>
            <w:lang w:eastAsia="en-NZ" w:bidi="ar-SA"/>
          </w:rPr>
          <w:tab/>
        </w:r>
        <w:r w:rsidR="0025126B" w:rsidRPr="008A04DE">
          <w:rPr>
            <w:rStyle w:val="Hyperlink"/>
            <w:noProof/>
          </w:rPr>
          <w:t>The Health and Disability Commissioner</w:t>
        </w:r>
        <w:r w:rsidR="0025126B">
          <w:rPr>
            <w:noProof/>
            <w:webHidden/>
          </w:rPr>
          <w:tab/>
        </w:r>
        <w:r w:rsidR="0025126B">
          <w:rPr>
            <w:noProof/>
            <w:webHidden/>
          </w:rPr>
          <w:fldChar w:fldCharType="begin"/>
        </w:r>
        <w:r w:rsidR="0025126B">
          <w:rPr>
            <w:noProof/>
            <w:webHidden/>
          </w:rPr>
          <w:instrText xml:space="preserve"> PAGEREF _Toc506278060 \h </w:instrText>
        </w:r>
        <w:r w:rsidR="0025126B">
          <w:rPr>
            <w:noProof/>
            <w:webHidden/>
          </w:rPr>
        </w:r>
        <w:r w:rsidR="0025126B">
          <w:rPr>
            <w:noProof/>
            <w:webHidden/>
          </w:rPr>
          <w:fldChar w:fldCharType="separate"/>
        </w:r>
        <w:r w:rsidR="000B048F">
          <w:rPr>
            <w:noProof/>
            <w:webHidden/>
          </w:rPr>
          <w:t>2</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61" w:history="1">
        <w:r w:rsidR="0025126B" w:rsidRPr="008A04DE">
          <w:rPr>
            <w:rStyle w:val="Hyperlink"/>
            <w:noProof/>
          </w:rPr>
          <w:t>2.</w:t>
        </w:r>
        <w:r w:rsidR="0025126B">
          <w:rPr>
            <w:rFonts w:eastAsiaTheme="minorEastAsia" w:cstheme="minorBidi"/>
            <w:b w:val="0"/>
            <w:noProof/>
            <w:lang w:eastAsia="en-NZ" w:bidi="ar-SA"/>
          </w:rPr>
          <w:tab/>
        </w:r>
        <w:r w:rsidR="0025126B" w:rsidRPr="008A04DE">
          <w:rPr>
            <w:rStyle w:val="Hyperlink"/>
            <w:noProof/>
          </w:rPr>
          <w:t>District Health Boards</w:t>
        </w:r>
        <w:r w:rsidR="0025126B">
          <w:rPr>
            <w:noProof/>
            <w:webHidden/>
          </w:rPr>
          <w:tab/>
        </w:r>
        <w:r w:rsidR="0025126B">
          <w:rPr>
            <w:noProof/>
            <w:webHidden/>
          </w:rPr>
          <w:fldChar w:fldCharType="begin"/>
        </w:r>
        <w:r w:rsidR="0025126B">
          <w:rPr>
            <w:noProof/>
            <w:webHidden/>
          </w:rPr>
          <w:instrText xml:space="preserve"> PAGEREF _Toc506278061 \h </w:instrText>
        </w:r>
        <w:r w:rsidR="0025126B">
          <w:rPr>
            <w:noProof/>
            <w:webHidden/>
          </w:rPr>
        </w:r>
        <w:r w:rsidR="0025126B">
          <w:rPr>
            <w:noProof/>
            <w:webHidden/>
          </w:rPr>
          <w:fldChar w:fldCharType="separate"/>
        </w:r>
        <w:r w:rsidR="000B048F">
          <w:rPr>
            <w:noProof/>
            <w:webHidden/>
          </w:rPr>
          <w:t>3</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62" w:history="1">
        <w:r w:rsidR="0025126B" w:rsidRPr="008A04DE">
          <w:rPr>
            <w:rStyle w:val="Hyperlink"/>
            <w:noProof/>
          </w:rPr>
          <w:t>3.</w:t>
        </w:r>
        <w:r w:rsidR="0025126B">
          <w:rPr>
            <w:rFonts w:eastAsiaTheme="minorEastAsia" w:cstheme="minorBidi"/>
            <w:b w:val="0"/>
            <w:noProof/>
            <w:lang w:eastAsia="en-NZ" w:bidi="ar-SA"/>
          </w:rPr>
          <w:tab/>
        </w:r>
        <w:r w:rsidR="0025126B" w:rsidRPr="008A04DE">
          <w:rPr>
            <w:rStyle w:val="Hyperlink"/>
            <w:noProof/>
          </w:rPr>
          <w:t>This Report</w:t>
        </w:r>
        <w:r w:rsidR="0025126B">
          <w:rPr>
            <w:noProof/>
            <w:webHidden/>
          </w:rPr>
          <w:tab/>
        </w:r>
        <w:r w:rsidR="0025126B">
          <w:rPr>
            <w:noProof/>
            <w:webHidden/>
          </w:rPr>
          <w:fldChar w:fldCharType="begin"/>
        </w:r>
        <w:r w:rsidR="0025126B">
          <w:rPr>
            <w:noProof/>
            <w:webHidden/>
          </w:rPr>
          <w:instrText xml:space="preserve"> PAGEREF _Toc506278062 \h </w:instrText>
        </w:r>
        <w:r w:rsidR="0025126B">
          <w:rPr>
            <w:noProof/>
            <w:webHidden/>
          </w:rPr>
        </w:r>
        <w:r w:rsidR="0025126B">
          <w:rPr>
            <w:noProof/>
            <w:webHidden/>
          </w:rPr>
          <w:fldChar w:fldCharType="separate"/>
        </w:r>
        <w:r w:rsidR="000B048F">
          <w:rPr>
            <w:noProof/>
            <w:webHidden/>
          </w:rPr>
          <w:t>4</w:t>
        </w:r>
        <w:r w:rsidR="0025126B">
          <w:rPr>
            <w:noProof/>
            <w:webHidden/>
          </w:rPr>
          <w:fldChar w:fldCharType="end"/>
        </w:r>
      </w:hyperlink>
    </w:p>
    <w:p w:rsidR="0025126B" w:rsidRDefault="00CF696F">
      <w:pPr>
        <w:pStyle w:val="TOC1"/>
        <w:rPr>
          <w:rFonts w:eastAsiaTheme="minorEastAsia" w:cstheme="minorBidi"/>
          <w:b w:val="0"/>
          <w:noProof/>
          <w:sz w:val="22"/>
          <w:szCs w:val="22"/>
          <w:lang w:eastAsia="en-NZ" w:bidi="ar-SA"/>
        </w:rPr>
      </w:pPr>
      <w:hyperlink w:anchor="_Toc506278063" w:history="1">
        <w:r w:rsidR="0025126B" w:rsidRPr="008A04DE">
          <w:rPr>
            <w:rStyle w:val="Hyperlink"/>
            <w:noProof/>
          </w:rPr>
          <w:t>COMPLAINTS RECEIVED</w:t>
        </w:r>
        <w:r w:rsidR="0025126B">
          <w:rPr>
            <w:noProof/>
            <w:webHidden/>
          </w:rPr>
          <w:tab/>
        </w:r>
        <w:r w:rsidR="0025126B">
          <w:rPr>
            <w:noProof/>
            <w:webHidden/>
          </w:rPr>
          <w:fldChar w:fldCharType="begin"/>
        </w:r>
        <w:r w:rsidR="0025126B">
          <w:rPr>
            <w:noProof/>
            <w:webHidden/>
          </w:rPr>
          <w:instrText xml:space="preserve"> PAGEREF _Toc506278063 \h </w:instrText>
        </w:r>
        <w:r w:rsidR="0025126B">
          <w:rPr>
            <w:noProof/>
            <w:webHidden/>
          </w:rPr>
        </w:r>
        <w:r w:rsidR="0025126B">
          <w:rPr>
            <w:noProof/>
            <w:webHidden/>
          </w:rPr>
          <w:fldChar w:fldCharType="separate"/>
        </w:r>
        <w:r w:rsidR="000B048F">
          <w:rPr>
            <w:noProof/>
            <w:webHidden/>
          </w:rPr>
          <w:t>5</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64" w:history="1">
        <w:r w:rsidR="0025126B" w:rsidRPr="008A04DE">
          <w:rPr>
            <w:rStyle w:val="Hyperlink"/>
            <w:noProof/>
          </w:rPr>
          <w:t>1.</w:t>
        </w:r>
        <w:r w:rsidR="0025126B">
          <w:rPr>
            <w:rFonts w:eastAsiaTheme="minorEastAsia" w:cstheme="minorBidi"/>
            <w:b w:val="0"/>
            <w:noProof/>
            <w:lang w:eastAsia="en-NZ" w:bidi="ar-SA"/>
          </w:rPr>
          <w:tab/>
        </w:r>
        <w:r w:rsidR="0025126B" w:rsidRPr="008A04DE">
          <w:rPr>
            <w:rStyle w:val="Hyperlink"/>
            <w:noProof/>
          </w:rPr>
          <w:t>How many complaints were received?</w:t>
        </w:r>
        <w:r w:rsidR="0025126B">
          <w:rPr>
            <w:noProof/>
            <w:webHidden/>
          </w:rPr>
          <w:tab/>
        </w:r>
        <w:r w:rsidR="0025126B">
          <w:rPr>
            <w:noProof/>
            <w:webHidden/>
          </w:rPr>
          <w:fldChar w:fldCharType="begin"/>
        </w:r>
        <w:r w:rsidR="0025126B">
          <w:rPr>
            <w:noProof/>
            <w:webHidden/>
          </w:rPr>
          <w:instrText xml:space="preserve"> PAGEREF _Toc506278064 \h </w:instrText>
        </w:r>
        <w:r w:rsidR="0025126B">
          <w:rPr>
            <w:noProof/>
            <w:webHidden/>
          </w:rPr>
        </w:r>
        <w:r w:rsidR="0025126B">
          <w:rPr>
            <w:noProof/>
            <w:webHidden/>
          </w:rPr>
          <w:fldChar w:fldCharType="separate"/>
        </w:r>
        <w:r w:rsidR="000B048F">
          <w:rPr>
            <w:noProof/>
            <w:webHidden/>
          </w:rPr>
          <w:t>5</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65" w:history="1">
        <w:r w:rsidR="0025126B" w:rsidRPr="008A04DE">
          <w:rPr>
            <w:rStyle w:val="Hyperlink"/>
            <w:b/>
            <w:noProof/>
          </w:rPr>
          <w:t>1.1</w:t>
        </w:r>
        <w:r w:rsidR="0025126B">
          <w:rPr>
            <w:rFonts w:eastAsiaTheme="minorEastAsia" w:cstheme="minorBidi"/>
            <w:noProof/>
            <w:lang w:eastAsia="en-NZ" w:bidi="ar-SA"/>
          </w:rPr>
          <w:tab/>
        </w:r>
        <w:r w:rsidR="0025126B" w:rsidRPr="008A04DE">
          <w:rPr>
            <w:rStyle w:val="Hyperlink"/>
            <w:b/>
            <w:noProof/>
          </w:rPr>
          <w:t>Number of complaints received</w:t>
        </w:r>
        <w:r w:rsidR="0025126B">
          <w:rPr>
            <w:noProof/>
            <w:webHidden/>
          </w:rPr>
          <w:tab/>
        </w:r>
        <w:r w:rsidR="0025126B">
          <w:rPr>
            <w:noProof/>
            <w:webHidden/>
          </w:rPr>
          <w:fldChar w:fldCharType="begin"/>
        </w:r>
        <w:r w:rsidR="0025126B">
          <w:rPr>
            <w:noProof/>
            <w:webHidden/>
          </w:rPr>
          <w:instrText xml:space="preserve"> PAGEREF _Toc506278065 \h </w:instrText>
        </w:r>
        <w:r w:rsidR="0025126B">
          <w:rPr>
            <w:noProof/>
            <w:webHidden/>
          </w:rPr>
        </w:r>
        <w:r w:rsidR="0025126B">
          <w:rPr>
            <w:noProof/>
            <w:webHidden/>
          </w:rPr>
          <w:fldChar w:fldCharType="separate"/>
        </w:r>
        <w:r w:rsidR="000B048F">
          <w:rPr>
            <w:noProof/>
            <w:webHidden/>
          </w:rPr>
          <w:t>5</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66" w:history="1">
        <w:r w:rsidR="0025126B" w:rsidRPr="008A04DE">
          <w:rPr>
            <w:rStyle w:val="Hyperlink"/>
            <w:b/>
            <w:noProof/>
          </w:rPr>
          <w:t>1.2</w:t>
        </w:r>
        <w:r w:rsidR="0025126B">
          <w:rPr>
            <w:rFonts w:eastAsiaTheme="minorEastAsia" w:cstheme="minorBidi"/>
            <w:noProof/>
            <w:lang w:eastAsia="en-NZ" w:bidi="ar-SA"/>
          </w:rPr>
          <w:tab/>
        </w:r>
        <w:r w:rsidR="0025126B" w:rsidRPr="008A04DE">
          <w:rPr>
            <w:rStyle w:val="Hyperlink"/>
            <w:b/>
            <w:noProof/>
          </w:rPr>
          <w:t xml:space="preserve"> Rate of complaints received</w:t>
        </w:r>
        <w:r w:rsidR="0025126B">
          <w:rPr>
            <w:noProof/>
            <w:webHidden/>
          </w:rPr>
          <w:tab/>
        </w:r>
        <w:r w:rsidR="0025126B">
          <w:rPr>
            <w:noProof/>
            <w:webHidden/>
          </w:rPr>
          <w:fldChar w:fldCharType="begin"/>
        </w:r>
        <w:r w:rsidR="0025126B">
          <w:rPr>
            <w:noProof/>
            <w:webHidden/>
          </w:rPr>
          <w:instrText xml:space="preserve"> PAGEREF _Toc506278066 \h </w:instrText>
        </w:r>
        <w:r w:rsidR="0025126B">
          <w:rPr>
            <w:noProof/>
            <w:webHidden/>
          </w:rPr>
        </w:r>
        <w:r w:rsidR="0025126B">
          <w:rPr>
            <w:noProof/>
            <w:webHidden/>
          </w:rPr>
          <w:fldChar w:fldCharType="separate"/>
        </w:r>
        <w:r w:rsidR="000B048F">
          <w:rPr>
            <w:noProof/>
            <w:webHidden/>
          </w:rPr>
          <w:t>6</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67" w:history="1">
        <w:r w:rsidR="0025126B" w:rsidRPr="008A04DE">
          <w:rPr>
            <w:rStyle w:val="Hyperlink"/>
            <w:noProof/>
          </w:rPr>
          <w:t>2.</w:t>
        </w:r>
        <w:r w:rsidR="0025126B">
          <w:rPr>
            <w:rFonts w:eastAsiaTheme="minorEastAsia" w:cstheme="minorBidi"/>
            <w:b w:val="0"/>
            <w:noProof/>
            <w:lang w:eastAsia="en-NZ" w:bidi="ar-SA"/>
          </w:rPr>
          <w:tab/>
        </w:r>
        <w:r w:rsidR="0025126B" w:rsidRPr="008A04DE">
          <w:rPr>
            <w:rStyle w:val="Hyperlink"/>
            <w:noProof/>
          </w:rPr>
          <w:t>Which DHB services were complained about?</w:t>
        </w:r>
        <w:r w:rsidR="0025126B">
          <w:rPr>
            <w:noProof/>
            <w:webHidden/>
          </w:rPr>
          <w:tab/>
        </w:r>
        <w:r w:rsidR="0025126B">
          <w:rPr>
            <w:noProof/>
            <w:webHidden/>
          </w:rPr>
          <w:fldChar w:fldCharType="begin"/>
        </w:r>
        <w:r w:rsidR="0025126B">
          <w:rPr>
            <w:noProof/>
            <w:webHidden/>
          </w:rPr>
          <w:instrText xml:space="preserve"> PAGEREF _Toc506278067 \h </w:instrText>
        </w:r>
        <w:r w:rsidR="0025126B">
          <w:rPr>
            <w:noProof/>
            <w:webHidden/>
          </w:rPr>
        </w:r>
        <w:r w:rsidR="0025126B">
          <w:rPr>
            <w:noProof/>
            <w:webHidden/>
          </w:rPr>
          <w:fldChar w:fldCharType="separate"/>
        </w:r>
        <w:r w:rsidR="000B048F">
          <w:rPr>
            <w:noProof/>
            <w:webHidden/>
          </w:rPr>
          <w:t>8</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68" w:history="1">
        <w:r w:rsidR="0025126B" w:rsidRPr="008A04DE">
          <w:rPr>
            <w:rStyle w:val="Hyperlink"/>
            <w:b/>
            <w:noProof/>
          </w:rPr>
          <w:t>2.1</w:t>
        </w:r>
        <w:r w:rsidR="0025126B">
          <w:rPr>
            <w:rFonts w:eastAsiaTheme="minorEastAsia" w:cstheme="minorBidi"/>
            <w:noProof/>
            <w:lang w:eastAsia="en-NZ" w:bidi="ar-SA"/>
          </w:rPr>
          <w:tab/>
        </w:r>
        <w:r w:rsidR="0025126B" w:rsidRPr="008A04DE">
          <w:rPr>
            <w:rStyle w:val="Hyperlink"/>
            <w:b/>
            <w:noProof/>
          </w:rPr>
          <w:t xml:space="preserve"> DHB service types complained about</w:t>
        </w:r>
        <w:r w:rsidR="0025126B">
          <w:rPr>
            <w:noProof/>
            <w:webHidden/>
          </w:rPr>
          <w:tab/>
        </w:r>
        <w:r w:rsidR="0025126B">
          <w:rPr>
            <w:noProof/>
            <w:webHidden/>
          </w:rPr>
          <w:fldChar w:fldCharType="begin"/>
        </w:r>
        <w:r w:rsidR="0025126B">
          <w:rPr>
            <w:noProof/>
            <w:webHidden/>
          </w:rPr>
          <w:instrText xml:space="preserve"> PAGEREF _Toc506278068 \h </w:instrText>
        </w:r>
        <w:r w:rsidR="0025126B">
          <w:rPr>
            <w:noProof/>
            <w:webHidden/>
          </w:rPr>
        </w:r>
        <w:r w:rsidR="0025126B">
          <w:rPr>
            <w:noProof/>
            <w:webHidden/>
          </w:rPr>
          <w:fldChar w:fldCharType="separate"/>
        </w:r>
        <w:r w:rsidR="000B048F">
          <w:rPr>
            <w:noProof/>
            <w:webHidden/>
          </w:rPr>
          <w:t>8</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69" w:history="1">
        <w:r w:rsidR="0025126B" w:rsidRPr="008A04DE">
          <w:rPr>
            <w:rStyle w:val="Hyperlink"/>
            <w:b/>
            <w:noProof/>
          </w:rPr>
          <w:t>2.2</w:t>
        </w:r>
        <w:r w:rsidR="0025126B">
          <w:rPr>
            <w:rFonts w:eastAsiaTheme="minorEastAsia" w:cstheme="minorBidi"/>
            <w:noProof/>
            <w:lang w:eastAsia="en-NZ" w:bidi="ar-SA"/>
          </w:rPr>
          <w:tab/>
        </w:r>
        <w:r w:rsidR="0025126B" w:rsidRPr="008A04DE">
          <w:rPr>
            <w:rStyle w:val="Hyperlink"/>
            <w:b/>
            <w:noProof/>
          </w:rPr>
          <w:t xml:space="preserve"> Professions of individual providers complained about</w:t>
        </w:r>
        <w:r w:rsidR="0025126B">
          <w:rPr>
            <w:noProof/>
            <w:webHidden/>
          </w:rPr>
          <w:tab/>
        </w:r>
        <w:r w:rsidR="0025126B">
          <w:rPr>
            <w:noProof/>
            <w:webHidden/>
          </w:rPr>
          <w:fldChar w:fldCharType="begin"/>
        </w:r>
        <w:r w:rsidR="0025126B">
          <w:rPr>
            <w:noProof/>
            <w:webHidden/>
          </w:rPr>
          <w:instrText xml:space="preserve"> PAGEREF _Toc506278069 \h </w:instrText>
        </w:r>
        <w:r w:rsidR="0025126B">
          <w:rPr>
            <w:noProof/>
            <w:webHidden/>
          </w:rPr>
        </w:r>
        <w:r w:rsidR="0025126B">
          <w:rPr>
            <w:noProof/>
            <w:webHidden/>
          </w:rPr>
          <w:fldChar w:fldCharType="separate"/>
        </w:r>
        <w:r w:rsidR="000B048F">
          <w:rPr>
            <w:noProof/>
            <w:webHidden/>
          </w:rPr>
          <w:t>12</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70" w:history="1">
        <w:r w:rsidR="0025126B" w:rsidRPr="008A04DE">
          <w:rPr>
            <w:rStyle w:val="Hyperlink"/>
            <w:noProof/>
          </w:rPr>
          <w:t>3.</w:t>
        </w:r>
        <w:r w:rsidR="0025126B">
          <w:rPr>
            <w:rFonts w:eastAsiaTheme="minorEastAsia" w:cstheme="minorBidi"/>
            <w:b w:val="0"/>
            <w:noProof/>
            <w:lang w:eastAsia="en-NZ" w:bidi="ar-SA"/>
          </w:rPr>
          <w:tab/>
        </w:r>
        <w:r w:rsidR="0025126B" w:rsidRPr="008A04DE">
          <w:rPr>
            <w:rStyle w:val="Hyperlink"/>
            <w:noProof/>
          </w:rPr>
          <w:t>What did people complain about?</w:t>
        </w:r>
        <w:r w:rsidR="0025126B">
          <w:rPr>
            <w:noProof/>
            <w:webHidden/>
          </w:rPr>
          <w:tab/>
        </w:r>
        <w:r w:rsidR="0025126B">
          <w:rPr>
            <w:noProof/>
            <w:webHidden/>
          </w:rPr>
          <w:fldChar w:fldCharType="begin"/>
        </w:r>
        <w:r w:rsidR="0025126B">
          <w:rPr>
            <w:noProof/>
            <w:webHidden/>
          </w:rPr>
          <w:instrText xml:space="preserve"> PAGEREF _Toc506278070 \h </w:instrText>
        </w:r>
        <w:r w:rsidR="0025126B">
          <w:rPr>
            <w:noProof/>
            <w:webHidden/>
          </w:rPr>
        </w:r>
        <w:r w:rsidR="0025126B">
          <w:rPr>
            <w:noProof/>
            <w:webHidden/>
          </w:rPr>
          <w:fldChar w:fldCharType="separate"/>
        </w:r>
        <w:r w:rsidR="000B048F">
          <w:rPr>
            <w:noProof/>
            <w:webHidden/>
          </w:rPr>
          <w:t>15</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71" w:history="1">
        <w:r w:rsidR="0025126B" w:rsidRPr="008A04DE">
          <w:rPr>
            <w:rStyle w:val="Hyperlink"/>
            <w:b/>
            <w:noProof/>
          </w:rPr>
          <w:t>3.1</w:t>
        </w:r>
        <w:r w:rsidR="0025126B">
          <w:rPr>
            <w:rFonts w:eastAsiaTheme="minorEastAsia" w:cstheme="minorBidi"/>
            <w:noProof/>
            <w:lang w:eastAsia="en-NZ" w:bidi="ar-SA"/>
          </w:rPr>
          <w:tab/>
        </w:r>
        <w:r w:rsidR="0025126B" w:rsidRPr="008A04DE">
          <w:rPr>
            <w:rStyle w:val="Hyperlink"/>
            <w:b/>
            <w:noProof/>
          </w:rPr>
          <w:t>Issues identified in complaints</w:t>
        </w:r>
        <w:r w:rsidR="0025126B">
          <w:rPr>
            <w:noProof/>
            <w:webHidden/>
          </w:rPr>
          <w:tab/>
        </w:r>
        <w:r w:rsidR="0025126B">
          <w:rPr>
            <w:noProof/>
            <w:webHidden/>
          </w:rPr>
          <w:fldChar w:fldCharType="begin"/>
        </w:r>
        <w:r w:rsidR="0025126B">
          <w:rPr>
            <w:noProof/>
            <w:webHidden/>
          </w:rPr>
          <w:instrText xml:space="preserve"> PAGEREF _Toc506278071 \h </w:instrText>
        </w:r>
        <w:r w:rsidR="0025126B">
          <w:rPr>
            <w:noProof/>
            <w:webHidden/>
          </w:rPr>
        </w:r>
        <w:r w:rsidR="0025126B">
          <w:rPr>
            <w:noProof/>
            <w:webHidden/>
          </w:rPr>
          <w:fldChar w:fldCharType="separate"/>
        </w:r>
        <w:r w:rsidR="000B048F">
          <w:rPr>
            <w:noProof/>
            <w:webHidden/>
          </w:rPr>
          <w:t>15</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72" w:history="1">
        <w:r w:rsidR="0025126B" w:rsidRPr="008A04DE">
          <w:rPr>
            <w:rStyle w:val="Hyperlink"/>
            <w:b/>
            <w:noProof/>
          </w:rPr>
          <w:t>3.2</w:t>
        </w:r>
        <w:r w:rsidR="0025126B">
          <w:rPr>
            <w:rFonts w:eastAsiaTheme="minorEastAsia" w:cstheme="minorBidi"/>
            <w:noProof/>
            <w:lang w:eastAsia="en-NZ" w:bidi="ar-SA"/>
          </w:rPr>
          <w:tab/>
        </w:r>
        <w:r w:rsidR="0025126B" w:rsidRPr="008A04DE">
          <w:rPr>
            <w:rStyle w:val="Hyperlink"/>
            <w:b/>
            <w:noProof/>
          </w:rPr>
          <w:t>Complaint issues by service type</w:t>
        </w:r>
        <w:r w:rsidR="0025126B">
          <w:rPr>
            <w:noProof/>
            <w:webHidden/>
          </w:rPr>
          <w:tab/>
        </w:r>
        <w:r w:rsidR="0025126B">
          <w:rPr>
            <w:noProof/>
            <w:webHidden/>
          </w:rPr>
          <w:fldChar w:fldCharType="begin"/>
        </w:r>
        <w:r w:rsidR="0025126B">
          <w:rPr>
            <w:noProof/>
            <w:webHidden/>
          </w:rPr>
          <w:instrText xml:space="preserve"> PAGEREF _Toc506278072 \h </w:instrText>
        </w:r>
        <w:r w:rsidR="0025126B">
          <w:rPr>
            <w:noProof/>
            <w:webHidden/>
          </w:rPr>
        </w:r>
        <w:r w:rsidR="0025126B">
          <w:rPr>
            <w:noProof/>
            <w:webHidden/>
          </w:rPr>
          <w:fldChar w:fldCharType="separate"/>
        </w:r>
        <w:r w:rsidR="000B048F">
          <w:rPr>
            <w:noProof/>
            <w:webHidden/>
          </w:rPr>
          <w:t>23</w:t>
        </w:r>
        <w:r w:rsidR="0025126B">
          <w:rPr>
            <w:noProof/>
            <w:webHidden/>
          </w:rPr>
          <w:fldChar w:fldCharType="end"/>
        </w:r>
      </w:hyperlink>
    </w:p>
    <w:p w:rsidR="0025126B" w:rsidRDefault="00CF696F">
      <w:pPr>
        <w:pStyle w:val="TOC1"/>
        <w:rPr>
          <w:rFonts w:eastAsiaTheme="minorEastAsia" w:cstheme="minorBidi"/>
          <w:b w:val="0"/>
          <w:noProof/>
          <w:sz w:val="22"/>
          <w:szCs w:val="22"/>
          <w:lang w:eastAsia="en-NZ" w:bidi="ar-SA"/>
        </w:rPr>
      </w:pPr>
      <w:hyperlink w:anchor="_Toc506278073" w:history="1">
        <w:r w:rsidR="0025126B" w:rsidRPr="008A04DE">
          <w:rPr>
            <w:rStyle w:val="Hyperlink"/>
            <w:noProof/>
          </w:rPr>
          <w:t>COMPLAINTS CLOSED</w:t>
        </w:r>
        <w:r w:rsidR="0025126B">
          <w:rPr>
            <w:noProof/>
            <w:webHidden/>
          </w:rPr>
          <w:tab/>
        </w:r>
        <w:r w:rsidR="0025126B">
          <w:rPr>
            <w:noProof/>
            <w:webHidden/>
          </w:rPr>
          <w:fldChar w:fldCharType="begin"/>
        </w:r>
        <w:r w:rsidR="0025126B">
          <w:rPr>
            <w:noProof/>
            <w:webHidden/>
          </w:rPr>
          <w:instrText xml:space="preserve"> PAGEREF _Toc506278073 \h </w:instrText>
        </w:r>
        <w:r w:rsidR="0025126B">
          <w:rPr>
            <w:noProof/>
            <w:webHidden/>
          </w:rPr>
        </w:r>
        <w:r w:rsidR="0025126B">
          <w:rPr>
            <w:noProof/>
            <w:webHidden/>
          </w:rPr>
          <w:fldChar w:fldCharType="separate"/>
        </w:r>
        <w:r w:rsidR="000B048F">
          <w:rPr>
            <w:noProof/>
            <w:webHidden/>
          </w:rPr>
          <w:t>29</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74" w:history="1">
        <w:r w:rsidR="0025126B" w:rsidRPr="008A04DE">
          <w:rPr>
            <w:rStyle w:val="Hyperlink"/>
            <w:noProof/>
          </w:rPr>
          <w:t>1. What were the outcomes of the complaints closed?</w:t>
        </w:r>
        <w:r w:rsidR="0025126B">
          <w:rPr>
            <w:noProof/>
            <w:webHidden/>
          </w:rPr>
          <w:tab/>
        </w:r>
        <w:r w:rsidR="0025126B">
          <w:rPr>
            <w:noProof/>
            <w:webHidden/>
          </w:rPr>
          <w:fldChar w:fldCharType="begin"/>
        </w:r>
        <w:r w:rsidR="0025126B">
          <w:rPr>
            <w:noProof/>
            <w:webHidden/>
          </w:rPr>
          <w:instrText xml:space="preserve"> PAGEREF _Toc506278074 \h </w:instrText>
        </w:r>
        <w:r w:rsidR="0025126B">
          <w:rPr>
            <w:noProof/>
            <w:webHidden/>
          </w:rPr>
        </w:r>
        <w:r w:rsidR="0025126B">
          <w:rPr>
            <w:noProof/>
            <w:webHidden/>
          </w:rPr>
          <w:fldChar w:fldCharType="separate"/>
        </w:r>
        <w:r w:rsidR="000B048F">
          <w:rPr>
            <w:noProof/>
            <w:webHidden/>
          </w:rPr>
          <w:t>29</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75" w:history="1">
        <w:r w:rsidR="0025126B" w:rsidRPr="008A04DE">
          <w:rPr>
            <w:rStyle w:val="Hyperlink"/>
            <w:b/>
            <w:noProof/>
            <w:lang w:val="en-AU"/>
          </w:rPr>
          <w:t xml:space="preserve">1.1 </w:t>
        </w:r>
        <w:r w:rsidR="0025126B">
          <w:rPr>
            <w:rFonts w:eastAsiaTheme="minorEastAsia" w:cstheme="minorBidi"/>
            <w:noProof/>
            <w:lang w:eastAsia="en-NZ" w:bidi="ar-SA"/>
          </w:rPr>
          <w:tab/>
        </w:r>
        <w:r w:rsidR="0025126B" w:rsidRPr="008A04DE">
          <w:rPr>
            <w:rStyle w:val="Hyperlink"/>
            <w:b/>
            <w:noProof/>
            <w:lang w:val="en-AU"/>
          </w:rPr>
          <w:t>Available resolution options</w:t>
        </w:r>
        <w:r w:rsidR="0025126B">
          <w:rPr>
            <w:noProof/>
            <w:webHidden/>
          </w:rPr>
          <w:tab/>
        </w:r>
        <w:r w:rsidR="0025126B">
          <w:rPr>
            <w:noProof/>
            <w:webHidden/>
          </w:rPr>
          <w:fldChar w:fldCharType="begin"/>
        </w:r>
        <w:r w:rsidR="0025126B">
          <w:rPr>
            <w:noProof/>
            <w:webHidden/>
          </w:rPr>
          <w:instrText xml:space="preserve"> PAGEREF _Toc506278075 \h </w:instrText>
        </w:r>
        <w:r w:rsidR="0025126B">
          <w:rPr>
            <w:noProof/>
            <w:webHidden/>
          </w:rPr>
        </w:r>
        <w:r w:rsidR="0025126B">
          <w:rPr>
            <w:noProof/>
            <w:webHidden/>
          </w:rPr>
          <w:fldChar w:fldCharType="separate"/>
        </w:r>
        <w:r w:rsidR="000B048F">
          <w:rPr>
            <w:noProof/>
            <w:webHidden/>
          </w:rPr>
          <w:t>29</w:t>
        </w:r>
        <w:r w:rsidR="0025126B">
          <w:rPr>
            <w:noProof/>
            <w:webHidden/>
          </w:rPr>
          <w:fldChar w:fldCharType="end"/>
        </w:r>
      </w:hyperlink>
    </w:p>
    <w:p w:rsidR="0025126B" w:rsidRDefault="00CF696F">
      <w:pPr>
        <w:pStyle w:val="TOC3"/>
        <w:rPr>
          <w:rFonts w:eastAsiaTheme="minorEastAsia" w:cstheme="minorBidi"/>
          <w:noProof/>
          <w:lang w:eastAsia="en-NZ" w:bidi="ar-SA"/>
        </w:rPr>
      </w:pPr>
      <w:hyperlink w:anchor="_Toc506278076" w:history="1">
        <w:r w:rsidR="0025126B" w:rsidRPr="008A04DE">
          <w:rPr>
            <w:rStyle w:val="Hyperlink"/>
            <w:b/>
            <w:noProof/>
            <w:lang w:eastAsia="en-NZ"/>
          </w:rPr>
          <w:t>1.2</w:t>
        </w:r>
        <w:r w:rsidR="0025126B">
          <w:rPr>
            <w:rFonts w:eastAsiaTheme="minorEastAsia" w:cstheme="minorBidi"/>
            <w:noProof/>
            <w:lang w:eastAsia="en-NZ" w:bidi="ar-SA"/>
          </w:rPr>
          <w:tab/>
        </w:r>
        <w:r w:rsidR="0025126B" w:rsidRPr="008A04DE">
          <w:rPr>
            <w:rStyle w:val="Hyperlink"/>
            <w:b/>
            <w:noProof/>
            <w:lang w:eastAsia="en-NZ"/>
          </w:rPr>
          <w:t>Manner of resolution and outcomes in complaints closed</w:t>
        </w:r>
        <w:r w:rsidR="0025126B">
          <w:rPr>
            <w:noProof/>
            <w:webHidden/>
          </w:rPr>
          <w:tab/>
        </w:r>
        <w:r w:rsidR="0025126B">
          <w:rPr>
            <w:noProof/>
            <w:webHidden/>
          </w:rPr>
          <w:fldChar w:fldCharType="begin"/>
        </w:r>
        <w:r w:rsidR="0025126B">
          <w:rPr>
            <w:noProof/>
            <w:webHidden/>
          </w:rPr>
          <w:instrText xml:space="preserve"> PAGEREF _Toc506278076 \h </w:instrText>
        </w:r>
        <w:r w:rsidR="0025126B">
          <w:rPr>
            <w:noProof/>
            <w:webHidden/>
          </w:rPr>
        </w:r>
        <w:r w:rsidR="0025126B">
          <w:rPr>
            <w:noProof/>
            <w:webHidden/>
          </w:rPr>
          <w:fldChar w:fldCharType="separate"/>
        </w:r>
        <w:r w:rsidR="000B048F">
          <w:rPr>
            <w:noProof/>
            <w:webHidden/>
          </w:rPr>
          <w:t>30</w:t>
        </w:r>
        <w:r w:rsidR="0025126B">
          <w:rPr>
            <w:noProof/>
            <w:webHidden/>
          </w:rPr>
          <w:fldChar w:fldCharType="end"/>
        </w:r>
      </w:hyperlink>
    </w:p>
    <w:p w:rsidR="0025126B" w:rsidRDefault="00CF696F">
      <w:pPr>
        <w:pStyle w:val="TOC2"/>
        <w:rPr>
          <w:rFonts w:eastAsiaTheme="minorEastAsia" w:cstheme="minorBidi"/>
          <w:b w:val="0"/>
          <w:noProof/>
          <w:lang w:eastAsia="en-NZ" w:bidi="ar-SA"/>
        </w:rPr>
      </w:pPr>
      <w:hyperlink w:anchor="_Toc506278077" w:history="1">
        <w:r w:rsidR="0025126B" w:rsidRPr="008A04DE">
          <w:rPr>
            <w:rStyle w:val="Hyperlink"/>
            <w:noProof/>
          </w:rPr>
          <w:t>2.</w:t>
        </w:r>
        <w:r w:rsidR="0025126B">
          <w:rPr>
            <w:rFonts w:eastAsiaTheme="minorEastAsia" w:cstheme="minorBidi"/>
            <w:b w:val="0"/>
            <w:noProof/>
            <w:lang w:eastAsia="en-NZ" w:bidi="ar-SA"/>
          </w:rPr>
          <w:tab/>
        </w:r>
        <w:r w:rsidR="0025126B" w:rsidRPr="008A04DE">
          <w:rPr>
            <w:rStyle w:val="Hyperlink"/>
            <w:noProof/>
          </w:rPr>
          <w:t>Recommendations made to DHBs following resolution of complaints</w:t>
        </w:r>
        <w:r w:rsidR="0025126B">
          <w:rPr>
            <w:noProof/>
            <w:webHidden/>
          </w:rPr>
          <w:tab/>
        </w:r>
        <w:r w:rsidR="0025126B">
          <w:rPr>
            <w:noProof/>
            <w:webHidden/>
          </w:rPr>
          <w:fldChar w:fldCharType="begin"/>
        </w:r>
        <w:r w:rsidR="0025126B">
          <w:rPr>
            <w:noProof/>
            <w:webHidden/>
          </w:rPr>
          <w:instrText xml:space="preserve"> PAGEREF _Toc506278077 \h </w:instrText>
        </w:r>
        <w:r w:rsidR="0025126B">
          <w:rPr>
            <w:noProof/>
            <w:webHidden/>
          </w:rPr>
        </w:r>
        <w:r w:rsidR="0025126B">
          <w:rPr>
            <w:noProof/>
            <w:webHidden/>
          </w:rPr>
          <w:fldChar w:fldCharType="separate"/>
        </w:r>
        <w:r w:rsidR="000B048F">
          <w:rPr>
            <w:noProof/>
            <w:webHidden/>
          </w:rPr>
          <w:t>31</w:t>
        </w:r>
        <w:r w:rsidR="0025126B">
          <w:rPr>
            <w:noProof/>
            <w:webHidden/>
          </w:rPr>
          <w:fldChar w:fldCharType="end"/>
        </w:r>
      </w:hyperlink>
    </w:p>
    <w:p w:rsidR="00E129ED" w:rsidRPr="00666BAC" w:rsidRDefault="00E129ED" w:rsidP="00E129ED">
      <w:pPr>
        <w:jc w:val="left"/>
        <w:rPr>
          <w:b/>
          <w:color w:val="000000" w:themeColor="text1"/>
          <w:sz w:val="32"/>
          <w:szCs w:val="32"/>
        </w:rPr>
      </w:pPr>
      <w:r w:rsidRPr="00666BAC">
        <w:rPr>
          <w:b/>
          <w:color w:val="000000" w:themeColor="text1"/>
          <w:sz w:val="32"/>
          <w:szCs w:val="32"/>
        </w:rPr>
        <w:fldChar w:fldCharType="end"/>
      </w:r>
    </w:p>
    <w:p w:rsidR="00E129ED" w:rsidRPr="00666BAC" w:rsidRDefault="00E129ED" w:rsidP="00E129ED">
      <w:pPr>
        <w:jc w:val="left"/>
        <w:rPr>
          <w:b/>
          <w:color w:val="000000" w:themeColor="text1"/>
          <w:sz w:val="32"/>
          <w:szCs w:val="32"/>
        </w:rPr>
        <w:sectPr w:rsidR="00E129ED" w:rsidRPr="00666BAC" w:rsidSect="00540962">
          <w:headerReference w:type="default" r:id="rId12"/>
          <w:footerReference w:type="default" r:id="rId13"/>
          <w:headerReference w:type="first" r:id="rId14"/>
          <w:footerReference w:type="first" r:id="rId15"/>
          <w:pgSz w:w="11906" w:h="16838" w:code="9"/>
          <w:pgMar w:top="1140" w:right="1412" w:bottom="851" w:left="1412" w:header="720" w:footer="590" w:gutter="0"/>
          <w:pgNumType w:fmt="lowerRoman" w:start="1"/>
          <w:cols w:space="720"/>
          <w:titlePg/>
          <w:docGrid w:linePitch="360"/>
        </w:sectPr>
      </w:pPr>
    </w:p>
    <w:p w:rsidR="0076672D" w:rsidRDefault="003D7EDA" w:rsidP="00F85294">
      <w:pPr>
        <w:pStyle w:val="Heading1"/>
        <w:spacing w:before="240"/>
        <w:rPr>
          <w:color w:val="C00000"/>
          <w:sz w:val="40"/>
          <w:szCs w:val="40"/>
          <w:lang w:val="en-NZ"/>
        </w:rPr>
      </w:pPr>
      <w:bookmarkStart w:id="1" w:name="_Toc506278057"/>
      <w:r w:rsidRPr="00666BAC">
        <w:rPr>
          <w:color w:val="C00000"/>
          <w:sz w:val="40"/>
          <w:szCs w:val="40"/>
          <w:lang w:val="en-NZ"/>
        </w:rPr>
        <w:lastRenderedPageBreak/>
        <w:t>COMMISSIONER’S FOREWORD</w:t>
      </w:r>
      <w:bookmarkEnd w:id="1"/>
    </w:p>
    <w:p w:rsidR="005D7EF3" w:rsidRDefault="005D7EF3" w:rsidP="005D7EF3">
      <w:pPr>
        <w:rPr>
          <w:szCs w:val="22"/>
        </w:rPr>
      </w:pPr>
      <w:r>
        <w:t>I am pleased to present HDC’s analysis of complaints received involving District Health Boards for the 2017/18 year. The aim of this report is to provide the general public and provide</w:t>
      </w:r>
      <w:r w:rsidR="003645FB">
        <w:t>rs with an understanding of the</w:t>
      </w:r>
      <w:r w:rsidRPr="00797CC2">
        <w:rPr>
          <w:szCs w:val="22"/>
        </w:rPr>
        <w:t xml:space="preserve"> types of complaints HDC receives about services run by DHBs and the positive changes that have been made to services as a result</w:t>
      </w:r>
      <w:r>
        <w:rPr>
          <w:szCs w:val="22"/>
        </w:rPr>
        <w:t xml:space="preserve"> of these complaints. </w:t>
      </w:r>
    </w:p>
    <w:p w:rsidR="00F02A3C" w:rsidRDefault="00F02A3C" w:rsidP="004626BC">
      <w:pPr>
        <w:rPr>
          <w:lang w:bidi="ar-SA"/>
        </w:rPr>
      </w:pPr>
    </w:p>
    <w:p w:rsidR="0015146E" w:rsidRDefault="0015146E" w:rsidP="004626BC">
      <w:pPr>
        <w:rPr>
          <w:szCs w:val="22"/>
        </w:rPr>
      </w:pPr>
      <w:r w:rsidRPr="00F02A3C">
        <w:rPr>
          <w:szCs w:val="22"/>
        </w:rPr>
        <w:t>DHB complaint trends have remained broad</w:t>
      </w:r>
      <w:r w:rsidR="003645FB">
        <w:rPr>
          <w:szCs w:val="22"/>
        </w:rPr>
        <w:t>ly consistent over the last five</w:t>
      </w:r>
      <w:r w:rsidRPr="00F02A3C">
        <w:rPr>
          <w:szCs w:val="22"/>
        </w:rPr>
        <w:t xml:space="preserve"> years.</w:t>
      </w:r>
      <w:r>
        <w:rPr>
          <w:szCs w:val="22"/>
        </w:rPr>
        <w:t xml:space="preserve"> The most commonly complained about service types have continued to be surgery, mental health, general medicine and emergency department services. The most common issues complained about in relation to DHB services tend to be communication issues (in regards to</w:t>
      </w:r>
      <w:r w:rsidR="003645FB">
        <w:rPr>
          <w:szCs w:val="22"/>
        </w:rPr>
        <w:t xml:space="preserve"> communication with</w:t>
      </w:r>
      <w:r>
        <w:rPr>
          <w:szCs w:val="22"/>
        </w:rPr>
        <w:t xml:space="preserve"> both consumers and their family), inadequate treatment, inadequate examinations/assessments, diagnostic issues and treatment delays.</w:t>
      </w:r>
    </w:p>
    <w:p w:rsidR="0015146E" w:rsidRDefault="0015146E" w:rsidP="004626BC">
      <w:pPr>
        <w:rPr>
          <w:szCs w:val="22"/>
        </w:rPr>
      </w:pPr>
    </w:p>
    <w:p w:rsidR="0015146E" w:rsidRDefault="0015146E" w:rsidP="004626BC">
      <w:pPr>
        <w:rPr>
          <w:szCs w:val="22"/>
        </w:rPr>
      </w:pPr>
      <w:r>
        <w:rPr>
          <w:szCs w:val="22"/>
        </w:rPr>
        <w:t xml:space="preserve">I note that complaints regarding access issues, including waiting list management/prioritisation issues, make up around a quarter of all complaints received by my Office about DHBs. In 2017/18, I </w:t>
      </w:r>
      <w:r>
        <w:t>fo</w:t>
      </w:r>
      <w:r w:rsidR="003645FB">
        <w:t>und two DHBs</w:t>
      </w:r>
      <w:r>
        <w:t xml:space="preserve"> in breach of the Code for inadequate waiting-list management and the lack of an appropriate prioritisation system. One of these cases</w:t>
      </w:r>
      <w:r w:rsidR="00A14B19">
        <w:t xml:space="preserve"> is detailed in this report and involved</w:t>
      </w:r>
      <w:r>
        <w:t xml:space="preserve"> a young man with a family history of glaucoma, who experienced a six</w:t>
      </w:r>
      <w:r w:rsidR="00A14B19">
        <w:t xml:space="preserve"> </w:t>
      </w:r>
      <w:r>
        <w:t>month delay in receiving a follow-up appointment at a DHB ophthalmology service. By the time the man was seen again, he had suffered vision loss in his right eye. The service lacked capacity, in that the clinic did not have enough appointments for the number of patients clinicians needed to see, and the DHB did not have a prioritisation system in place that focused on patients’ clinical need. The case is an important reminder that at all times, and particularly when a system is under pressure, patient prioritisation must be a key focus so that the patients with the highest clinical priority are seen first.</w:t>
      </w:r>
      <w:r w:rsidR="00A14B19">
        <w:t xml:space="preserve"> Additionally, these cases highlight the importance of providers taking proactive steps to assess, plan, adapt, and respond effectively to the foreseeable effects that new technologies and changing demographics will have on systems and demand.</w:t>
      </w:r>
    </w:p>
    <w:p w:rsidR="00A87F43" w:rsidRDefault="00A87F43" w:rsidP="004626BC"/>
    <w:p w:rsidR="00A14B19" w:rsidRDefault="00A14B19" w:rsidP="004626BC">
      <w:r>
        <w:t xml:space="preserve">As you will see as you read through this report, </w:t>
      </w:r>
      <w:r>
        <w:rPr>
          <w:lang w:bidi="ar-SA"/>
        </w:rPr>
        <w:t>inadequate follow-up of test results</w:t>
      </w:r>
      <w:r w:rsidR="0027623F">
        <w:rPr>
          <w:lang w:bidi="ar-SA"/>
        </w:rPr>
        <w:t xml:space="preserve"> and inadequate referral management</w:t>
      </w:r>
      <w:r>
        <w:rPr>
          <w:lang w:bidi="ar-SA"/>
        </w:rPr>
        <w:t xml:space="preserve"> has been a feature of a number of investigations closed by this </w:t>
      </w:r>
      <w:r w:rsidR="0027623F">
        <w:rPr>
          <w:lang w:bidi="ar-SA"/>
        </w:rPr>
        <w:t>Office</w:t>
      </w:r>
      <w:r w:rsidR="002F2899">
        <w:rPr>
          <w:lang w:bidi="ar-SA"/>
        </w:rPr>
        <w:t xml:space="preserve"> </w:t>
      </w:r>
      <w:r w:rsidR="00E75777">
        <w:rPr>
          <w:lang w:bidi="ar-SA"/>
        </w:rPr>
        <w:t>in the past year</w:t>
      </w:r>
      <w:r w:rsidR="0027623F">
        <w:rPr>
          <w:lang w:bidi="ar-SA"/>
        </w:rPr>
        <w:t>.</w:t>
      </w:r>
      <w:r>
        <w:t xml:space="preserve"> It is important that DHBs communicate </w:t>
      </w:r>
      <w:r w:rsidR="00E75777">
        <w:t xml:space="preserve">clearly to staff </w:t>
      </w:r>
      <w:r>
        <w:t xml:space="preserve">their expectations around </w:t>
      </w:r>
      <w:r w:rsidR="0027623F">
        <w:t xml:space="preserve">referral management and </w:t>
      </w:r>
      <w:r>
        <w:t>test result follow-up</w:t>
      </w:r>
      <w:r w:rsidR="002F2899">
        <w:t>,</w:t>
      </w:r>
      <w:r>
        <w:t xml:space="preserve"> and that </w:t>
      </w:r>
      <w:r w:rsidR="00E75777">
        <w:t xml:space="preserve">their </w:t>
      </w:r>
      <w:r>
        <w:t>systems have a number of defences built into them to ensure that test results</w:t>
      </w:r>
      <w:r w:rsidR="0027623F">
        <w:t xml:space="preserve"> and referrals</w:t>
      </w:r>
      <w:r>
        <w:t xml:space="preserve"> are actioned in a timely manner.</w:t>
      </w:r>
    </w:p>
    <w:p w:rsidR="00A14B19" w:rsidRDefault="00A14B19" w:rsidP="004626BC"/>
    <w:p w:rsidR="00A14B19" w:rsidRPr="00F02A3C" w:rsidRDefault="00E75777" w:rsidP="00A14B19">
      <w:pPr>
        <w:rPr>
          <w:szCs w:val="22"/>
        </w:rPr>
      </w:pPr>
      <w:r>
        <w:rPr>
          <w:szCs w:val="22"/>
        </w:rPr>
        <w:t xml:space="preserve">There is a person and </w:t>
      </w:r>
      <w:proofErr w:type="spellStart"/>
      <w:r>
        <w:rPr>
          <w:szCs w:val="22"/>
        </w:rPr>
        <w:t>wh</w:t>
      </w:r>
      <w:proofErr w:type="spellEnd"/>
      <w:r>
        <w:rPr>
          <w:szCs w:val="22"/>
          <w:lang w:val="mi-NZ"/>
        </w:rPr>
        <w:t xml:space="preserve">ānau at the centre of every one of these complaints and it is important that we all take every opportunity to learn from these cases and reduce harm in future. </w:t>
      </w:r>
      <w:r w:rsidR="00A14B19" w:rsidRPr="00F02A3C">
        <w:rPr>
          <w:szCs w:val="22"/>
        </w:rPr>
        <w:t xml:space="preserve">I trust that this report </w:t>
      </w:r>
      <w:r w:rsidR="00A14B19">
        <w:rPr>
          <w:szCs w:val="22"/>
        </w:rPr>
        <w:t>will</w:t>
      </w:r>
      <w:r w:rsidR="00A14B19" w:rsidRPr="00F02A3C">
        <w:rPr>
          <w:szCs w:val="22"/>
        </w:rPr>
        <w:t xml:space="preserve"> continue to promote ongoing quality improvement</w:t>
      </w:r>
      <w:r>
        <w:rPr>
          <w:szCs w:val="22"/>
        </w:rPr>
        <w:t xml:space="preserve"> and learning for individuals, the organisations they work for, and the wider health system they work within</w:t>
      </w:r>
      <w:r w:rsidR="00A14B19" w:rsidRPr="00F02A3C">
        <w:rPr>
          <w:szCs w:val="22"/>
        </w:rPr>
        <w:t>.</w:t>
      </w:r>
    </w:p>
    <w:p w:rsidR="00A14B19" w:rsidRDefault="00A14B19" w:rsidP="004626BC"/>
    <w:p w:rsidR="00A14B19" w:rsidRPr="00666BAC" w:rsidRDefault="00A14B19" w:rsidP="004626BC"/>
    <w:p w:rsidR="004626BC" w:rsidRPr="00666BAC" w:rsidRDefault="00F85294" w:rsidP="004626BC">
      <w:pPr>
        <w:rPr>
          <w:lang w:bidi="ar-SA"/>
        </w:rPr>
      </w:pPr>
      <w:r w:rsidRPr="00666BAC">
        <w:rPr>
          <w:lang w:bidi="ar-SA"/>
        </w:rPr>
        <w:t>Anthony Hill</w:t>
      </w:r>
    </w:p>
    <w:p w:rsidR="00F85294" w:rsidRPr="00666BAC" w:rsidRDefault="00F85294" w:rsidP="004626BC">
      <w:pPr>
        <w:rPr>
          <w:b/>
          <w:lang w:bidi="ar-SA"/>
        </w:rPr>
      </w:pPr>
      <w:r w:rsidRPr="00666BAC">
        <w:rPr>
          <w:b/>
          <w:lang w:bidi="ar-SA"/>
        </w:rPr>
        <w:t>Health and Disability Commissioner</w:t>
      </w:r>
    </w:p>
    <w:p w:rsidR="007268D5" w:rsidRPr="00666BAC" w:rsidRDefault="007268D5" w:rsidP="00BC1F5B"/>
    <w:p w:rsidR="004626BC" w:rsidRPr="00666BAC" w:rsidRDefault="004626BC" w:rsidP="00BC1F5B">
      <w:pPr>
        <w:sectPr w:rsidR="004626BC" w:rsidRPr="00666BAC" w:rsidSect="006D0724">
          <w:headerReference w:type="default" r:id="rId16"/>
          <w:footerReference w:type="default" r:id="rId17"/>
          <w:pgSz w:w="11906" w:h="16838" w:code="9"/>
          <w:pgMar w:top="1140" w:right="1412" w:bottom="851" w:left="1412" w:header="720" w:footer="590" w:gutter="0"/>
          <w:pgNumType w:fmt="lowerRoman"/>
          <w:cols w:space="720"/>
          <w:docGrid w:linePitch="360"/>
        </w:sectPr>
      </w:pPr>
    </w:p>
    <w:p w:rsidR="00B918CA" w:rsidRPr="00666BAC" w:rsidRDefault="00B918CA" w:rsidP="00B918CA">
      <w:pPr>
        <w:pStyle w:val="Heading1"/>
        <w:rPr>
          <w:color w:val="C00000"/>
          <w:sz w:val="40"/>
          <w:szCs w:val="40"/>
        </w:rPr>
      </w:pPr>
      <w:bookmarkStart w:id="2" w:name="_Toc506278058"/>
      <w:r w:rsidRPr="00666BAC">
        <w:rPr>
          <w:color w:val="C00000"/>
          <w:sz w:val="40"/>
          <w:szCs w:val="40"/>
        </w:rPr>
        <w:lastRenderedPageBreak/>
        <w:t>EXECUTIVE SUMMARY</w:t>
      </w:r>
      <w:bookmarkEnd w:id="2"/>
    </w:p>
    <w:p w:rsidR="00F85294" w:rsidRPr="003645FB" w:rsidRDefault="00A14B19" w:rsidP="00455A1D">
      <w:r w:rsidRPr="003645FB">
        <w:t>In the 2017</w:t>
      </w:r>
      <w:r w:rsidR="00A17313" w:rsidRPr="003645FB">
        <w:t>/</w:t>
      </w:r>
      <w:r w:rsidRPr="003645FB">
        <w:t>18</w:t>
      </w:r>
      <w:r w:rsidR="00541F06" w:rsidRPr="003645FB">
        <w:t xml:space="preserve"> year</w:t>
      </w:r>
      <w:r w:rsidRPr="003645FB">
        <w:t>, HDC received 889</w:t>
      </w:r>
      <w:r w:rsidR="00885FF6" w:rsidRPr="003645FB">
        <w:t xml:space="preserve"> </w:t>
      </w:r>
      <w:r w:rsidR="00F85294" w:rsidRPr="003645FB">
        <w:t>complaints involving DHBs. This wa</w:t>
      </w:r>
      <w:r w:rsidRPr="003645FB">
        <w:t>s a small increase of 3</w:t>
      </w:r>
      <w:r w:rsidR="00102BDE" w:rsidRPr="003645FB">
        <w:t xml:space="preserve">% </w:t>
      </w:r>
      <w:r w:rsidRPr="003645FB">
        <w:t>on</w:t>
      </w:r>
      <w:r w:rsidR="00F85294" w:rsidRPr="003645FB">
        <w:t xml:space="preserve"> the number received in the prev</w:t>
      </w:r>
      <w:r w:rsidRPr="003645FB">
        <w:t>ious year. These 889 c</w:t>
      </w:r>
      <w:r w:rsidR="001205D6">
        <w:t xml:space="preserve">omplaints equate to a rate of </w:t>
      </w:r>
      <w:r w:rsidRPr="003645FB">
        <w:t>9</w:t>
      </w:r>
      <w:r w:rsidR="001205D6">
        <w:t>1</w:t>
      </w:r>
      <w:r w:rsidRPr="003645FB">
        <w:t xml:space="preserve"> complaints per 100,000 discharges – a very small increase on the rate of complaints received in the previous year.</w:t>
      </w:r>
    </w:p>
    <w:p w:rsidR="00F85294" w:rsidRPr="003645FB" w:rsidRDefault="00F85294" w:rsidP="00455A1D"/>
    <w:p w:rsidR="00F85294" w:rsidRPr="003645FB" w:rsidRDefault="00E75777" w:rsidP="00455A1D">
      <w:r>
        <w:t>The c</w:t>
      </w:r>
      <w:r w:rsidR="00F85294" w:rsidRPr="003645FB">
        <w:t xml:space="preserve">omplaints </w:t>
      </w:r>
      <w:r>
        <w:t>related</w:t>
      </w:r>
      <w:r w:rsidR="00F85294" w:rsidRPr="003645FB">
        <w:t xml:space="preserve"> to a wide variety of DHB service types, with the most commonly complained about </w:t>
      </w:r>
      <w:r w:rsidR="009A1301" w:rsidRPr="003645FB">
        <w:t>service types being surgical,</w:t>
      </w:r>
      <w:r w:rsidR="00F85294" w:rsidRPr="003645FB">
        <w:t xml:space="preserve"> mental health</w:t>
      </w:r>
      <w:r w:rsidR="00A14B19" w:rsidRPr="003645FB">
        <w:t>,</w:t>
      </w:r>
      <w:r w:rsidR="009A1301" w:rsidRPr="003645FB">
        <w:t xml:space="preserve"> general medicine</w:t>
      </w:r>
      <w:r w:rsidR="00A14B19" w:rsidRPr="003645FB">
        <w:t xml:space="preserve"> and emergency department</w:t>
      </w:r>
      <w:r w:rsidR="00F85294" w:rsidRPr="003645FB">
        <w:t xml:space="preserve"> services. The service types complained about</w:t>
      </w:r>
      <w:r w:rsidR="00A14B19" w:rsidRPr="003645FB">
        <w:t xml:space="preserve"> have remained broadly consistent over the past five years</w:t>
      </w:r>
      <w:r>
        <w:t>.</w:t>
      </w:r>
    </w:p>
    <w:p w:rsidR="00F85294" w:rsidRPr="003645FB" w:rsidRDefault="00F85294" w:rsidP="00455A1D"/>
    <w:p w:rsidR="00F85294" w:rsidRPr="003645FB" w:rsidRDefault="00F85294" w:rsidP="00455A1D">
      <w:r w:rsidRPr="003645FB">
        <w:t>Also consistent wi</w:t>
      </w:r>
      <w:r w:rsidR="00B8721A" w:rsidRPr="003645FB">
        <w:t xml:space="preserve">th complaint trends seen </w:t>
      </w:r>
      <w:r w:rsidR="0032313D" w:rsidRPr="003645FB">
        <w:t>in previous years</w:t>
      </w:r>
      <w:r w:rsidRPr="003645FB">
        <w:t>, doctors were the individual providers complained about most commonly</w:t>
      </w:r>
      <w:r w:rsidR="00A14B19" w:rsidRPr="003645FB">
        <w:t>, with 83</w:t>
      </w:r>
      <w:r w:rsidR="00B8721A" w:rsidRPr="003645FB">
        <w:t>% of the individual providers identified in DHB complaints being doctors</w:t>
      </w:r>
      <w:r w:rsidR="0012759E" w:rsidRPr="003645FB">
        <w:t>.</w:t>
      </w:r>
    </w:p>
    <w:p w:rsidR="0012759E" w:rsidRPr="003645FB" w:rsidRDefault="0012759E" w:rsidP="00455A1D"/>
    <w:p w:rsidR="003645FB" w:rsidRDefault="00F85294" w:rsidP="00455A1D">
      <w:r w:rsidRPr="003645FB">
        <w:t>Missed, incorrect or delayed diagnosis was the</w:t>
      </w:r>
      <w:r w:rsidR="003645FB">
        <w:t xml:space="preserve"> most common</w:t>
      </w:r>
      <w:r w:rsidRPr="003645FB">
        <w:t xml:space="preserve"> </w:t>
      </w:r>
      <w:r w:rsidR="00852DEA" w:rsidRPr="003645FB">
        <w:t>primary</w:t>
      </w:r>
      <w:r w:rsidRPr="003645FB">
        <w:t xml:space="preserve"> issue of concern</w:t>
      </w:r>
      <w:r w:rsidR="003645FB">
        <w:t>, and was</w:t>
      </w:r>
      <w:r w:rsidRPr="003645FB">
        <w:t xml:space="preserve"> raised by the complainant</w:t>
      </w:r>
      <w:r w:rsidR="003645FB">
        <w:t xml:space="preserve"> as the primary issue</w:t>
      </w:r>
      <w:r w:rsidRPr="003645FB">
        <w:t xml:space="preserve"> in </w:t>
      </w:r>
      <w:r w:rsidR="002A527E" w:rsidRPr="003645FB">
        <w:t>13</w:t>
      </w:r>
      <w:r w:rsidR="00852DEA" w:rsidRPr="003645FB">
        <w:t>% of complaints. When all issues raised</w:t>
      </w:r>
      <w:r w:rsidR="00294FDF" w:rsidRPr="003645FB">
        <w:t xml:space="preserve"> in complaints were considered, </w:t>
      </w:r>
      <w:r w:rsidR="002A527E" w:rsidRPr="003645FB">
        <w:t>the most common</w:t>
      </w:r>
      <w:r w:rsidR="003645FB">
        <w:t xml:space="preserve"> complaint issues</w:t>
      </w:r>
      <w:r w:rsidR="002A527E" w:rsidRPr="003645FB">
        <w:t xml:space="preserve"> involve</w:t>
      </w:r>
      <w:r w:rsidR="003645FB">
        <w:t>d</w:t>
      </w:r>
      <w:r w:rsidR="002A527E" w:rsidRPr="003645FB">
        <w:t xml:space="preserve"> care/treatment and communication issues, followed by access issues and issues regarding the consent process and </w:t>
      </w:r>
      <w:r w:rsidR="003645FB">
        <w:t xml:space="preserve">the </w:t>
      </w:r>
      <w:r w:rsidR="002A527E" w:rsidRPr="003645FB">
        <w:t xml:space="preserve">information provided to consumers. </w:t>
      </w:r>
    </w:p>
    <w:p w:rsidR="003645FB" w:rsidRDefault="003645FB" w:rsidP="00455A1D"/>
    <w:p w:rsidR="00F85294" w:rsidRPr="003645FB" w:rsidRDefault="003645FB" w:rsidP="00455A1D">
      <w:r>
        <w:t>Issues complained about</w:t>
      </w:r>
      <w:r w:rsidR="002A527E" w:rsidRPr="003645FB">
        <w:t xml:space="preserve"> have remained broadly consistent over time. However, the proportion of complaints regarding </w:t>
      </w:r>
      <w:r>
        <w:t xml:space="preserve">a </w:t>
      </w:r>
      <w:r w:rsidR="002A527E" w:rsidRPr="003645FB">
        <w:t>disrespectful manner/attitude and</w:t>
      </w:r>
      <w:r>
        <w:t xml:space="preserve"> </w:t>
      </w:r>
      <w:r w:rsidR="002F2899">
        <w:t xml:space="preserve">an </w:t>
      </w:r>
      <w:r w:rsidR="002F2899" w:rsidRPr="003645FB">
        <w:t>inadequate</w:t>
      </w:r>
      <w:r w:rsidR="002A527E" w:rsidRPr="003645FB">
        <w:t xml:space="preserve"> response to</w:t>
      </w:r>
      <w:r>
        <w:t xml:space="preserve"> the consumer’s</w:t>
      </w:r>
      <w:r w:rsidR="002A527E" w:rsidRPr="003645FB">
        <w:t xml:space="preserve"> complaint by</w:t>
      </w:r>
      <w:r>
        <w:t xml:space="preserve"> the</w:t>
      </w:r>
      <w:r w:rsidR="002A527E" w:rsidRPr="003645FB">
        <w:t xml:space="preserve"> DHB have decreased over the last five years.</w:t>
      </w:r>
    </w:p>
    <w:p w:rsidR="00852DEA" w:rsidRPr="003645FB" w:rsidRDefault="00852DEA" w:rsidP="00455A1D"/>
    <w:p w:rsidR="002A527E" w:rsidRPr="003645FB" w:rsidRDefault="00541F06" w:rsidP="00455A1D">
      <w:r w:rsidRPr="003645FB">
        <w:t>The</w:t>
      </w:r>
      <w:r w:rsidR="00852DEA" w:rsidRPr="003645FB">
        <w:t xml:space="preserve"> issues raised in complaints varied by the service type involved. Services with high diagnostic workloads</w:t>
      </w:r>
      <w:r w:rsidR="00BF04E2" w:rsidRPr="003645FB">
        <w:t>,</w:t>
      </w:r>
      <w:r w:rsidR="00852DEA" w:rsidRPr="003645FB">
        <w:t xml:space="preserve"> such as general medicine and emergency departments</w:t>
      </w:r>
      <w:r w:rsidR="00BF04E2" w:rsidRPr="003645FB">
        <w:t>,</w:t>
      </w:r>
      <w:r w:rsidR="00852DEA" w:rsidRPr="003645FB">
        <w:t xml:space="preserve"> commonly received</w:t>
      </w:r>
      <w:r w:rsidRPr="003645FB">
        <w:t xml:space="preserve"> more</w:t>
      </w:r>
      <w:r w:rsidR="00852DEA" w:rsidRPr="003645FB">
        <w:t xml:space="preserve"> complaints</w:t>
      </w:r>
      <w:r w:rsidR="00D77E06" w:rsidRPr="003645FB">
        <w:t xml:space="preserve"> primarily</w:t>
      </w:r>
      <w:r w:rsidR="00852DEA" w:rsidRPr="003645FB">
        <w:t xml:space="preserve"> regarding missed, incorrect or delayed diagnoses.</w:t>
      </w:r>
      <w:r w:rsidR="002A527E" w:rsidRPr="003645FB">
        <w:t xml:space="preserve"> Primary issues in complaints about mental health services are quite distinct, with issues relating to involuntary admission/treatment and safety issues for consumers in inpatient units being common</w:t>
      </w:r>
      <w:r w:rsidR="00E75777">
        <w:t>.</w:t>
      </w:r>
    </w:p>
    <w:p w:rsidR="002A527E" w:rsidRPr="003645FB" w:rsidRDefault="002A527E" w:rsidP="00455A1D"/>
    <w:p w:rsidR="002A527E" w:rsidRPr="003645FB" w:rsidRDefault="00D77E06" w:rsidP="002A527E">
      <w:r w:rsidRPr="003645FB">
        <w:t>When all issues raised in compla</w:t>
      </w:r>
      <w:r w:rsidR="0017767C" w:rsidRPr="003645FB">
        <w:t>ints about each service type were</w:t>
      </w:r>
      <w:r w:rsidRPr="003645FB">
        <w:t xml:space="preserve"> analysed</w:t>
      </w:r>
      <w:r w:rsidR="0017767C" w:rsidRPr="003645FB">
        <w:t xml:space="preserve">, </w:t>
      </w:r>
      <w:r w:rsidR="002A527E" w:rsidRPr="003645FB">
        <w:t>general medicine and mental health services received a greater proportion of complaints involving communication with family than other service types, while emergency department services received a greater proportion of complaints involving inadequate examination/assessments, misdiagnosis and inadequate testing than did other service types. Surgical services received a greater proportion of complaints about a waiting list/prioritisation issue and maternity services received a greater proportion of complaints regarding a delay in treatment than other service types.</w:t>
      </w:r>
    </w:p>
    <w:p w:rsidR="00852DEA" w:rsidRPr="003645FB" w:rsidRDefault="00852DEA" w:rsidP="00455A1D"/>
    <w:p w:rsidR="00852DEA" w:rsidRPr="00666BAC" w:rsidRDefault="002A527E" w:rsidP="00455A1D">
      <w:r w:rsidRPr="003645FB">
        <w:t>In the 2017</w:t>
      </w:r>
      <w:r w:rsidR="00A17313" w:rsidRPr="003645FB">
        <w:t>/</w:t>
      </w:r>
      <w:r w:rsidRPr="003645FB">
        <w:t>18</w:t>
      </w:r>
      <w:r w:rsidR="00852DEA" w:rsidRPr="003645FB">
        <w:t xml:space="preserve"> year, HDC </w:t>
      </w:r>
      <w:r w:rsidR="009A1301" w:rsidRPr="003645FB">
        <w:t xml:space="preserve">closed </w:t>
      </w:r>
      <w:r w:rsidRPr="003645FB">
        <w:t>859</w:t>
      </w:r>
      <w:r w:rsidR="009A1301" w:rsidRPr="003645FB">
        <w:t xml:space="preserve"> complaints about DHB services. </w:t>
      </w:r>
      <w:r w:rsidR="00852DEA" w:rsidRPr="003645FB">
        <w:t>Th</w:t>
      </w:r>
      <w:r w:rsidR="00CB6302" w:rsidRPr="003645FB">
        <w:t xml:space="preserve">is included the conclusion of </w:t>
      </w:r>
      <w:r w:rsidRPr="003645FB">
        <w:t>51</w:t>
      </w:r>
      <w:r w:rsidR="00852DEA" w:rsidRPr="003645FB">
        <w:t xml:space="preserve"> inves</w:t>
      </w:r>
      <w:r w:rsidR="00BF04E2" w:rsidRPr="003645FB">
        <w:t xml:space="preserve">tigations. </w:t>
      </w:r>
      <w:r w:rsidR="00541F06" w:rsidRPr="003645FB">
        <w:t xml:space="preserve">Around </w:t>
      </w:r>
      <w:r w:rsidRPr="003645FB">
        <w:t>21</w:t>
      </w:r>
      <w:r w:rsidR="002971FC" w:rsidRPr="003645FB">
        <w:t>%</w:t>
      </w:r>
      <w:r w:rsidR="00541F06" w:rsidRPr="003645FB">
        <w:t xml:space="preserve"> of complaints </w:t>
      </w:r>
      <w:r w:rsidR="002971FC" w:rsidRPr="003645FB">
        <w:t xml:space="preserve">were referred back to the DHB for </w:t>
      </w:r>
      <w:r w:rsidRPr="003645FB">
        <w:t>resolution. In around 27</w:t>
      </w:r>
      <w:r w:rsidR="002971FC" w:rsidRPr="003645FB">
        <w:t>% of c</w:t>
      </w:r>
      <w:r w:rsidR="00541F06" w:rsidRPr="003645FB">
        <w:t>ases</w:t>
      </w:r>
      <w:r w:rsidR="002971FC" w:rsidRPr="003645FB">
        <w:t xml:space="preserve">, HDC </w:t>
      </w:r>
      <w:r w:rsidR="003645FB">
        <w:t>made recommendations and/or</w:t>
      </w:r>
      <w:r w:rsidR="002971FC" w:rsidRPr="003645FB">
        <w:t xml:space="preserve"> educational comments designed to facilitate improvement in DHB services. The most common recommendation was that</w:t>
      </w:r>
      <w:r w:rsidR="009A1301" w:rsidRPr="003645FB">
        <w:rPr>
          <w:lang w:eastAsia="en-NZ"/>
        </w:rPr>
        <w:t xml:space="preserve"> </w:t>
      </w:r>
      <w:r w:rsidR="00E75777">
        <w:rPr>
          <w:lang w:eastAsia="en-NZ"/>
        </w:rPr>
        <w:t>DHBs</w:t>
      </w:r>
      <w:r w:rsidR="00E75777" w:rsidRPr="003645FB">
        <w:rPr>
          <w:lang w:eastAsia="en-NZ"/>
        </w:rPr>
        <w:t xml:space="preserve"> </w:t>
      </w:r>
      <w:r w:rsidR="009A1301" w:rsidRPr="003645FB">
        <w:rPr>
          <w:lang w:eastAsia="en-NZ"/>
        </w:rPr>
        <w:t>provide evidence to HDC of the changes they had made in response to the issues raised by the complaint, followed by a review of their policies/procedures or implementation of new policies/procedures.</w:t>
      </w:r>
      <w:r w:rsidR="003645FB" w:rsidRPr="003645FB">
        <w:rPr>
          <w:lang w:eastAsia="en-NZ"/>
        </w:rPr>
        <w:t xml:space="preserve"> Staff training</w:t>
      </w:r>
      <w:r w:rsidR="001205D6">
        <w:rPr>
          <w:lang w:eastAsia="en-NZ"/>
        </w:rPr>
        <w:t>/education</w:t>
      </w:r>
      <w:r w:rsidR="003645FB" w:rsidRPr="003645FB">
        <w:rPr>
          <w:lang w:eastAsia="en-NZ"/>
        </w:rPr>
        <w:t xml:space="preserve"> was also often recommended.</w:t>
      </w:r>
    </w:p>
    <w:p w:rsidR="00852DEA" w:rsidRPr="00666BAC" w:rsidRDefault="00852DEA" w:rsidP="00455A1D"/>
    <w:p w:rsidR="00B918CA" w:rsidRPr="00666BAC" w:rsidRDefault="00B918CA" w:rsidP="00455A1D"/>
    <w:p w:rsidR="00B918CA" w:rsidRPr="00666BAC" w:rsidRDefault="00B918CA" w:rsidP="00455A1D"/>
    <w:p w:rsidR="00455A1D" w:rsidRPr="00666BAC" w:rsidRDefault="00455A1D" w:rsidP="00455A1D"/>
    <w:p w:rsidR="00B918CA" w:rsidRPr="00666BAC" w:rsidRDefault="00B918CA" w:rsidP="00B918CA">
      <w:pPr>
        <w:pStyle w:val="Heading1"/>
        <w:spacing w:before="240"/>
        <w:rPr>
          <w:color w:val="C00000"/>
          <w:sz w:val="40"/>
          <w:szCs w:val="40"/>
          <w:lang w:val="en-NZ"/>
        </w:rPr>
      </w:pPr>
      <w:bookmarkStart w:id="3" w:name="_Toc506278059"/>
      <w:r w:rsidRPr="00666BAC">
        <w:rPr>
          <w:color w:val="C00000"/>
          <w:sz w:val="40"/>
          <w:szCs w:val="40"/>
          <w:lang w:val="en-NZ"/>
        </w:rPr>
        <w:lastRenderedPageBreak/>
        <w:t>BACKGROUND</w:t>
      </w:r>
      <w:bookmarkEnd w:id="3"/>
    </w:p>
    <w:p w:rsidR="00B918CA" w:rsidRPr="00666BAC" w:rsidRDefault="00B918CA" w:rsidP="00B918CA">
      <w:pPr>
        <w:pStyle w:val="Heading2"/>
        <w:spacing w:before="360" w:after="240"/>
        <w:rPr>
          <w:sz w:val="36"/>
          <w:szCs w:val="36"/>
        </w:rPr>
      </w:pPr>
      <w:bookmarkStart w:id="4" w:name="_Toc404344421"/>
      <w:bookmarkStart w:id="5" w:name="_Toc506278060"/>
      <w:r w:rsidRPr="00666BAC">
        <w:rPr>
          <w:sz w:val="36"/>
          <w:szCs w:val="36"/>
        </w:rPr>
        <w:t>1.</w:t>
      </w:r>
      <w:r w:rsidRPr="00666BAC">
        <w:rPr>
          <w:sz w:val="36"/>
          <w:szCs w:val="36"/>
        </w:rPr>
        <w:tab/>
        <w:t>The Health and Disability Commissioner</w:t>
      </w:r>
      <w:bookmarkEnd w:id="4"/>
      <w:bookmarkEnd w:id="5"/>
    </w:p>
    <w:p w:rsidR="00B918CA" w:rsidRPr="00666BAC" w:rsidRDefault="00B918CA" w:rsidP="00B918CA">
      <w:pPr>
        <w:rPr>
          <w:lang w:val="en-AU" w:bidi="ar-SA"/>
        </w:rPr>
      </w:pPr>
      <w:r w:rsidRPr="00666BAC">
        <w:rPr>
          <w:lang w:val="en-AU" w:bidi="ar-SA"/>
        </w:rPr>
        <w:t xml:space="preserve">HDC is an independent crown entity established under the Health and Disability Commissioner Act 1994 to promote and protect the rights of health and </w:t>
      </w:r>
      <w:r w:rsidR="0078386C">
        <w:rPr>
          <w:lang w:val="en-AU" w:bidi="ar-SA"/>
        </w:rPr>
        <w:t xml:space="preserve">disability services consumers. </w:t>
      </w:r>
      <w:r w:rsidRPr="00666BAC">
        <w:rPr>
          <w:lang w:val="en-AU" w:bidi="ar-SA"/>
        </w:rPr>
        <w:t>The rights of consumers are set out in the Code of Health and Disability Services Consumers’ Rights (the Code).  The Code places corresponding obligations on all providers of health and disability services, including individual providers and organisational providers such as district health boards.</w:t>
      </w:r>
    </w:p>
    <w:p w:rsidR="00B918CA" w:rsidRPr="00666BAC" w:rsidRDefault="00B918CA" w:rsidP="00B918CA">
      <w:pPr>
        <w:rPr>
          <w:lang w:val="en-AU" w:bidi="ar-SA"/>
        </w:rPr>
      </w:pPr>
    </w:p>
    <w:p w:rsidR="00B918CA" w:rsidRPr="00666BAC" w:rsidRDefault="00B918CA" w:rsidP="00B918CA">
      <w:pPr>
        <w:rPr>
          <w:lang w:val="en-AU" w:bidi="ar-SA"/>
        </w:rPr>
      </w:pPr>
      <w:r w:rsidRPr="00666BAC">
        <w:rPr>
          <w:lang w:val="en-AU" w:bidi="ar-SA"/>
        </w:rPr>
        <w:t>HDC promotes and protects the rights of consumers of health and disability services by:</w:t>
      </w:r>
    </w:p>
    <w:p w:rsidR="00B918CA" w:rsidRPr="00666BAC" w:rsidRDefault="00B918CA" w:rsidP="001916DC">
      <w:pPr>
        <w:pStyle w:val="ListParagraph"/>
        <w:numPr>
          <w:ilvl w:val="0"/>
          <w:numId w:val="2"/>
        </w:numPr>
        <w:rPr>
          <w:lang w:val="en-AU" w:bidi="ar-SA"/>
        </w:rPr>
      </w:pPr>
      <w:r w:rsidRPr="00666BAC">
        <w:rPr>
          <w:lang w:val="en-AU" w:bidi="ar-SA"/>
        </w:rPr>
        <w:t>resolving complaints;</w:t>
      </w:r>
    </w:p>
    <w:p w:rsidR="00B918CA" w:rsidRPr="00666BAC" w:rsidRDefault="00B918CA" w:rsidP="001916DC">
      <w:pPr>
        <w:pStyle w:val="ListParagraph"/>
        <w:numPr>
          <w:ilvl w:val="0"/>
          <w:numId w:val="2"/>
        </w:numPr>
        <w:rPr>
          <w:lang w:val="en-AU" w:bidi="ar-SA"/>
        </w:rPr>
      </w:pPr>
      <w:r w:rsidRPr="00666BAC">
        <w:rPr>
          <w:lang w:val="en-AU" w:bidi="ar-SA"/>
        </w:rPr>
        <w:t>improving quality and safety within the sector; and</w:t>
      </w:r>
    </w:p>
    <w:p w:rsidR="00B918CA" w:rsidRPr="00666BAC" w:rsidRDefault="00B918CA" w:rsidP="001916DC">
      <w:pPr>
        <w:pStyle w:val="ListParagraph"/>
        <w:numPr>
          <w:ilvl w:val="0"/>
          <w:numId w:val="2"/>
        </w:numPr>
        <w:rPr>
          <w:lang w:val="en-AU" w:bidi="ar-SA"/>
        </w:rPr>
      </w:pPr>
      <w:r w:rsidRPr="00666BAC">
        <w:rPr>
          <w:lang w:val="en-AU" w:bidi="ar-SA"/>
        </w:rPr>
        <w:t>appropriately holding providers to account.</w:t>
      </w:r>
    </w:p>
    <w:p w:rsidR="00B918CA" w:rsidRPr="00666BAC" w:rsidRDefault="00B918CA" w:rsidP="00B918CA">
      <w:pPr>
        <w:rPr>
          <w:lang w:val="en-AU" w:bidi="ar-SA"/>
        </w:rPr>
      </w:pPr>
    </w:p>
    <w:p w:rsidR="00B918CA" w:rsidRPr="00666BAC" w:rsidRDefault="00B918CA" w:rsidP="00B918CA">
      <w:pPr>
        <w:rPr>
          <w:lang w:val="en-AU" w:bidi="ar-SA"/>
        </w:rPr>
      </w:pPr>
      <w:r w:rsidRPr="00666BAC">
        <w:rPr>
          <w:lang w:val="en-AU" w:bidi="ar-SA"/>
        </w:rPr>
        <w:t>As such, HDC fulfils the critical role of independent watchdog for consumer rights within the sector.</w:t>
      </w:r>
    </w:p>
    <w:p w:rsidR="00B918CA" w:rsidRPr="00666BAC" w:rsidRDefault="00B918CA" w:rsidP="00B918CA">
      <w:pPr>
        <w:rPr>
          <w:lang w:val="en-AU" w:bidi="ar-SA"/>
        </w:rPr>
      </w:pPr>
    </w:p>
    <w:tbl>
      <w:tblPr>
        <w:tblStyle w:val="TableGrid"/>
        <w:tblW w:w="0" w:type="auto"/>
        <w:jc w:val="center"/>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6912"/>
      </w:tblGrid>
      <w:tr w:rsidR="00B918CA" w:rsidRPr="00666BAC" w:rsidTr="00B918CA">
        <w:trPr>
          <w:jc w:val="center"/>
        </w:trPr>
        <w:tc>
          <w:tcPr>
            <w:tcW w:w="6912" w:type="dxa"/>
          </w:tcPr>
          <w:p w:rsidR="00B918CA" w:rsidRPr="00666BAC" w:rsidRDefault="00B918CA" w:rsidP="00B918CA">
            <w:pPr>
              <w:tabs>
                <w:tab w:val="left" w:pos="1440"/>
                <w:tab w:val="left" w:pos="2610"/>
              </w:tabs>
              <w:jc w:val="center"/>
              <w:outlineLvl w:val="0"/>
              <w:rPr>
                <w:b/>
                <w:sz w:val="28"/>
                <w:szCs w:val="28"/>
              </w:rPr>
            </w:pPr>
          </w:p>
          <w:p w:rsidR="00B918CA" w:rsidRPr="00666BAC" w:rsidRDefault="00B918CA" w:rsidP="00B918CA">
            <w:pPr>
              <w:tabs>
                <w:tab w:val="left" w:pos="1440"/>
                <w:tab w:val="left" w:pos="2610"/>
              </w:tabs>
              <w:jc w:val="center"/>
              <w:outlineLvl w:val="0"/>
              <w:rPr>
                <w:b/>
                <w:sz w:val="28"/>
                <w:szCs w:val="28"/>
              </w:rPr>
            </w:pPr>
            <w:r w:rsidRPr="00666BAC">
              <w:rPr>
                <w:b/>
                <w:sz w:val="28"/>
                <w:szCs w:val="28"/>
              </w:rPr>
              <w:t>Rights under the Code</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be treated with respect.</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freedom from discrimination, coercion, harassment and exploitation.</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dignity and independence.</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services of an appropriate standard.</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effective communication.</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be fully informed.</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make an informed choice and give informed consent.</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support.</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Rights in respect of teaching or research.</w:t>
            </w:r>
          </w:p>
          <w:p w:rsidR="00B918CA" w:rsidRPr="00666BAC" w:rsidRDefault="00B918CA" w:rsidP="001916DC">
            <w:pPr>
              <w:numPr>
                <w:ilvl w:val="0"/>
                <w:numId w:val="3"/>
              </w:numPr>
              <w:spacing w:after="120"/>
              <w:contextualSpacing/>
              <w:rPr>
                <w:rFonts w:eastAsia="SimSun"/>
                <w:szCs w:val="22"/>
                <w:lang w:eastAsia="zh-CN" w:bidi="ar-SA"/>
              </w:rPr>
            </w:pPr>
            <w:r w:rsidRPr="00666BAC">
              <w:rPr>
                <w:rFonts w:eastAsia="SimSun"/>
                <w:szCs w:val="22"/>
                <w:lang w:eastAsia="zh-CN" w:bidi="ar-SA"/>
              </w:rPr>
              <w:t>The right to complain.</w:t>
            </w:r>
          </w:p>
          <w:p w:rsidR="00B918CA" w:rsidRPr="00666BAC" w:rsidRDefault="00B918CA" w:rsidP="00B918CA">
            <w:pPr>
              <w:spacing w:after="120"/>
              <w:ind w:left="720"/>
              <w:contextualSpacing/>
              <w:rPr>
                <w:rFonts w:eastAsia="SimSun"/>
                <w:szCs w:val="22"/>
                <w:lang w:eastAsia="zh-CN" w:bidi="ar-SA"/>
              </w:rPr>
            </w:pPr>
          </w:p>
        </w:tc>
      </w:tr>
    </w:tbl>
    <w:p w:rsidR="00B918CA" w:rsidRPr="00666BAC" w:rsidRDefault="00B918CA" w:rsidP="00B918CA">
      <w:pPr>
        <w:spacing w:after="120"/>
        <w:contextualSpacing/>
        <w:rPr>
          <w:rFonts w:eastAsia="SimSun"/>
          <w:szCs w:val="22"/>
          <w:lang w:eastAsia="zh-CN" w:bidi="ar-SA"/>
        </w:rPr>
      </w:pPr>
    </w:p>
    <w:p w:rsidR="00B918CA" w:rsidRPr="00666BAC" w:rsidRDefault="00B918CA" w:rsidP="00B918CA">
      <w:pPr>
        <w:spacing w:after="120"/>
        <w:contextualSpacing/>
        <w:rPr>
          <w:rFonts w:eastAsia="SimSun"/>
          <w:szCs w:val="22"/>
          <w:lang w:eastAsia="zh-CN" w:bidi="ar-SA"/>
        </w:rPr>
      </w:pPr>
      <w:r w:rsidRPr="00666BAC">
        <w:rPr>
          <w:rFonts w:eastAsia="SimSun"/>
          <w:szCs w:val="22"/>
          <w:lang w:eastAsia="zh-CN" w:bidi="ar-SA"/>
        </w:rPr>
        <w:t>Anyone may make a complaint to HDC about a health or disability service that ha</w:t>
      </w:r>
      <w:r w:rsidR="0078386C">
        <w:rPr>
          <w:rFonts w:eastAsia="SimSun"/>
          <w:szCs w:val="22"/>
          <w:lang w:eastAsia="zh-CN" w:bidi="ar-SA"/>
        </w:rPr>
        <w:t xml:space="preserve">s been provided to a consumer. </w:t>
      </w:r>
      <w:r w:rsidRPr="00666BAC">
        <w:rPr>
          <w:rFonts w:eastAsia="SimSun"/>
          <w:szCs w:val="22"/>
          <w:lang w:eastAsia="zh-CN" w:bidi="ar-SA"/>
        </w:rPr>
        <w:t>It is not uncommon for HDC to receive complaints from third parties, such as family members, friends, or other providers in</w:t>
      </w:r>
      <w:r w:rsidR="0078386C">
        <w:rPr>
          <w:rFonts w:eastAsia="SimSun"/>
          <w:szCs w:val="22"/>
          <w:lang w:eastAsia="zh-CN" w:bidi="ar-SA"/>
        </w:rPr>
        <w:t xml:space="preserve">volved in the consumer’s care. </w:t>
      </w:r>
      <w:r w:rsidRPr="00666BAC">
        <w:rPr>
          <w:rFonts w:eastAsia="SimSun"/>
          <w:szCs w:val="22"/>
          <w:lang w:eastAsia="zh-CN" w:bidi="ar-SA"/>
        </w:rPr>
        <w:t xml:space="preserve">The Commissioner may also commence an investigation at his own initiative, even without having received a complaint, if he considers it appropriate to do so.  </w:t>
      </w:r>
    </w:p>
    <w:p w:rsidR="00B918CA" w:rsidRPr="00666BAC" w:rsidRDefault="00B918CA" w:rsidP="00B918CA">
      <w:pPr>
        <w:spacing w:after="120"/>
        <w:contextualSpacing/>
        <w:rPr>
          <w:rFonts w:eastAsia="SimSun"/>
          <w:szCs w:val="22"/>
          <w:lang w:eastAsia="zh-CN" w:bidi="ar-SA"/>
        </w:rPr>
      </w:pPr>
    </w:p>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C1F5B" w:rsidRPr="00666BAC" w:rsidRDefault="00BC1F5B" w:rsidP="00BC1F5B"/>
    <w:p w:rsidR="00BC1F5B" w:rsidRPr="00666BAC" w:rsidRDefault="00BC1F5B" w:rsidP="00BC1F5B"/>
    <w:p w:rsidR="00BC1F5B" w:rsidRPr="00666BAC" w:rsidRDefault="00BC1F5B" w:rsidP="00BC1F5B"/>
    <w:p w:rsidR="008D3B4B" w:rsidRPr="00666BAC" w:rsidRDefault="008D3B4B" w:rsidP="00BC1F5B"/>
    <w:p w:rsidR="00B918CA" w:rsidRPr="00666BAC" w:rsidRDefault="00B918CA" w:rsidP="00B918CA">
      <w:pPr>
        <w:pStyle w:val="Heading2"/>
        <w:spacing w:before="360" w:after="240"/>
        <w:rPr>
          <w:sz w:val="36"/>
          <w:szCs w:val="36"/>
        </w:rPr>
      </w:pPr>
      <w:bookmarkStart w:id="6" w:name="_Toc404344422"/>
      <w:bookmarkStart w:id="7" w:name="_Toc506278061"/>
      <w:bookmarkStart w:id="8" w:name="_GoBack"/>
      <w:bookmarkEnd w:id="8"/>
      <w:r w:rsidRPr="00666BAC">
        <w:rPr>
          <w:sz w:val="36"/>
          <w:szCs w:val="36"/>
        </w:rPr>
        <w:lastRenderedPageBreak/>
        <w:t>2.</w:t>
      </w:r>
      <w:r w:rsidRPr="00666BAC">
        <w:rPr>
          <w:sz w:val="36"/>
          <w:szCs w:val="36"/>
        </w:rPr>
        <w:tab/>
        <w:t>District Health Boards</w:t>
      </w:r>
      <w:bookmarkEnd w:id="6"/>
      <w:bookmarkEnd w:id="7"/>
    </w:p>
    <w:p w:rsidR="00B918CA" w:rsidRPr="00666BAC" w:rsidRDefault="00B918CA" w:rsidP="00B918CA">
      <w:pPr>
        <w:rPr>
          <w:lang w:val="en-AU" w:bidi="ar-SA"/>
        </w:rPr>
      </w:pPr>
      <w:r w:rsidRPr="00666BAC">
        <w:rPr>
          <w:lang w:val="en-AU" w:bidi="ar-SA"/>
        </w:rPr>
        <w:t>There are 20 district health boards (DHBs) with responsibility for funding or providing a specified range of health and disability services</w:t>
      </w:r>
      <w:r w:rsidR="0078386C">
        <w:rPr>
          <w:lang w:val="en-AU" w:bidi="ar-SA"/>
        </w:rPr>
        <w:t xml:space="preserve"> on behalf of the government. </w:t>
      </w:r>
      <w:r w:rsidRPr="00666BAC">
        <w:rPr>
          <w:lang w:val="en-AU" w:bidi="ar-SA"/>
        </w:rPr>
        <w:t>Public hospitals, and other public health services, including various clinics and community-based services,</w:t>
      </w:r>
      <w:r w:rsidR="0078386C">
        <w:rPr>
          <w:lang w:val="en-AU" w:bidi="ar-SA"/>
        </w:rPr>
        <w:t xml:space="preserve"> are owned and funded by DHBs. </w:t>
      </w:r>
      <w:r w:rsidRPr="00666BAC">
        <w:rPr>
          <w:lang w:val="en-AU" w:bidi="ar-SA"/>
        </w:rPr>
        <w:t xml:space="preserve">Individual providers (for example, doctors and nurses) working in a DHB’s facility are usually employed by that DHB. </w:t>
      </w:r>
    </w:p>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AC1A00" w:rsidRPr="00666BAC" w:rsidRDefault="00AC1A00" w:rsidP="00BC1F5B"/>
    <w:p w:rsidR="003C0B43" w:rsidRPr="00666BAC" w:rsidRDefault="003C0B43" w:rsidP="00BC1F5B"/>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C1F5B"/>
    <w:p w:rsidR="00B918CA" w:rsidRPr="00666BAC" w:rsidRDefault="00B918CA" w:rsidP="00B918CA">
      <w:pPr>
        <w:pStyle w:val="Heading2"/>
        <w:spacing w:before="360" w:after="240"/>
        <w:rPr>
          <w:sz w:val="36"/>
          <w:szCs w:val="36"/>
        </w:rPr>
      </w:pPr>
      <w:bookmarkStart w:id="9" w:name="_Toc404344423"/>
      <w:bookmarkStart w:id="10" w:name="_Toc506278062"/>
      <w:r w:rsidRPr="00666BAC">
        <w:rPr>
          <w:sz w:val="36"/>
          <w:szCs w:val="36"/>
        </w:rPr>
        <w:lastRenderedPageBreak/>
        <w:t>3.</w:t>
      </w:r>
      <w:r w:rsidRPr="00666BAC">
        <w:rPr>
          <w:sz w:val="36"/>
          <w:szCs w:val="36"/>
        </w:rPr>
        <w:tab/>
        <w:t>This Report</w:t>
      </w:r>
      <w:bookmarkEnd w:id="9"/>
      <w:bookmarkEnd w:id="10"/>
    </w:p>
    <w:p w:rsidR="00B918CA" w:rsidRPr="00666BAC" w:rsidRDefault="00B918CA" w:rsidP="00B918CA">
      <w:r w:rsidRPr="00666BAC">
        <w:t xml:space="preserve">This report describes the complaints HDC received and/or closed in </w:t>
      </w:r>
      <w:r w:rsidR="002B4B70" w:rsidRPr="00666BAC">
        <w:t xml:space="preserve">relation to </w:t>
      </w:r>
      <w:r w:rsidR="00E60C4A">
        <w:t>DHBs during the 2017/18</w:t>
      </w:r>
      <w:r w:rsidRPr="00666BAC">
        <w:t xml:space="preserve"> financial year.  </w:t>
      </w:r>
    </w:p>
    <w:p w:rsidR="00B918CA" w:rsidRPr="00666BAC" w:rsidRDefault="00B918CA" w:rsidP="00B918CA"/>
    <w:p w:rsidR="00B918CA" w:rsidRPr="00666BAC" w:rsidRDefault="00B918CA" w:rsidP="00B918CA">
      <w:r w:rsidRPr="00666BAC">
        <w:t xml:space="preserve">Complaints about DHBs are of particular interest as DHBs are the largest organisational providers of health and disability services in </w:t>
      </w:r>
      <w:r w:rsidR="00E75777">
        <w:t>New Zealand</w:t>
      </w:r>
      <w:r w:rsidRPr="00666BAC">
        <w:t xml:space="preserve">.  </w:t>
      </w:r>
      <w:r w:rsidRPr="009A1301">
        <w:t xml:space="preserve">Approximately </w:t>
      </w:r>
      <w:r w:rsidR="0079683A" w:rsidRPr="009A1301">
        <w:t>40%</w:t>
      </w:r>
      <w:r w:rsidRPr="009A1301">
        <w:t xml:space="preserve"> of complaints received by HDC each year relate, at least in part, to DHB services.</w:t>
      </w:r>
      <w:r w:rsidRPr="00666BAC">
        <w:t xml:space="preserve">    </w:t>
      </w:r>
    </w:p>
    <w:p w:rsidR="00B918CA" w:rsidRPr="00666BAC" w:rsidRDefault="00B918CA" w:rsidP="00B918CA"/>
    <w:p w:rsidR="00E75777" w:rsidRDefault="00B918CA" w:rsidP="00B918CA">
      <w:r w:rsidRPr="00666BAC">
        <w:t>The complaints are described both in terms of overall numbers and characteristics, as well as by reference to case studies.  In terms of complaints received, the issues included in the analysis are as articul</w:t>
      </w:r>
      <w:r w:rsidR="0078386C">
        <w:t>ated by the complainant to HDC.</w:t>
      </w:r>
      <w:r w:rsidRPr="00666BAC">
        <w:t xml:space="preserve"> While not all issues raised in complaints are subsequently factually and/or clinically substantiated, those issues can still provide a valuable insight into the consumer’s experience of the services provided</w:t>
      </w:r>
      <w:r w:rsidR="00BA11E1" w:rsidRPr="00666BAC">
        <w:t xml:space="preserve"> and the issues they care most about</w:t>
      </w:r>
      <w:r w:rsidR="0078386C">
        <w:t>.</w:t>
      </w:r>
      <w:r w:rsidRPr="00666BAC">
        <w:t xml:space="preserve"> </w:t>
      </w:r>
    </w:p>
    <w:p w:rsidR="00E75777" w:rsidRDefault="00E75777" w:rsidP="00B918CA"/>
    <w:p w:rsidR="00B918CA" w:rsidRPr="001205D6" w:rsidRDefault="00B918CA" w:rsidP="00B918CA">
      <w:pPr>
        <w:rPr>
          <w:szCs w:val="22"/>
        </w:rPr>
      </w:pPr>
      <w:r w:rsidRPr="00666BAC">
        <w:t xml:space="preserve">Case studies are included to </w:t>
      </w:r>
      <w:r w:rsidR="001205D6">
        <w:t xml:space="preserve">highlight </w:t>
      </w:r>
      <w:r w:rsidR="001205D6" w:rsidRPr="00797CC2">
        <w:rPr>
          <w:szCs w:val="22"/>
        </w:rPr>
        <w:t>the positive changes that have been made to services as a result</w:t>
      </w:r>
      <w:r w:rsidR="001205D6">
        <w:rPr>
          <w:szCs w:val="22"/>
        </w:rPr>
        <w:t xml:space="preserve"> of complaints about DHBs. Readers are encouraged</w:t>
      </w:r>
      <w:r w:rsidRPr="00666BAC">
        <w:t xml:space="preserve"> to consider their own service provision </w:t>
      </w:r>
      <w:r w:rsidR="001205D6">
        <w:t xml:space="preserve">when reading this report </w:t>
      </w:r>
      <w:r w:rsidRPr="00666BAC">
        <w:t>and to ask “could that happen at my place” and, if so, what changes can be made to prevent it</w:t>
      </w:r>
      <w:r w:rsidR="00E75777">
        <w:t>?</w:t>
      </w:r>
      <w:r w:rsidRPr="00666BAC">
        <w:t xml:space="preserve">  </w:t>
      </w:r>
    </w:p>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918CA" w:rsidRPr="00666BAC" w:rsidRDefault="00B918CA" w:rsidP="00B918CA"/>
    <w:p w:rsidR="00BC1F5B" w:rsidRPr="00666BAC" w:rsidRDefault="00BC1F5B" w:rsidP="00BC1F5B"/>
    <w:p w:rsidR="00B918CA" w:rsidRPr="00666BAC" w:rsidRDefault="00B918CA" w:rsidP="00BC1F5B"/>
    <w:p w:rsidR="00B918CA" w:rsidRPr="00666BAC" w:rsidRDefault="00B918CA" w:rsidP="00BC1F5B"/>
    <w:p w:rsidR="00B918CA" w:rsidRPr="00666BAC" w:rsidRDefault="00B918CA" w:rsidP="00B918CA">
      <w:pPr>
        <w:pStyle w:val="Heading1"/>
        <w:rPr>
          <w:color w:val="C00000"/>
          <w:sz w:val="40"/>
          <w:szCs w:val="40"/>
        </w:rPr>
      </w:pPr>
      <w:bookmarkStart w:id="11" w:name="_Toc506278063"/>
      <w:r w:rsidRPr="00666BAC">
        <w:rPr>
          <w:color w:val="C00000"/>
          <w:sz w:val="40"/>
          <w:szCs w:val="40"/>
        </w:rPr>
        <w:lastRenderedPageBreak/>
        <w:t>COMPLAINTS RECEIVED</w:t>
      </w:r>
      <w:bookmarkEnd w:id="11"/>
    </w:p>
    <w:p w:rsidR="00B918CA" w:rsidRPr="00666BAC" w:rsidRDefault="00B918CA" w:rsidP="00B918CA">
      <w:pPr>
        <w:pStyle w:val="Heading2"/>
        <w:spacing w:before="360" w:after="240"/>
        <w:rPr>
          <w:sz w:val="36"/>
          <w:szCs w:val="36"/>
        </w:rPr>
      </w:pPr>
      <w:bookmarkStart w:id="12" w:name="_Toc404344425"/>
      <w:bookmarkStart w:id="13" w:name="_Toc506278064"/>
      <w:bookmarkStart w:id="14" w:name="_Toc398125955"/>
      <w:r w:rsidRPr="00666BAC">
        <w:rPr>
          <w:sz w:val="36"/>
          <w:szCs w:val="36"/>
        </w:rPr>
        <w:t>1.</w:t>
      </w:r>
      <w:r w:rsidRPr="00666BAC">
        <w:rPr>
          <w:sz w:val="36"/>
          <w:szCs w:val="36"/>
        </w:rPr>
        <w:tab/>
        <w:t>How many complaints were received?</w:t>
      </w:r>
      <w:bookmarkEnd w:id="12"/>
      <w:bookmarkEnd w:id="13"/>
      <w:r w:rsidRPr="00666BAC">
        <w:rPr>
          <w:sz w:val="36"/>
          <w:szCs w:val="36"/>
        </w:rPr>
        <w:t xml:space="preserve"> </w:t>
      </w:r>
    </w:p>
    <w:p w:rsidR="00B918CA" w:rsidRPr="00666BAC" w:rsidRDefault="00B918CA" w:rsidP="00B918CA">
      <w:pPr>
        <w:pStyle w:val="Heading3"/>
        <w:rPr>
          <w:b/>
          <w:i w:val="0"/>
          <w:sz w:val="28"/>
          <w:szCs w:val="28"/>
        </w:rPr>
      </w:pPr>
      <w:bookmarkStart w:id="15" w:name="_Toc404344426"/>
      <w:bookmarkStart w:id="16" w:name="_Toc506278065"/>
      <w:bookmarkEnd w:id="14"/>
      <w:r w:rsidRPr="00666BAC">
        <w:rPr>
          <w:b/>
          <w:i w:val="0"/>
          <w:sz w:val="28"/>
          <w:szCs w:val="28"/>
        </w:rPr>
        <w:t>1.1</w:t>
      </w:r>
      <w:r w:rsidRPr="00666BAC">
        <w:rPr>
          <w:b/>
          <w:i w:val="0"/>
          <w:sz w:val="28"/>
          <w:szCs w:val="28"/>
        </w:rPr>
        <w:tab/>
        <w:t>Number of complaints received</w:t>
      </w:r>
      <w:bookmarkEnd w:id="15"/>
      <w:bookmarkEnd w:id="16"/>
    </w:p>
    <w:p w:rsidR="00B918CA" w:rsidRPr="00666BAC" w:rsidRDefault="00B918CA" w:rsidP="00B918CA">
      <w:pPr>
        <w:rPr>
          <w:b/>
        </w:rPr>
      </w:pPr>
    </w:p>
    <w:p w:rsidR="00B918CA" w:rsidRPr="00666BAC" w:rsidRDefault="006B1335" w:rsidP="00B918CA">
      <w:r w:rsidRPr="00666BAC">
        <w:t>In 201</w:t>
      </w:r>
      <w:r w:rsidR="00E60C4A">
        <w:t>7/18</w:t>
      </w:r>
      <w:r w:rsidR="00B918CA" w:rsidRPr="00666BAC">
        <w:t xml:space="preserve">, HDC received a total of </w:t>
      </w:r>
      <w:r w:rsidR="00F74CF8" w:rsidRPr="00666BAC">
        <w:rPr>
          <w:b/>
        </w:rPr>
        <w:t>8</w:t>
      </w:r>
      <w:r w:rsidR="00E60C4A">
        <w:rPr>
          <w:b/>
        </w:rPr>
        <w:t>89</w:t>
      </w:r>
      <w:r w:rsidR="009879C9" w:rsidRPr="00666BAC">
        <w:rPr>
          <w:rStyle w:val="FootnoteReference"/>
          <w:b/>
        </w:rPr>
        <w:footnoteReference w:id="1"/>
      </w:r>
      <w:r w:rsidR="00B918CA" w:rsidRPr="00666BAC">
        <w:t xml:space="preserve"> complaints about care provided by all D</w:t>
      </w:r>
      <w:r w:rsidR="00742C09" w:rsidRPr="00666BAC">
        <w:t>HB</w:t>
      </w:r>
      <w:r w:rsidR="0078386C">
        <w:t>s.</w:t>
      </w:r>
      <w:r w:rsidR="00B918CA" w:rsidRPr="00666BAC">
        <w:t xml:space="preserve"> This equates to </w:t>
      </w:r>
      <w:r w:rsidR="000115AC">
        <w:t>36% of the total 2,498</w:t>
      </w:r>
      <w:r w:rsidR="00B918CA" w:rsidRPr="00666BAC">
        <w:t xml:space="preserve"> complaints received by HDC that year. </w:t>
      </w:r>
    </w:p>
    <w:p w:rsidR="00B918CA" w:rsidRPr="00666BAC" w:rsidRDefault="00B918CA" w:rsidP="00B918CA"/>
    <w:p w:rsidR="00B918CA" w:rsidRPr="00666BAC" w:rsidRDefault="00B918CA" w:rsidP="00B918CA">
      <w:r w:rsidRPr="00666BAC">
        <w:t xml:space="preserve">The </w:t>
      </w:r>
      <w:r w:rsidR="000115AC">
        <w:t>889 complaints received in the 2017/18</w:t>
      </w:r>
      <w:r w:rsidR="00534DB1" w:rsidRPr="00666BAC">
        <w:t xml:space="preserve"> </w:t>
      </w:r>
      <w:r w:rsidR="00892D34" w:rsidRPr="00666BAC">
        <w:t>y</w:t>
      </w:r>
      <w:r w:rsidR="000115AC">
        <w:t>ear represents an increase of 3</w:t>
      </w:r>
      <w:r w:rsidRPr="00666BAC">
        <w:t xml:space="preserve">% </w:t>
      </w:r>
      <w:r w:rsidR="00742C09" w:rsidRPr="00666BAC">
        <w:t>over</w:t>
      </w:r>
      <w:r w:rsidRPr="00666BAC">
        <w:t xml:space="preserve"> the </w:t>
      </w:r>
      <w:r w:rsidR="000115AC">
        <w:t>863 complaints received in 2016/17</w:t>
      </w:r>
      <w:r w:rsidR="0078386C">
        <w:t>.</w:t>
      </w:r>
      <w:r w:rsidRPr="00666BAC">
        <w:t xml:space="preserve"> As can be seen from Figure 1 below, DHB complaint numbers have been steadily incre</w:t>
      </w:r>
      <w:r w:rsidR="00BA11E1" w:rsidRPr="00666BAC">
        <w:t>asing over the last five years.</w:t>
      </w:r>
      <w:r w:rsidRPr="00666BAC">
        <w:t xml:space="preserve"> </w:t>
      </w:r>
      <w:r w:rsidR="002F2899">
        <w:t xml:space="preserve">This reflects an overall </w:t>
      </w:r>
      <w:r w:rsidR="00DD2400" w:rsidRPr="00666BAC">
        <w:rPr>
          <w:lang w:val="en-US"/>
        </w:rPr>
        <w:t>trend of growt</w:t>
      </w:r>
      <w:r w:rsidR="00DD2400">
        <w:rPr>
          <w:lang w:val="en-US"/>
        </w:rPr>
        <w:t>h in complaint numbers to HDC.</w:t>
      </w:r>
    </w:p>
    <w:p w:rsidR="00B918CA" w:rsidRPr="00666BAC" w:rsidRDefault="00B918CA" w:rsidP="00B918CA">
      <w:pPr>
        <w:spacing w:after="120"/>
        <w:rPr>
          <w:b/>
        </w:rPr>
      </w:pPr>
    </w:p>
    <w:p w:rsidR="00B918CA" w:rsidRPr="00666BAC" w:rsidRDefault="00B918CA" w:rsidP="00B918CA">
      <w:pPr>
        <w:spacing w:after="120"/>
        <w:rPr>
          <w:b/>
        </w:rPr>
      </w:pPr>
      <w:r w:rsidRPr="00666BAC">
        <w:rPr>
          <w:b/>
        </w:rPr>
        <w:t xml:space="preserve">Figure 1. </w:t>
      </w:r>
      <w:r w:rsidRPr="00666BAC">
        <w:t>Number of complaints received about DHBs</w:t>
      </w:r>
    </w:p>
    <w:p w:rsidR="00B918CA" w:rsidRPr="00666BAC" w:rsidRDefault="000115AC" w:rsidP="00D335DE">
      <w:pPr>
        <w:jc w:val="center"/>
      </w:pPr>
      <w:r>
        <w:rPr>
          <w:noProof/>
          <w:lang w:eastAsia="en-NZ" w:bidi="ar-SA"/>
        </w:rPr>
        <w:drawing>
          <wp:inline distT="0" distB="0" distL="0" distR="0" wp14:anchorId="0105F947" wp14:editId="5D38D58F">
            <wp:extent cx="5594466" cy="3167149"/>
            <wp:effectExtent l="0" t="0" r="2540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0F2D" w:rsidRPr="00666BAC" w:rsidRDefault="00920F2D" w:rsidP="00B918CA"/>
    <w:p w:rsidR="00B918CA" w:rsidRPr="00666BAC" w:rsidRDefault="000115AC" w:rsidP="00B918CA">
      <w:r>
        <w:t>In 2017/18</w:t>
      </w:r>
      <w:r w:rsidR="000128B9" w:rsidRPr="00DD5240">
        <w:t xml:space="preserve"> t</w:t>
      </w:r>
      <w:r w:rsidR="00B918CA" w:rsidRPr="00DD5240">
        <w:t>he number of complaints received abo</w:t>
      </w:r>
      <w:r w:rsidR="00DD5240">
        <w:t>ut individual DHBs ranged from 7</w:t>
      </w:r>
      <w:r w:rsidR="00892D34" w:rsidRPr="00DD5240">
        <w:t xml:space="preserve"> </w:t>
      </w:r>
      <w:r w:rsidR="00B918CA" w:rsidRPr="00DD5240">
        <w:t xml:space="preserve">complaints to </w:t>
      </w:r>
      <w:r w:rsidR="004D0411">
        <w:t>134</w:t>
      </w:r>
      <w:r w:rsidR="00BA11E1" w:rsidRPr="00DD5240">
        <w:t xml:space="preserve"> complaints.</w:t>
      </w:r>
      <w:r w:rsidR="00B918CA" w:rsidRPr="00DD5240">
        <w:t xml:space="preserve"> Large variability in complaint numbers is not unexpected given the similar variability in the size of populations served and number</w:t>
      </w:r>
      <w:r w:rsidR="002F2899">
        <w:t xml:space="preserve"> and type</w:t>
      </w:r>
      <w:r w:rsidR="00B918CA" w:rsidRPr="00DD5240">
        <w:t xml:space="preserve"> of services delivered by different DHBs.</w:t>
      </w: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Pr="00666BAC" w:rsidRDefault="00BC1F5B" w:rsidP="00BC1F5B">
      <w:pPr>
        <w:widowControl w:val="0"/>
        <w:rPr>
          <w:b/>
          <w:szCs w:val="22"/>
        </w:rPr>
      </w:pPr>
    </w:p>
    <w:p w:rsidR="00BC1F5B" w:rsidRDefault="00BC1F5B" w:rsidP="00BC1F5B">
      <w:pPr>
        <w:widowControl w:val="0"/>
        <w:rPr>
          <w:b/>
          <w:szCs w:val="22"/>
        </w:rPr>
      </w:pPr>
    </w:p>
    <w:p w:rsidR="008F6724" w:rsidRPr="00666BAC" w:rsidRDefault="008F6724" w:rsidP="00BC1F5B">
      <w:pPr>
        <w:widowControl w:val="0"/>
        <w:rPr>
          <w:b/>
          <w:szCs w:val="22"/>
        </w:rPr>
      </w:pPr>
    </w:p>
    <w:p w:rsidR="00B47977" w:rsidRPr="004D0411" w:rsidRDefault="00B47977" w:rsidP="004D0411">
      <w:pPr>
        <w:pStyle w:val="Heading3"/>
        <w:spacing w:before="120" w:after="120"/>
        <w:rPr>
          <w:b/>
          <w:i w:val="0"/>
          <w:sz w:val="28"/>
          <w:szCs w:val="28"/>
        </w:rPr>
      </w:pPr>
      <w:bookmarkStart w:id="17" w:name="_Toc404344427"/>
      <w:bookmarkStart w:id="18" w:name="_Toc506278066"/>
      <w:r w:rsidRPr="00666BAC">
        <w:rPr>
          <w:b/>
          <w:i w:val="0"/>
          <w:sz w:val="28"/>
          <w:szCs w:val="28"/>
        </w:rPr>
        <w:lastRenderedPageBreak/>
        <w:t>1.2</w:t>
      </w:r>
      <w:r w:rsidRPr="00666BAC">
        <w:rPr>
          <w:b/>
          <w:i w:val="0"/>
          <w:sz w:val="28"/>
          <w:szCs w:val="28"/>
        </w:rPr>
        <w:tab/>
        <w:t xml:space="preserve"> Rate of complaints received</w:t>
      </w:r>
      <w:bookmarkEnd w:id="17"/>
      <w:bookmarkEnd w:id="18"/>
      <w:r w:rsidRPr="00666BAC">
        <w:rPr>
          <w:b/>
          <w:i w:val="0"/>
          <w:sz w:val="28"/>
          <w:szCs w:val="28"/>
        </w:rPr>
        <w:t xml:space="preserve"> </w:t>
      </w:r>
    </w:p>
    <w:p w:rsidR="00B47977" w:rsidRPr="00666BAC" w:rsidRDefault="00294FDF" w:rsidP="00B47977">
      <w:r>
        <w:t>Expressing complaints received by</w:t>
      </w:r>
      <w:r w:rsidR="00B47977" w:rsidRPr="00666BAC">
        <w:t xml:space="preserve"> HDC</w:t>
      </w:r>
      <w:r>
        <w:t xml:space="preserve"> about DHBs</w:t>
      </w:r>
      <w:r w:rsidR="00B47977" w:rsidRPr="00666BAC">
        <w:t xml:space="preserve"> as a rate per 100,000 discharges allows more meaningful comparisons to be drawn between DHBs, and over time, </w:t>
      </w:r>
      <w:r w:rsidR="000128B9">
        <w:t>enables</w:t>
      </w:r>
      <w:r w:rsidR="00B47977" w:rsidRPr="00666BAC">
        <w:t xml:space="preserve"> any trends to be better observed.</w:t>
      </w:r>
    </w:p>
    <w:p w:rsidR="00B47977" w:rsidRPr="00666BAC" w:rsidRDefault="00B47977" w:rsidP="00B47977"/>
    <w:p w:rsidR="00B47977" w:rsidRPr="00666BAC" w:rsidRDefault="00D335DE" w:rsidP="00B47977">
      <w:r>
        <w:t>In the 2</w:t>
      </w:r>
      <w:r w:rsidR="004D0411">
        <w:t>017/18</w:t>
      </w:r>
      <w:r w:rsidR="00B47977" w:rsidRPr="00666BAC">
        <w:t xml:space="preserve"> year, according to Ministry of Health data</w:t>
      </w:r>
      <w:r w:rsidR="00742C09" w:rsidRPr="00666BAC">
        <w:t>,</w:t>
      </w:r>
      <w:r w:rsidR="00B47977" w:rsidRPr="00666BAC">
        <w:rPr>
          <w:rStyle w:val="FootnoteReference"/>
        </w:rPr>
        <w:footnoteReference w:id="2"/>
      </w:r>
      <w:r w:rsidR="004D0411">
        <w:t xml:space="preserve"> there were 974,675</w:t>
      </w:r>
      <w:r w:rsidR="00B47977" w:rsidRPr="00666BAC">
        <w:t xml:space="preserve"> discharges nationally.  This </w:t>
      </w:r>
      <w:r w:rsidR="004D0411">
        <w:t>equates to an overall rate of 91</w:t>
      </w:r>
      <w:r w:rsidR="00B47977" w:rsidRPr="00666BAC">
        <w:t xml:space="preserve"> complaints per 100,000 </w:t>
      </w:r>
      <w:r w:rsidR="00BA11E1" w:rsidRPr="00666BAC">
        <w:t>discharges across DHB services.</w:t>
      </w:r>
      <w:r w:rsidR="00B47977" w:rsidRPr="00666BAC">
        <w:t xml:space="preserve"> This </w:t>
      </w:r>
      <w:r w:rsidR="00EF6A26">
        <w:t>is a very small increase on the</w:t>
      </w:r>
      <w:r w:rsidR="001F2AD8" w:rsidRPr="00666BAC">
        <w:t xml:space="preserve"> overall rate of 8</w:t>
      </w:r>
      <w:r w:rsidR="004D0411">
        <w:t>9</w:t>
      </w:r>
      <w:r w:rsidR="00B47977" w:rsidRPr="00666BAC">
        <w:t xml:space="preserve"> complaints pe</w:t>
      </w:r>
      <w:r>
        <w:t>r 100,000 discha</w:t>
      </w:r>
      <w:r w:rsidR="004D0411">
        <w:t xml:space="preserve">rges </w:t>
      </w:r>
      <w:r w:rsidR="00EF6A26">
        <w:t xml:space="preserve">received </w:t>
      </w:r>
      <w:r w:rsidR="004D0411">
        <w:t>during 2016/17</w:t>
      </w:r>
      <w:r w:rsidR="00EF6A26">
        <w:t xml:space="preserve">. </w:t>
      </w:r>
    </w:p>
    <w:p w:rsidR="00B47977" w:rsidRPr="00666BAC" w:rsidRDefault="00B47977" w:rsidP="00B47977"/>
    <w:p w:rsidR="00B47977" w:rsidRPr="00666BAC" w:rsidRDefault="00B47977" w:rsidP="000C30B7">
      <w:pPr>
        <w:spacing w:before="120" w:after="120"/>
        <w:rPr>
          <w:szCs w:val="22"/>
        </w:rPr>
      </w:pPr>
      <w:r w:rsidRPr="00666BAC">
        <w:t xml:space="preserve">  </w:t>
      </w:r>
      <w:r w:rsidRPr="00666BAC">
        <w:rPr>
          <w:b/>
          <w:szCs w:val="22"/>
        </w:rPr>
        <w:t xml:space="preserve">Figure 2. </w:t>
      </w:r>
      <w:r w:rsidRPr="00666BAC">
        <w:rPr>
          <w:szCs w:val="22"/>
        </w:rPr>
        <w:t>Rate of complaints received about DHBs per 100,000 discharges</w:t>
      </w:r>
    </w:p>
    <w:p w:rsidR="00B47977" w:rsidRPr="00666BAC" w:rsidRDefault="00EF6A26" w:rsidP="000C30B7">
      <w:pPr>
        <w:jc w:val="center"/>
        <w:rPr>
          <w:szCs w:val="22"/>
        </w:rPr>
      </w:pPr>
      <w:r>
        <w:rPr>
          <w:noProof/>
          <w:lang w:eastAsia="en-NZ" w:bidi="ar-SA"/>
        </w:rPr>
        <w:drawing>
          <wp:inline distT="0" distB="0" distL="0" distR="0" wp14:anchorId="6865B4B3" wp14:editId="20D235F5">
            <wp:extent cx="5370021" cy="3341717"/>
            <wp:effectExtent l="0" t="0" r="2159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7977" w:rsidRPr="00666BAC" w:rsidRDefault="00B47977" w:rsidP="00B47977"/>
    <w:p w:rsidR="00B47977" w:rsidRPr="00666BAC" w:rsidRDefault="00B47977" w:rsidP="00B47977">
      <w:r w:rsidRPr="006B3CFA">
        <w:t>For individual DHBs, the rate of co</w:t>
      </w:r>
      <w:r w:rsidR="006B3CFA" w:rsidRPr="006B3CFA">
        <w:t>mplaints received ranged from 45</w:t>
      </w:r>
      <w:r w:rsidRPr="006B3CFA">
        <w:t xml:space="preserve"> complain</w:t>
      </w:r>
      <w:r w:rsidR="006B3CFA" w:rsidRPr="006B3CFA">
        <w:t>ts per 100,000 discharges to 231</w:t>
      </w:r>
      <w:r w:rsidRPr="006B3CFA">
        <w:t xml:space="preserve"> complaints per 100,000 discharges.</w:t>
      </w:r>
      <w:r w:rsidRPr="00666BAC">
        <w:t xml:space="preserve">  </w:t>
      </w:r>
    </w:p>
    <w:p w:rsidR="00B47977" w:rsidRPr="00666BAC" w:rsidRDefault="00B47977" w:rsidP="00B47977"/>
    <w:p w:rsidR="00B47977" w:rsidRPr="00666BAC" w:rsidRDefault="00B47977" w:rsidP="00B47977">
      <w:r w:rsidRPr="00666BAC">
        <w:t>However, while discharge data is useful for standardising DHB activity over time, it is less accurate when compa</w:t>
      </w:r>
      <w:r w:rsidR="0078386C">
        <w:t xml:space="preserve">ring DHBs against one another. </w:t>
      </w:r>
      <w:r w:rsidRPr="00666BAC">
        <w:t>This is because some services are excluded from the discharge data collected</w:t>
      </w:r>
      <w:r w:rsidR="00742C09" w:rsidRPr="00666BAC">
        <w:t>,</w:t>
      </w:r>
      <w:r w:rsidRPr="00666BAC">
        <w:rPr>
          <w:rStyle w:val="FootnoteReference"/>
        </w:rPr>
        <w:footnoteReference w:id="3"/>
      </w:r>
      <w:r w:rsidRPr="00666BAC">
        <w:rPr>
          <w:rStyle w:val="FootnoteReference"/>
        </w:rPr>
        <w:t xml:space="preserve"> </w:t>
      </w:r>
      <w:r w:rsidRPr="00666BAC">
        <w:t>disproportionately affect</w:t>
      </w:r>
      <w:r w:rsidR="0078386C">
        <w:t>ing some DHBs more than others.</w:t>
      </w:r>
      <w:r w:rsidRPr="00666BAC">
        <w:t xml:space="preserve"> In addition, discharge data does not take into account the particular services provided by a DHB or the nature of the population and geographical area served. </w:t>
      </w:r>
      <w:r w:rsidRPr="00666BAC">
        <w:rPr>
          <w:rStyle w:val="FootnoteReference"/>
        </w:rPr>
        <w:t xml:space="preserve"> </w:t>
      </w:r>
    </w:p>
    <w:p w:rsidR="00BC1F5B" w:rsidRPr="00666BAC" w:rsidRDefault="00BC1F5B" w:rsidP="00BC1F5B">
      <w:pPr>
        <w:widowControl w:val="0"/>
        <w:rPr>
          <w:b/>
          <w:szCs w:val="22"/>
        </w:rPr>
      </w:pPr>
    </w:p>
    <w:p w:rsidR="00E157FD" w:rsidRDefault="00E157FD" w:rsidP="00E157FD"/>
    <w:p w:rsidR="008F6724" w:rsidRDefault="008F6724" w:rsidP="00E157FD"/>
    <w:p w:rsidR="008F6724" w:rsidRDefault="008F6724" w:rsidP="00E157FD"/>
    <w:p w:rsidR="008F6724" w:rsidRPr="00666BAC" w:rsidRDefault="008F6724" w:rsidP="00E157FD"/>
    <w:p w:rsidR="00E157FD" w:rsidRPr="00666BAC" w:rsidRDefault="00E157FD" w:rsidP="00E157FD"/>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E157FD" w:rsidRPr="00666BAC" w:rsidTr="00E157FD">
        <w:tc>
          <w:tcPr>
            <w:tcW w:w="9298" w:type="dxa"/>
          </w:tcPr>
          <w:p w:rsidR="00E157FD" w:rsidRPr="00666BAC" w:rsidRDefault="00E157FD" w:rsidP="00BA11E1">
            <w:pPr>
              <w:tabs>
                <w:tab w:val="left" w:pos="1440"/>
                <w:tab w:val="left" w:pos="2610"/>
              </w:tabs>
              <w:spacing w:before="120" w:after="120"/>
              <w:jc w:val="center"/>
              <w:outlineLvl w:val="0"/>
              <w:rPr>
                <w:b/>
                <w:sz w:val="28"/>
                <w:szCs w:val="28"/>
              </w:rPr>
            </w:pPr>
            <w:r w:rsidRPr="00666BAC">
              <w:rPr>
                <w:b/>
                <w:sz w:val="28"/>
                <w:szCs w:val="28"/>
              </w:rPr>
              <w:lastRenderedPageBreak/>
              <w:t>Why are complaint numbers increasing?</w:t>
            </w:r>
          </w:p>
          <w:p w:rsidR="00E157FD" w:rsidRPr="00666BAC" w:rsidRDefault="00E157FD" w:rsidP="00E157FD">
            <w:pPr>
              <w:tabs>
                <w:tab w:val="left" w:pos="1440"/>
                <w:tab w:val="left" w:pos="2610"/>
              </w:tabs>
              <w:spacing w:after="240"/>
              <w:outlineLvl w:val="0"/>
              <w:rPr>
                <w:lang w:val="en-US"/>
              </w:rPr>
            </w:pPr>
            <w:r w:rsidRPr="00666BAC">
              <w:rPr>
                <w:lang w:val="en-US"/>
              </w:rPr>
              <w:t xml:space="preserve">The increasing number of complaints being received by HDC about DHBs </w:t>
            </w:r>
            <w:r w:rsidR="00F72D35">
              <w:rPr>
                <w:lang w:val="en-US"/>
              </w:rPr>
              <w:t>reflects</w:t>
            </w:r>
            <w:r w:rsidRPr="00666BAC">
              <w:rPr>
                <w:lang w:val="en-US"/>
              </w:rPr>
              <w:t xml:space="preserve"> an overall trend of sustained growt</w:t>
            </w:r>
            <w:r w:rsidR="0078386C">
              <w:rPr>
                <w:lang w:val="en-US"/>
              </w:rPr>
              <w:t xml:space="preserve">h in complaint numbers to HDC. </w:t>
            </w:r>
            <w:r w:rsidR="00DD5240">
              <w:rPr>
                <w:lang w:val="en-US"/>
              </w:rPr>
              <w:t>Over the last five</w:t>
            </w:r>
            <w:r w:rsidRPr="00666BAC">
              <w:rPr>
                <w:lang w:val="en-US"/>
              </w:rPr>
              <w:t xml:space="preserve"> years, the number of compl</w:t>
            </w:r>
            <w:r w:rsidR="006B3CFA">
              <w:rPr>
                <w:lang w:val="en-US"/>
              </w:rPr>
              <w:t>aints to HDC has increased by 40</w:t>
            </w:r>
            <w:r w:rsidRPr="00666BAC">
              <w:rPr>
                <w:lang w:val="en-US"/>
              </w:rPr>
              <w:t xml:space="preserve">%.  </w:t>
            </w:r>
          </w:p>
          <w:p w:rsidR="00E157FD" w:rsidRPr="00666BAC" w:rsidRDefault="00E157FD" w:rsidP="00E157FD">
            <w:pPr>
              <w:tabs>
                <w:tab w:val="left" w:pos="1440"/>
                <w:tab w:val="left" w:pos="2610"/>
              </w:tabs>
              <w:spacing w:after="240"/>
              <w:outlineLvl w:val="0"/>
              <w:rPr>
                <w:lang w:val="en-US"/>
              </w:rPr>
            </w:pPr>
            <w:r w:rsidRPr="00666BAC">
              <w:rPr>
                <w:lang w:val="en-US"/>
              </w:rPr>
              <w:t xml:space="preserve">This increase must be interpreted with caution. HDC has no evidence to suggest that the increase in complaints relates to a decrease in the quality of services by providers generally, or by DHBs in particular.  </w:t>
            </w:r>
          </w:p>
          <w:p w:rsidR="00E157FD" w:rsidRPr="00666BAC" w:rsidRDefault="00E157FD" w:rsidP="00E157FD">
            <w:pPr>
              <w:tabs>
                <w:tab w:val="left" w:pos="1440"/>
                <w:tab w:val="left" w:pos="2610"/>
              </w:tabs>
              <w:spacing w:after="240"/>
              <w:outlineLvl w:val="0"/>
              <w:rPr>
                <w:lang w:val="en-US"/>
              </w:rPr>
            </w:pPr>
            <w:r w:rsidRPr="00666BAC">
              <w:rPr>
                <w:lang w:val="en-US"/>
              </w:rPr>
              <w:t xml:space="preserve">The growth in complaint numbers is more likely to be due to the increasing profile of HDC, the improved accessibility of complaints processes due to advancing technology, and an increasing </w:t>
            </w:r>
            <w:r w:rsidR="00102BDE" w:rsidRPr="00666BAC">
              <w:rPr>
                <w:lang w:val="en-US"/>
              </w:rPr>
              <w:t xml:space="preserve">public </w:t>
            </w:r>
            <w:r w:rsidR="0078386C">
              <w:rPr>
                <w:lang w:val="en-US"/>
              </w:rPr>
              <w:t>knowledge of consumer rights.</w:t>
            </w:r>
            <w:r w:rsidRPr="00666BAC">
              <w:rPr>
                <w:lang w:val="en-US"/>
              </w:rPr>
              <w:t xml:space="preserve"> It may also reflect an increased willingness among</w:t>
            </w:r>
            <w:r w:rsidR="00F72D35">
              <w:rPr>
                <w:lang w:val="en-US"/>
              </w:rPr>
              <w:t>st</w:t>
            </w:r>
            <w:r w:rsidRPr="00666BAC">
              <w:rPr>
                <w:lang w:val="en-US"/>
              </w:rPr>
              <w:t xml:space="preserve"> consumers to com</w:t>
            </w:r>
            <w:r w:rsidR="00DD5240">
              <w:rPr>
                <w:lang w:val="en-US"/>
              </w:rPr>
              <w:t>plain about services received and increasing health care service activity.</w:t>
            </w:r>
          </w:p>
          <w:p w:rsidR="00E157FD" w:rsidRPr="00666BAC" w:rsidRDefault="00E157FD" w:rsidP="006B3CFA">
            <w:pPr>
              <w:tabs>
                <w:tab w:val="left" w:pos="1440"/>
                <w:tab w:val="left" w:pos="2610"/>
              </w:tabs>
              <w:spacing w:after="240"/>
              <w:outlineLvl w:val="0"/>
              <w:rPr>
                <w:lang w:val="en-US"/>
              </w:rPr>
            </w:pPr>
            <w:r w:rsidRPr="00666BAC">
              <w:rPr>
                <w:lang w:val="en-US"/>
              </w:rPr>
              <w:t>HDC’s increasing complaint load is not unique, but is consistent with a trend being observed in complaints agencies both around New Zealand and internationally.</w:t>
            </w:r>
            <w:r w:rsidR="00742C09" w:rsidRPr="00666BAC">
              <w:rPr>
                <w:lang w:val="en-US"/>
              </w:rPr>
              <w:t xml:space="preserve"> For exampl</w:t>
            </w:r>
            <w:r w:rsidR="005972DC" w:rsidRPr="00666BAC">
              <w:rPr>
                <w:lang w:val="en-US"/>
              </w:rPr>
              <w:t xml:space="preserve">e, </w:t>
            </w:r>
            <w:r w:rsidR="006B3CFA">
              <w:rPr>
                <w:lang w:val="en-US"/>
              </w:rPr>
              <w:t>in 2017/18</w:t>
            </w:r>
            <w:r w:rsidR="005972DC" w:rsidRPr="00666BAC">
              <w:rPr>
                <w:lang w:val="en-US"/>
              </w:rPr>
              <w:t xml:space="preserve"> complaints to</w:t>
            </w:r>
            <w:r w:rsidR="00742C09" w:rsidRPr="00666BAC">
              <w:rPr>
                <w:lang w:val="en-US"/>
              </w:rPr>
              <w:t xml:space="preserve"> the New South Wales Health Care Complaint Commission and the Office of the Health </w:t>
            </w:r>
            <w:r w:rsidR="006B3CFA">
              <w:rPr>
                <w:lang w:val="en-US"/>
              </w:rPr>
              <w:t>Complaints</w:t>
            </w:r>
            <w:r w:rsidR="00F629B3" w:rsidRPr="00666BAC">
              <w:rPr>
                <w:lang w:val="en-US"/>
              </w:rPr>
              <w:t xml:space="preserve"> </w:t>
            </w:r>
            <w:r w:rsidR="00742C09" w:rsidRPr="00666BAC">
              <w:rPr>
                <w:lang w:val="en-US"/>
              </w:rPr>
              <w:t>C</w:t>
            </w:r>
            <w:r w:rsidR="001205D6">
              <w:rPr>
                <w:lang w:val="en-US"/>
              </w:rPr>
              <w:t>ommissioner in Victoria</w:t>
            </w:r>
            <w:r w:rsidR="006B3CFA">
              <w:rPr>
                <w:lang w:val="en-US"/>
              </w:rPr>
              <w:t xml:space="preserve"> increased by 12% and 13</w:t>
            </w:r>
            <w:r w:rsidR="005972DC" w:rsidRPr="00666BAC">
              <w:rPr>
                <w:lang w:val="en-US"/>
              </w:rPr>
              <w:t>%</w:t>
            </w:r>
            <w:r w:rsidR="007E31DC" w:rsidRPr="00666BAC">
              <w:rPr>
                <w:lang w:val="en-US"/>
              </w:rPr>
              <w:t xml:space="preserve"> respectively.</w:t>
            </w:r>
            <w:r w:rsidR="00742C09" w:rsidRPr="00666BAC">
              <w:rPr>
                <w:lang w:val="en-US"/>
              </w:rPr>
              <w:t xml:space="preserve"> </w:t>
            </w:r>
          </w:p>
        </w:tc>
      </w:tr>
    </w:tbl>
    <w:p w:rsidR="00484708" w:rsidRPr="00666BAC" w:rsidRDefault="00484708"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szCs w:val="22"/>
        </w:rPr>
      </w:pPr>
    </w:p>
    <w:p w:rsidR="000A0BCE" w:rsidRPr="00666BAC" w:rsidRDefault="000A0BCE" w:rsidP="00BC1F5B">
      <w:pPr>
        <w:widowControl w:val="0"/>
        <w:rPr>
          <w:b/>
          <w:szCs w:val="22"/>
        </w:rPr>
      </w:pPr>
    </w:p>
    <w:p w:rsidR="00484708" w:rsidRPr="00666BAC" w:rsidRDefault="00484708" w:rsidP="00BC1F5B">
      <w:pPr>
        <w:widowControl w:val="0"/>
        <w:rPr>
          <w:b/>
          <w:szCs w:val="22"/>
        </w:rPr>
      </w:pPr>
    </w:p>
    <w:p w:rsidR="00BA11E1" w:rsidRPr="00666BAC" w:rsidRDefault="00BA11E1" w:rsidP="00BC1F5B">
      <w:pPr>
        <w:widowControl w:val="0"/>
        <w:rPr>
          <w:b/>
          <w:szCs w:val="22"/>
        </w:rPr>
      </w:pPr>
    </w:p>
    <w:p w:rsidR="00E157FD" w:rsidRPr="00666BAC" w:rsidRDefault="00E157FD" w:rsidP="00E157FD">
      <w:pPr>
        <w:pStyle w:val="Heading2"/>
        <w:spacing w:before="360" w:after="240"/>
        <w:rPr>
          <w:sz w:val="36"/>
          <w:szCs w:val="36"/>
        </w:rPr>
      </w:pPr>
      <w:bookmarkStart w:id="19" w:name="_Toc404344428"/>
      <w:bookmarkStart w:id="20" w:name="_Toc506278067"/>
      <w:r w:rsidRPr="00666BAC">
        <w:rPr>
          <w:sz w:val="36"/>
          <w:szCs w:val="36"/>
        </w:rPr>
        <w:lastRenderedPageBreak/>
        <w:t>2.</w:t>
      </w:r>
      <w:r w:rsidRPr="00666BAC">
        <w:rPr>
          <w:sz w:val="36"/>
          <w:szCs w:val="36"/>
        </w:rPr>
        <w:tab/>
        <w:t>Which DHB services were complained about?</w:t>
      </w:r>
      <w:bookmarkEnd w:id="19"/>
      <w:bookmarkEnd w:id="20"/>
      <w:r w:rsidRPr="00666BAC">
        <w:rPr>
          <w:sz w:val="36"/>
          <w:szCs w:val="36"/>
        </w:rPr>
        <w:t xml:space="preserve"> </w:t>
      </w:r>
    </w:p>
    <w:p w:rsidR="00E157FD" w:rsidRPr="00E62B9F" w:rsidRDefault="00E157FD" w:rsidP="00E62B9F">
      <w:pPr>
        <w:pStyle w:val="Heading3"/>
        <w:spacing w:after="120"/>
        <w:rPr>
          <w:b/>
          <w:i w:val="0"/>
          <w:sz w:val="28"/>
          <w:szCs w:val="28"/>
        </w:rPr>
      </w:pPr>
      <w:bookmarkStart w:id="21" w:name="_Toc398125958"/>
      <w:bookmarkStart w:id="22" w:name="_Toc404344429"/>
      <w:bookmarkStart w:id="23" w:name="_Toc506278068"/>
      <w:r w:rsidRPr="00666BAC">
        <w:rPr>
          <w:b/>
          <w:i w:val="0"/>
          <w:sz w:val="28"/>
          <w:szCs w:val="28"/>
        </w:rPr>
        <w:t>2.1</w:t>
      </w:r>
      <w:r w:rsidRPr="00666BAC">
        <w:rPr>
          <w:b/>
          <w:i w:val="0"/>
          <w:sz w:val="28"/>
          <w:szCs w:val="28"/>
        </w:rPr>
        <w:tab/>
      </w:r>
      <w:r w:rsidRPr="00666BAC">
        <w:rPr>
          <w:b/>
          <w:i w:val="0"/>
          <w:sz w:val="28"/>
          <w:szCs w:val="28"/>
        </w:rPr>
        <w:tab/>
        <w:t>DHB service types complained about</w:t>
      </w:r>
      <w:bookmarkEnd w:id="21"/>
      <w:bookmarkEnd w:id="22"/>
      <w:bookmarkEnd w:id="23"/>
    </w:p>
    <w:p w:rsidR="00E157FD" w:rsidRPr="00666BAC" w:rsidRDefault="00E157FD" w:rsidP="00E157FD">
      <w:r w:rsidRPr="00666BAC">
        <w:t>DHBs operate a n</w:t>
      </w:r>
      <w:r w:rsidR="00B55309">
        <w:t xml:space="preserve">umber of different services </w:t>
      </w:r>
      <w:r w:rsidRPr="00666BAC">
        <w:t>within hospitals</w:t>
      </w:r>
      <w:r w:rsidR="00BA11E1" w:rsidRPr="00666BAC">
        <w:t>,</w:t>
      </w:r>
      <w:r w:rsidRPr="00666BAC">
        <w:t xml:space="preserve"> in clinics and in the community. </w:t>
      </w:r>
      <w:r w:rsidR="00ED5373" w:rsidRPr="00666BAC">
        <w:t>It should be noted that some complaints involve more than one DHB and/or more than one hospital, therefore,</w:t>
      </w:r>
      <w:r w:rsidR="00604A49">
        <w:t xml:space="preserve"> although there were 889</w:t>
      </w:r>
      <w:r w:rsidR="00ED5373" w:rsidRPr="00666BAC">
        <w:t xml:space="preserve"> complaints about DHBs, </w:t>
      </w:r>
      <w:r w:rsidR="00604A49">
        <w:t>923</w:t>
      </w:r>
      <w:r w:rsidR="00ED5373" w:rsidRPr="00666BAC">
        <w:t xml:space="preserve"> services have been complained about.</w:t>
      </w:r>
      <w:r w:rsidRPr="00666BAC">
        <w:t xml:space="preserve"> </w:t>
      </w:r>
    </w:p>
    <w:p w:rsidR="00E157FD" w:rsidRPr="00666BAC" w:rsidRDefault="00E157FD" w:rsidP="00E157FD"/>
    <w:p w:rsidR="00E157FD" w:rsidRPr="00666BAC" w:rsidRDefault="00E157FD" w:rsidP="00E157FD">
      <w:r w:rsidRPr="00666BAC">
        <w:t>Compla</w:t>
      </w:r>
      <w:r w:rsidR="005F2FC7" w:rsidRPr="00666BAC">
        <w:t>ints received by HDC in the 201</w:t>
      </w:r>
      <w:r w:rsidR="00604A49">
        <w:t>7/18</w:t>
      </w:r>
      <w:r w:rsidRPr="00666BAC">
        <w:t xml:space="preserve"> year were spread across many </w:t>
      </w:r>
      <w:r w:rsidR="001205D6">
        <w:t>different</w:t>
      </w:r>
      <w:r w:rsidRPr="00666BAC">
        <w:t xml:space="preserve"> service types, as shown in Figure 3 below, with the greatest proportion of co</w:t>
      </w:r>
      <w:r w:rsidR="00C5788A" w:rsidRPr="00666BAC">
        <w:t xml:space="preserve">mplaints being </w:t>
      </w:r>
      <w:r w:rsidR="00BA11E1" w:rsidRPr="00666BAC">
        <w:t>about surgical services</w:t>
      </w:r>
      <w:r w:rsidR="00C5788A" w:rsidRPr="00666BAC">
        <w:t xml:space="preserve"> (</w:t>
      </w:r>
      <w:r w:rsidR="00604A49">
        <w:t>32</w:t>
      </w:r>
      <w:r w:rsidRPr="00666BAC">
        <w:t>%), followed by mental he</w:t>
      </w:r>
      <w:r w:rsidR="00C5788A" w:rsidRPr="00666BAC">
        <w:t>alth (</w:t>
      </w:r>
      <w:r w:rsidR="00604A49">
        <w:t>20%), general medicine (16</w:t>
      </w:r>
      <w:r w:rsidRPr="00666BAC">
        <w:t xml:space="preserve">%), </w:t>
      </w:r>
      <w:r w:rsidR="00A87F43">
        <w:t>emergency department</w:t>
      </w:r>
      <w:r w:rsidR="00604A49">
        <w:t xml:space="preserve"> (11</w:t>
      </w:r>
      <w:r w:rsidR="00C5788A" w:rsidRPr="00666BAC">
        <w:t>%) and maternity services (</w:t>
      </w:r>
      <w:r w:rsidR="00604A49">
        <w:t>7</w:t>
      </w:r>
      <w:r w:rsidRPr="00666BAC">
        <w:t>%).</w:t>
      </w:r>
    </w:p>
    <w:p w:rsidR="00E157FD" w:rsidRPr="00666BAC" w:rsidRDefault="00E157FD" w:rsidP="00E157FD"/>
    <w:p w:rsidR="00E157FD" w:rsidRPr="00666BAC" w:rsidRDefault="00E157FD" w:rsidP="00E157FD">
      <w:pPr>
        <w:spacing w:after="120"/>
      </w:pPr>
      <w:r w:rsidRPr="00666BAC">
        <w:rPr>
          <w:b/>
        </w:rPr>
        <w:t xml:space="preserve">Figure 3. </w:t>
      </w:r>
      <w:r w:rsidRPr="00666BAC">
        <w:t>DHB service types complained about</w:t>
      </w:r>
    </w:p>
    <w:p w:rsidR="00E157FD" w:rsidRPr="00666BAC" w:rsidRDefault="00604A49" w:rsidP="00D47568">
      <w:pPr>
        <w:jc w:val="center"/>
        <w:rPr>
          <w:szCs w:val="22"/>
        </w:rPr>
      </w:pPr>
      <w:r>
        <w:rPr>
          <w:noProof/>
          <w:lang w:eastAsia="en-NZ" w:bidi="ar-SA"/>
        </w:rPr>
        <w:drawing>
          <wp:inline distT="0" distB="0" distL="0" distR="0" wp14:anchorId="0BDBDCBA" wp14:editId="0CAF70F7">
            <wp:extent cx="5619404" cy="4172990"/>
            <wp:effectExtent l="0" t="0" r="19685"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5373" w:rsidRPr="00666BAC" w:rsidRDefault="00E157FD" w:rsidP="00191F8C">
      <w:pPr>
        <w:spacing w:before="120"/>
      </w:pPr>
      <w:r w:rsidRPr="00666BAC">
        <w:t>A more nuanced picture of service types complained about, including individual surgical and general medicine service categ</w:t>
      </w:r>
      <w:r w:rsidR="00D5364B">
        <w:t>ories, is provided in Table 1</w:t>
      </w:r>
      <w:r w:rsidR="00ED5373" w:rsidRPr="00666BAC">
        <w:t xml:space="preserve">. </w:t>
      </w:r>
    </w:p>
    <w:p w:rsidR="00E157FD" w:rsidRPr="00666BAC" w:rsidRDefault="00ED5373" w:rsidP="00ED5373">
      <w:pPr>
        <w:spacing w:before="120"/>
      </w:pPr>
      <w:r w:rsidRPr="00666BAC">
        <w:t>The most common surgical spec</w:t>
      </w:r>
      <w:r w:rsidR="00604A49">
        <w:t>ialties complained about in 2017/18 were orthopaedics (7</w:t>
      </w:r>
      <w:r w:rsidRPr="00666BAC">
        <w:t>%)</w:t>
      </w:r>
      <w:r w:rsidR="001205D6">
        <w:t>, general</w:t>
      </w:r>
      <w:r w:rsidR="00604A49">
        <w:t xml:space="preserve"> surgery (7</w:t>
      </w:r>
      <w:r w:rsidR="00D00543">
        <w:t>%)</w:t>
      </w:r>
      <w:r w:rsidR="00604A49">
        <w:t xml:space="preserve"> and urology (5%)</w:t>
      </w:r>
      <w:r w:rsidR="00D00543">
        <w:t xml:space="preserve">. </w:t>
      </w:r>
      <w:r w:rsidRPr="00666BAC">
        <w:t>This is</w:t>
      </w:r>
      <w:r w:rsidR="00D00543">
        <w:t xml:space="preserve"> broadly</w:t>
      </w:r>
      <w:r w:rsidRPr="00666BAC">
        <w:t xml:space="preserve"> consistent with the surgical spec</w:t>
      </w:r>
      <w:r w:rsidR="00604A49">
        <w:t xml:space="preserve">ialties complained about in previous years, with the exception of urology services which increased from </w:t>
      </w:r>
      <w:r w:rsidR="006F6C7B">
        <w:t>2% of services complained about in 2016/17 to 5% in 2017/18.</w:t>
      </w:r>
    </w:p>
    <w:p w:rsidR="00E157FD" w:rsidRPr="00666BAC" w:rsidRDefault="00E157FD" w:rsidP="00E157FD"/>
    <w:p w:rsidR="00E157FD" w:rsidRPr="00666BAC" w:rsidRDefault="00E157FD" w:rsidP="00E157FD"/>
    <w:p w:rsidR="00E157FD" w:rsidRPr="00666BAC" w:rsidRDefault="00E157FD" w:rsidP="00E157FD"/>
    <w:p w:rsidR="000B1842" w:rsidRPr="00666BAC" w:rsidRDefault="000B1842" w:rsidP="00E157FD"/>
    <w:p w:rsidR="00D47568" w:rsidRDefault="00D47568" w:rsidP="00E157FD"/>
    <w:p w:rsidR="00604A49" w:rsidRDefault="00604A49" w:rsidP="00E157FD"/>
    <w:p w:rsidR="00604A49" w:rsidRPr="00666BAC" w:rsidRDefault="00604A49" w:rsidP="00E157FD"/>
    <w:p w:rsidR="00E157FD" w:rsidRPr="00666BAC" w:rsidRDefault="00D5364B" w:rsidP="00E157FD">
      <w:pPr>
        <w:spacing w:after="120"/>
        <w:rPr>
          <w:szCs w:val="22"/>
        </w:rPr>
      </w:pPr>
      <w:r>
        <w:rPr>
          <w:b/>
          <w:szCs w:val="22"/>
        </w:rPr>
        <w:lastRenderedPageBreak/>
        <w:t>Table 1</w:t>
      </w:r>
      <w:r w:rsidR="00E157FD" w:rsidRPr="00666BAC">
        <w:rPr>
          <w:b/>
          <w:szCs w:val="22"/>
        </w:rPr>
        <w:t xml:space="preserve">. </w:t>
      </w:r>
      <w:r w:rsidR="00E157FD" w:rsidRPr="00666BAC">
        <w:rPr>
          <w:szCs w:val="22"/>
        </w:rPr>
        <w:t>DHB 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tblGrid>
      <w:tr w:rsidR="00E157FD" w:rsidRPr="00666BAC" w:rsidTr="00E157FD">
        <w:trPr>
          <w:trHeight w:val="624"/>
          <w:tblHeader/>
        </w:trPr>
        <w:tc>
          <w:tcPr>
            <w:tcW w:w="4678" w:type="dxa"/>
            <w:shd w:val="clear" w:color="auto" w:fill="C00000"/>
          </w:tcPr>
          <w:p w:rsidR="00E157FD" w:rsidRPr="00666BAC" w:rsidRDefault="00E157FD" w:rsidP="00E157FD">
            <w:pPr>
              <w:tabs>
                <w:tab w:val="left" w:pos="1440"/>
                <w:tab w:val="decimal" w:pos="4320"/>
              </w:tabs>
              <w:spacing w:before="120" w:after="120"/>
              <w:jc w:val="center"/>
              <w:outlineLvl w:val="0"/>
              <w:rPr>
                <w:b/>
                <w:szCs w:val="22"/>
                <w:vertAlign w:val="superscript"/>
              </w:rPr>
            </w:pPr>
            <w:r w:rsidRPr="00666BAC">
              <w:rPr>
                <w:b/>
                <w:szCs w:val="22"/>
              </w:rPr>
              <w:t>Service type</w:t>
            </w:r>
          </w:p>
        </w:tc>
        <w:tc>
          <w:tcPr>
            <w:tcW w:w="2268" w:type="dxa"/>
            <w:shd w:val="clear" w:color="auto" w:fill="C00000"/>
          </w:tcPr>
          <w:p w:rsidR="00E157FD" w:rsidRPr="00666BAC" w:rsidRDefault="00E157FD" w:rsidP="00E157FD">
            <w:pPr>
              <w:tabs>
                <w:tab w:val="left" w:pos="1440"/>
                <w:tab w:val="decimal" w:pos="4320"/>
              </w:tabs>
              <w:spacing w:before="120" w:after="120"/>
              <w:jc w:val="center"/>
              <w:outlineLvl w:val="0"/>
              <w:rPr>
                <w:b/>
                <w:szCs w:val="22"/>
              </w:rPr>
            </w:pPr>
            <w:r w:rsidRPr="00666BAC">
              <w:rPr>
                <w:b/>
                <w:szCs w:val="22"/>
              </w:rPr>
              <w:t>Number of services (%)</w:t>
            </w:r>
          </w:p>
        </w:tc>
      </w:tr>
      <w:tr w:rsidR="003978E3" w:rsidRPr="00666BAC" w:rsidTr="003978E3">
        <w:trPr>
          <w:trHeight w:val="278"/>
        </w:trPr>
        <w:tc>
          <w:tcPr>
            <w:tcW w:w="4678" w:type="dxa"/>
            <w:vAlign w:val="bottom"/>
          </w:tcPr>
          <w:p w:rsidR="003978E3" w:rsidRPr="00666BAC" w:rsidRDefault="003978E3" w:rsidP="00E157FD">
            <w:pPr>
              <w:rPr>
                <w:rFonts w:cs="Calibri"/>
                <w:b/>
                <w:color w:val="000000"/>
                <w:szCs w:val="22"/>
              </w:rPr>
            </w:pPr>
            <w:r>
              <w:rPr>
                <w:rFonts w:cs="Calibri"/>
                <w:b/>
                <w:color w:val="000000"/>
                <w:szCs w:val="22"/>
              </w:rPr>
              <w:t>Aged care</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4</w:t>
            </w:r>
            <w:r>
              <w:rPr>
                <w:rFonts w:ascii="Calibri" w:hAnsi="Calibri"/>
                <w:b/>
                <w:color w:val="000000"/>
                <w:szCs w:val="22"/>
              </w:rPr>
              <w:fldChar w:fldCharType="end"/>
            </w:r>
            <w:r>
              <w:rPr>
                <w:rFonts w:ascii="Calibri" w:hAnsi="Calibri"/>
                <w:b/>
                <w:color w:val="000000"/>
                <w:szCs w:val="22"/>
              </w:rPr>
              <w:t xml:space="preserve"> (0.4)</w:t>
            </w:r>
          </w:p>
        </w:tc>
      </w:tr>
      <w:tr w:rsidR="003978E3" w:rsidRPr="00666BAC" w:rsidTr="003978E3">
        <w:trPr>
          <w:trHeight w:val="278"/>
        </w:trPr>
        <w:tc>
          <w:tcPr>
            <w:tcW w:w="4678" w:type="dxa"/>
            <w:vAlign w:val="bottom"/>
          </w:tcPr>
          <w:p w:rsidR="003978E3" w:rsidRPr="00666BAC" w:rsidRDefault="003978E3" w:rsidP="00E157FD">
            <w:pPr>
              <w:rPr>
                <w:rFonts w:cs="Calibri"/>
                <w:b/>
                <w:color w:val="000000"/>
                <w:szCs w:val="22"/>
              </w:rPr>
            </w:pPr>
            <w:r w:rsidRPr="00666BAC">
              <w:rPr>
                <w:rFonts w:cs="Calibri"/>
                <w:b/>
                <w:color w:val="000000"/>
                <w:szCs w:val="22"/>
              </w:rPr>
              <w:t>Alcohol and drug</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7</w:t>
            </w:r>
            <w:r>
              <w:rPr>
                <w:rFonts w:ascii="Calibri" w:hAnsi="Calibri"/>
                <w:b/>
                <w:color w:val="000000"/>
                <w:szCs w:val="22"/>
              </w:rPr>
              <w:fldChar w:fldCharType="end"/>
            </w:r>
            <w:r>
              <w:rPr>
                <w:rFonts w:ascii="Calibri" w:hAnsi="Calibri"/>
                <w:b/>
                <w:color w:val="000000"/>
                <w:szCs w:val="22"/>
              </w:rPr>
              <w:t xml:space="preserve"> (0.8)</w:t>
            </w:r>
          </w:p>
        </w:tc>
      </w:tr>
      <w:tr w:rsidR="003978E3" w:rsidRPr="00666BAC" w:rsidTr="003978E3">
        <w:trPr>
          <w:trHeight w:val="267"/>
        </w:trPr>
        <w:tc>
          <w:tcPr>
            <w:tcW w:w="4678" w:type="dxa"/>
            <w:vAlign w:val="bottom"/>
          </w:tcPr>
          <w:p w:rsidR="003978E3" w:rsidRPr="00666BAC" w:rsidRDefault="003978E3" w:rsidP="00E157FD">
            <w:pPr>
              <w:rPr>
                <w:rFonts w:cs="Calibri"/>
                <w:b/>
                <w:color w:val="000000"/>
                <w:szCs w:val="22"/>
              </w:rPr>
            </w:pPr>
            <w:r w:rsidRPr="00666BAC">
              <w:rPr>
                <w:rFonts w:cs="Calibri"/>
                <w:b/>
                <w:color w:val="000000"/>
                <w:szCs w:val="22"/>
              </w:rPr>
              <w:t>Anaesthetics/pain medicine</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5</w:t>
            </w:r>
            <w:r>
              <w:rPr>
                <w:rFonts w:ascii="Calibri" w:hAnsi="Calibri"/>
                <w:b/>
                <w:color w:val="000000"/>
                <w:szCs w:val="22"/>
              </w:rPr>
              <w:fldChar w:fldCharType="end"/>
            </w:r>
            <w:r>
              <w:rPr>
                <w:rFonts w:ascii="Calibri" w:hAnsi="Calibri"/>
                <w:b/>
                <w:color w:val="000000"/>
                <w:szCs w:val="22"/>
              </w:rPr>
              <w:t xml:space="preserve"> (0.5)</w:t>
            </w:r>
          </w:p>
        </w:tc>
      </w:tr>
      <w:tr w:rsidR="003978E3" w:rsidRPr="00666BAC" w:rsidTr="003978E3">
        <w:trPr>
          <w:trHeight w:val="267"/>
        </w:trPr>
        <w:tc>
          <w:tcPr>
            <w:tcW w:w="4678" w:type="dxa"/>
            <w:vAlign w:val="bottom"/>
          </w:tcPr>
          <w:p w:rsidR="003978E3" w:rsidRPr="00666BAC" w:rsidRDefault="003978E3" w:rsidP="00E157FD">
            <w:pPr>
              <w:rPr>
                <w:rFonts w:cs="Calibri"/>
                <w:b/>
                <w:color w:val="000000"/>
                <w:szCs w:val="22"/>
              </w:rPr>
            </w:pPr>
            <w:r w:rsidRPr="00666BAC">
              <w:rPr>
                <w:rFonts w:cs="Calibri"/>
                <w:b/>
                <w:color w:val="000000"/>
                <w:szCs w:val="22"/>
              </w:rPr>
              <w:t xml:space="preserve">Dental </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4</w:t>
            </w:r>
            <w:r>
              <w:rPr>
                <w:rFonts w:ascii="Calibri" w:hAnsi="Calibri"/>
                <w:b/>
                <w:color w:val="000000"/>
                <w:szCs w:val="22"/>
              </w:rPr>
              <w:fldChar w:fldCharType="end"/>
            </w:r>
            <w:r>
              <w:rPr>
                <w:rFonts w:ascii="Calibri" w:hAnsi="Calibri"/>
                <w:b/>
                <w:color w:val="000000"/>
                <w:szCs w:val="22"/>
              </w:rPr>
              <w:t xml:space="preserve"> (0.4)</w:t>
            </w:r>
          </w:p>
        </w:tc>
      </w:tr>
      <w:tr w:rsidR="003978E3" w:rsidRPr="00666BAC" w:rsidTr="003978E3">
        <w:trPr>
          <w:trHeight w:val="286"/>
        </w:trPr>
        <w:tc>
          <w:tcPr>
            <w:tcW w:w="4678" w:type="dxa"/>
            <w:vAlign w:val="bottom"/>
          </w:tcPr>
          <w:p w:rsidR="003978E3" w:rsidRPr="00666BAC" w:rsidRDefault="003978E3" w:rsidP="00E157FD">
            <w:pPr>
              <w:rPr>
                <w:rFonts w:cs="Arial"/>
                <w:b/>
                <w:szCs w:val="22"/>
              </w:rPr>
            </w:pPr>
            <w:r w:rsidRPr="00666BAC">
              <w:rPr>
                <w:rFonts w:cs="Arial"/>
                <w:b/>
                <w:szCs w:val="22"/>
              </w:rPr>
              <w:t>Diagnostics</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22</w:t>
            </w:r>
            <w:r>
              <w:rPr>
                <w:rFonts w:ascii="Calibri" w:hAnsi="Calibri"/>
                <w:b/>
                <w:color w:val="000000"/>
                <w:szCs w:val="22"/>
              </w:rPr>
              <w:fldChar w:fldCharType="end"/>
            </w:r>
            <w:r>
              <w:rPr>
                <w:rFonts w:ascii="Calibri" w:hAnsi="Calibri"/>
                <w:b/>
                <w:color w:val="000000"/>
                <w:szCs w:val="22"/>
              </w:rPr>
              <w:t xml:space="preserve"> (2)</w:t>
            </w:r>
          </w:p>
        </w:tc>
      </w:tr>
      <w:tr w:rsidR="003978E3" w:rsidRPr="00666BAC" w:rsidTr="003978E3">
        <w:trPr>
          <w:trHeight w:val="286"/>
        </w:trPr>
        <w:tc>
          <w:tcPr>
            <w:tcW w:w="4678" w:type="dxa"/>
            <w:vAlign w:val="bottom"/>
          </w:tcPr>
          <w:p w:rsidR="003978E3" w:rsidRPr="00666BAC" w:rsidRDefault="003978E3" w:rsidP="00E157FD">
            <w:pPr>
              <w:rPr>
                <w:rFonts w:cs="Arial"/>
                <w:b/>
                <w:szCs w:val="22"/>
              </w:rPr>
            </w:pPr>
            <w:r w:rsidRPr="00666BAC">
              <w:rPr>
                <w:rFonts w:cs="Arial"/>
                <w:b/>
                <w:szCs w:val="22"/>
              </w:rPr>
              <w:t>Disability services</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16</w:t>
            </w:r>
            <w:r>
              <w:rPr>
                <w:rFonts w:ascii="Calibri" w:hAnsi="Calibri"/>
                <w:b/>
                <w:color w:val="000000"/>
                <w:szCs w:val="22"/>
              </w:rPr>
              <w:fldChar w:fldCharType="end"/>
            </w:r>
            <w:r>
              <w:rPr>
                <w:rFonts w:ascii="Calibri" w:hAnsi="Calibri"/>
                <w:b/>
                <w:color w:val="000000"/>
                <w:szCs w:val="22"/>
              </w:rPr>
              <w:t xml:space="preserve"> (2)</w:t>
            </w:r>
          </w:p>
        </w:tc>
      </w:tr>
      <w:tr w:rsidR="003978E3" w:rsidRPr="00666BAC" w:rsidTr="003978E3">
        <w:trPr>
          <w:trHeight w:val="286"/>
        </w:trPr>
        <w:tc>
          <w:tcPr>
            <w:tcW w:w="4678" w:type="dxa"/>
            <w:vAlign w:val="bottom"/>
          </w:tcPr>
          <w:p w:rsidR="003978E3" w:rsidRPr="00666BAC" w:rsidRDefault="003978E3" w:rsidP="00E157FD">
            <w:pPr>
              <w:rPr>
                <w:rFonts w:cs="Arial"/>
                <w:b/>
                <w:szCs w:val="22"/>
              </w:rPr>
            </w:pPr>
            <w:r w:rsidRPr="00666BAC">
              <w:rPr>
                <w:rFonts w:cs="Arial"/>
                <w:b/>
                <w:szCs w:val="22"/>
              </w:rPr>
              <w:t>District nursing</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5</w:t>
            </w:r>
            <w:r>
              <w:rPr>
                <w:rFonts w:ascii="Calibri" w:hAnsi="Calibri"/>
                <w:b/>
                <w:color w:val="000000"/>
                <w:szCs w:val="22"/>
              </w:rPr>
              <w:fldChar w:fldCharType="end"/>
            </w:r>
            <w:r>
              <w:rPr>
                <w:rFonts w:ascii="Calibri" w:hAnsi="Calibri"/>
                <w:b/>
                <w:color w:val="000000"/>
                <w:szCs w:val="22"/>
              </w:rPr>
              <w:t xml:space="preserve"> (0.5)</w:t>
            </w:r>
          </w:p>
        </w:tc>
      </w:tr>
      <w:tr w:rsidR="003978E3" w:rsidRPr="00666BAC" w:rsidTr="003978E3">
        <w:trPr>
          <w:trHeight w:val="286"/>
        </w:trPr>
        <w:tc>
          <w:tcPr>
            <w:tcW w:w="4678" w:type="dxa"/>
            <w:vAlign w:val="bottom"/>
          </w:tcPr>
          <w:p w:rsidR="003978E3" w:rsidRPr="00666BAC" w:rsidRDefault="003978E3" w:rsidP="00E3499D">
            <w:pPr>
              <w:jc w:val="left"/>
              <w:rPr>
                <w:rFonts w:cs="Calibri"/>
                <w:b/>
                <w:color w:val="000000"/>
                <w:szCs w:val="22"/>
              </w:rPr>
            </w:pPr>
            <w:r w:rsidRPr="00666BAC">
              <w:rPr>
                <w:rFonts w:cs="Calibri"/>
                <w:b/>
                <w:color w:val="000000"/>
                <w:szCs w:val="22"/>
              </w:rPr>
              <w:t>Emergency department</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fldChar w:fldCharType="begin"/>
            </w:r>
            <w:r>
              <w:rPr>
                <w:rFonts w:ascii="Calibri" w:hAnsi="Calibri"/>
                <w:b/>
                <w:color w:val="000000"/>
                <w:szCs w:val="22"/>
              </w:rPr>
              <w:instrText xml:space="preserve"> =SUM(LEFT) </w:instrText>
            </w:r>
            <w:r>
              <w:rPr>
                <w:rFonts w:ascii="Calibri" w:hAnsi="Calibri"/>
                <w:b/>
                <w:color w:val="000000"/>
                <w:szCs w:val="22"/>
              </w:rPr>
              <w:fldChar w:fldCharType="separate"/>
            </w:r>
            <w:r>
              <w:rPr>
                <w:rFonts w:ascii="Calibri" w:hAnsi="Calibri"/>
                <w:b/>
                <w:noProof/>
                <w:color w:val="000000"/>
                <w:szCs w:val="22"/>
              </w:rPr>
              <w:t>104</w:t>
            </w:r>
            <w:r>
              <w:rPr>
                <w:rFonts w:ascii="Calibri" w:hAnsi="Calibri"/>
                <w:b/>
                <w:color w:val="000000"/>
                <w:szCs w:val="22"/>
              </w:rPr>
              <w:fldChar w:fldCharType="end"/>
            </w:r>
            <w:r>
              <w:rPr>
                <w:rFonts w:ascii="Calibri" w:hAnsi="Calibri"/>
                <w:b/>
                <w:color w:val="000000"/>
                <w:szCs w:val="22"/>
              </w:rPr>
              <w:t xml:space="preserve"> (11)</w:t>
            </w:r>
          </w:p>
        </w:tc>
      </w:tr>
      <w:tr w:rsidR="00E3499D" w:rsidRPr="00666BAC" w:rsidTr="00E157FD">
        <w:trPr>
          <w:trHeight w:val="337"/>
        </w:trPr>
        <w:tc>
          <w:tcPr>
            <w:tcW w:w="4678" w:type="dxa"/>
          </w:tcPr>
          <w:p w:rsidR="00E3499D" w:rsidRPr="00666BAC" w:rsidRDefault="00E3499D" w:rsidP="00E157FD">
            <w:pPr>
              <w:jc w:val="left"/>
              <w:rPr>
                <w:rFonts w:cs="Calibri"/>
                <w:b/>
                <w:color w:val="000000"/>
                <w:szCs w:val="22"/>
              </w:rPr>
            </w:pPr>
            <w:r w:rsidRPr="00666BAC">
              <w:rPr>
                <w:rFonts w:cs="Calibri"/>
                <w:b/>
                <w:color w:val="000000"/>
                <w:szCs w:val="22"/>
              </w:rPr>
              <w:t>General medicine</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Cardiology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Dermatology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Endocrinology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Gastroenterology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Geriatric medicine</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Haematology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Infectious diseases</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Neurology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Oncology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Palliative care</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Renal/nephrology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Respiratory</w:t>
            </w:r>
          </w:p>
          <w:p w:rsidR="00E3499D" w:rsidRDefault="00E3499D" w:rsidP="00E3499D">
            <w:pPr>
              <w:jc w:val="left"/>
              <w:rPr>
                <w:rFonts w:ascii="Calibri" w:hAnsi="Calibri" w:cs="Calibri"/>
                <w:color w:val="000000"/>
                <w:szCs w:val="22"/>
              </w:rPr>
            </w:pPr>
            <w:r>
              <w:rPr>
                <w:rFonts w:ascii="Calibri" w:hAnsi="Calibri" w:cs="Calibri"/>
                <w:color w:val="000000"/>
                <w:szCs w:val="22"/>
              </w:rPr>
              <w:t xml:space="preserve">  Rheumatology</w:t>
            </w:r>
          </w:p>
          <w:p w:rsidR="00E3499D" w:rsidRPr="00666BAC" w:rsidRDefault="00E3499D" w:rsidP="00E3499D">
            <w:pPr>
              <w:jc w:val="left"/>
              <w:rPr>
                <w:rFonts w:cs="Calibri"/>
                <w:color w:val="000000"/>
                <w:szCs w:val="22"/>
              </w:rPr>
            </w:pPr>
            <w:r>
              <w:rPr>
                <w:rFonts w:ascii="Calibri" w:hAnsi="Calibri" w:cs="Calibri"/>
                <w:color w:val="000000"/>
                <w:szCs w:val="22"/>
              </w:rPr>
              <w:t xml:space="preserve">  Other/unspecified</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t>152 (16)</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23</w:t>
            </w:r>
            <w:r>
              <w:rPr>
                <w:rFonts w:ascii="Calibri" w:hAnsi="Calibri"/>
                <w:color w:val="000000"/>
                <w:szCs w:val="22"/>
              </w:rPr>
              <w:t xml:space="preserve"> (2)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w:t>
            </w:r>
            <w:r>
              <w:rPr>
                <w:rFonts w:ascii="Calibri" w:hAnsi="Calibri"/>
                <w:color w:val="000000"/>
                <w:szCs w:val="22"/>
              </w:rPr>
              <w:t xml:space="preserve"> (0.1)</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8</w:t>
            </w:r>
            <w:r>
              <w:rPr>
                <w:rFonts w:ascii="Calibri" w:hAnsi="Calibri"/>
                <w:color w:val="000000"/>
                <w:szCs w:val="22"/>
              </w:rPr>
              <w:t xml:space="preserve"> (0.9)</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14</w:t>
            </w:r>
            <w:r>
              <w:rPr>
                <w:rFonts w:ascii="Calibri" w:hAnsi="Calibri"/>
                <w:color w:val="000000"/>
                <w:szCs w:val="22"/>
              </w:rPr>
              <w:t xml:space="preserve"> (2)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19</w:t>
            </w:r>
            <w:r>
              <w:rPr>
                <w:rFonts w:ascii="Calibri" w:hAnsi="Calibri"/>
                <w:color w:val="000000"/>
                <w:szCs w:val="22"/>
              </w:rPr>
              <w:t xml:space="preserve"> (2)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3</w:t>
            </w:r>
            <w:r>
              <w:rPr>
                <w:rFonts w:ascii="Calibri" w:hAnsi="Calibri"/>
                <w:color w:val="000000"/>
                <w:szCs w:val="22"/>
              </w:rPr>
              <w:t xml:space="preserve"> (0.3)</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3</w:t>
            </w:r>
            <w:r>
              <w:rPr>
                <w:rFonts w:ascii="Calibri" w:hAnsi="Calibri"/>
                <w:color w:val="000000"/>
                <w:szCs w:val="22"/>
              </w:rPr>
              <w:t xml:space="preserve"> (0.3)</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18</w:t>
            </w:r>
            <w:r>
              <w:rPr>
                <w:rFonts w:ascii="Calibri" w:hAnsi="Calibri"/>
                <w:color w:val="000000"/>
                <w:szCs w:val="22"/>
              </w:rPr>
              <w:t xml:space="preserve"> (2)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13</w:t>
            </w:r>
            <w:r>
              <w:rPr>
                <w:rFonts w:ascii="Calibri" w:hAnsi="Calibri"/>
                <w:color w:val="000000"/>
                <w:szCs w:val="22"/>
              </w:rPr>
              <w:t xml:space="preserve"> (1)</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2</w:t>
            </w:r>
            <w:r>
              <w:rPr>
                <w:rFonts w:ascii="Calibri" w:hAnsi="Calibri"/>
                <w:color w:val="000000"/>
                <w:szCs w:val="22"/>
              </w:rPr>
              <w:t xml:space="preserve"> (0.2)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3</w:t>
            </w:r>
            <w:r>
              <w:rPr>
                <w:rFonts w:ascii="Calibri" w:hAnsi="Calibri"/>
                <w:color w:val="000000"/>
                <w:szCs w:val="22"/>
              </w:rPr>
              <w:t xml:space="preserve"> (0.3)</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9</w:t>
            </w:r>
            <w:r>
              <w:rPr>
                <w:rFonts w:ascii="Calibri" w:hAnsi="Calibri"/>
                <w:color w:val="000000"/>
                <w:szCs w:val="22"/>
              </w:rPr>
              <w:t xml:space="preserve"> (1)</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3</w:t>
            </w:r>
            <w:r>
              <w:rPr>
                <w:rFonts w:ascii="Calibri" w:hAnsi="Calibri"/>
                <w:color w:val="000000"/>
                <w:szCs w:val="22"/>
              </w:rPr>
              <w:t xml:space="preserve"> (0.3)</w:t>
            </w:r>
          </w:p>
          <w:p w:rsidR="00E3499D" w:rsidRPr="00666BAC" w:rsidRDefault="003978E3" w:rsidP="003978E3">
            <w:pPr>
              <w:jc w:val="center"/>
              <w:rPr>
                <w:color w:val="000000"/>
                <w:szCs w:val="22"/>
              </w:rPr>
            </w:pPr>
            <w:r w:rsidRPr="001F5191">
              <w:rPr>
                <w:rFonts w:ascii="Calibri" w:hAnsi="Calibri"/>
                <w:color w:val="000000"/>
                <w:szCs w:val="22"/>
              </w:rPr>
              <w:t>33</w:t>
            </w:r>
            <w:r w:rsidR="00604A49">
              <w:rPr>
                <w:rFonts w:ascii="Calibri" w:hAnsi="Calibri"/>
                <w:color w:val="000000"/>
                <w:szCs w:val="22"/>
              </w:rPr>
              <w:t xml:space="preserve"> (4)</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Hearing services</w:t>
            </w:r>
          </w:p>
        </w:tc>
        <w:tc>
          <w:tcPr>
            <w:tcW w:w="2268" w:type="dxa"/>
            <w:vAlign w:val="center"/>
          </w:tcPr>
          <w:p w:rsidR="00A23E42" w:rsidRDefault="003978E3" w:rsidP="00A23E42">
            <w:pPr>
              <w:jc w:val="center"/>
              <w:rPr>
                <w:rFonts w:ascii="Calibri" w:hAnsi="Calibri"/>
                <w:b/>
                <w:color w:val="000000"/>
                <w:szCs w:val="22"/>
              </w:rPr>
            </w:pPr>
            <w:r>
              <w:rPr>
                <w:rFonts w:ascii="Calibri" w:hAnsi="Calibri"/>
                <w:b/>
                <w:color w:val="000000"/>
                <w:szCs w:val="22"/>
              </w:rPr>
              <w:t>3</w:t>
            </w:r>
            <w:r w:rsidR="00604A49">
              <w:rPr>
                <w:rFonts w:ascii="Calibri" w:hAnsi="Calibri"/>
                <w:b/>
                <w:color w:val="000000"/>
                <w:szCs w:val="22"/>
              </w:rPr>
              <w:t xml:space="preserve"> (0.3)</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Intensive care/critical care</w:t>
            </w:r>
          </w:p>
        </w:tc>
        <w:tc>
          <w:tcPr>
            <w:tcW w:w="2268" w:type="dxa"/>
            <w:vAlign w:val="center"/>
          </w:tcPr>
          <w:p w:rsidR="00A23E42" w:rsidRDefault="003978E3" w:rsidP="00A23E42">
            <w:pPr>
              <w:jc w:val="center"/>
              <w:rPr>
                <w:rFonts w:ascii="Calibri" w:hAnsi="Calibri"/>
                <w:b/>
                <w:color w:val="000000"/>
                <w:szCs w:val="22"/>
              </w:rPr>
            </w:pPr>
            <w:r>
              <w:rPr>
                <w:rFonts w:ascii="Calibri" w:hAnsi="Calibri"/>
                <w:b/>
                <w:color w:val="000000"/>
                <w:szCs w:val="22"/>
              </w:rPr>
              <w:t>6</w:t>
            </w:r>
            <w:r w:rsidR="00604A49">
              <w:rPr>
                <w:rFonts w:ascii="Calibri" w:hAnsi="Calibri"/>
                <w:b/>
                <w:color w:val="000000"/>
                <w:szCs w:val="22"/>
              </w:rPr>
              <w:t xml:space="preserve"> (0.7)</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Maternity</w:t>
            </w:r>
          </w:p>
        </w:tc>
        <w:tc>
          <w:tcPr>
            <w:tcW w:w="2268" w:type="dxa"/>
            <w:vAlign w:val="center"/>
          </w:tcPr>
          <w:p w:rsidR="00A23E42" w:rsidRDefault="003978E3" w:rsidP="00A23E42">
            <w:pPr>
              <w:jc w:val="center"/>
              <w:rPr>
                <w:rFonts w:ascii="Calibri" w:hAnsi="Calibri"/>
                <w:b/>
                <w:color w:val="000000"/>
                <w:szCs w:val="22"/>
              </w:rPr>
            </w:pPr>
            <w:r>
              <w:rPr>
                <w:rFonts w:ascii="Calibri" w:hAnsi="Calibri"/>
                <w:b/>
                <w:color w:val="000000"/>
                <w:szCs w:val="22"/>
              </w:rPr>
              <w:t>69</w:t>
            </w:r>
            <w:r w:rsidR="00604A49">
              <w:rPr>
                <w:rFonts w:ascii="Calibri" w:hAnsi="Calibri"/>
                <w:b/>
                <w:color w:val="000000"/>
                <w:szCs w:val="22"/>
              </w:rPr>
              <w:t xml:space="preserve"> (7)</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 xml:space="preserve">Mental health </w:t>
            </w:r>
          </w:p>
        </w:tc>
        <w:tc>
          <w:tcPr>
            <w:tcW w:w="2268" w:type="dxa"/>
            <w:vAlign w:val="center"/>
          </w:tcPr>
          <w:p w:rsidR="00A23E42" w:rsidRDefault="003978E3" w:rsidP="00A23E42">
            <w:pPr>
              <w:jc w:val="center"/>
              <w:rPr>
                <w:rFonts w:ascii="Calibri" w:hAnsi="Calibri"/>
                <w:b/>
                <w:color w:val="000000"/>
                <w:szCs w:val="22"/>
              </w:rPr>
            </w:pPr>
            <w:r>
              <w:rPr>
                <w:rFonts w:ascii="Calibri" w:hAnsi="Calibri"/>
                <w:b/>
                <w:color w:val="000000"/>
                <w:szCs w:val="22"/>
              </w:rPr>
              <w:t>188</w:t>
            </w:r>
            <w:r w:rsidR="00604A49">
              <w:rPr>
                <w:rFonts w:ascii="Calibri" w:hAnsi="Calibri"/>
                <w:b/>
                <w:color w:val="000000"/>
                <w:szCs w:val="22"/>
              </w:rPr>
              <w:t xml:space="preserve"> (20)</w:t>
            </w:r>
          </w:p>
        </w:tc>
      </w:tr>
      <w:tr w:rsidR="00A23E42" w:rsidRPr="00666BAC" w:rsidTr="00E157FD">
        <w:tc>
          <w:tcPr>
            <w:tcW w:w="4678" w:type="dxa"/>
            <w:vAlign w:val="bottom"/>
          </w:tcPr>
          <w:p w:rsidR="00A23E42" w:rsidRPr="00666BAC" w:rsidRDefault="00A23E42" w:rsidP="00E157FD">
            <w:pPr>
              <w:rPr>
                <w:rFonts w:cs="Arial"/>
                <w:b/>
                <w:szCs w:val="22"/>
              </w:rPr>
            </w:pPr>
            <w:r w:rsidRPr="00666BAC">
              <w:rPr>
                <w:rFonts w:cs="Arial"/>
                <w:b/>
                <w:szCs w:val="22"/>
              </w:rPr>
              <w:t xml:space="preserve">Paediatrics </w:t>
            </w:r>
            <w:r w:rsidRPr="00666BAC">
              <w:rPr>
                <w:rFonts w:cs="Arial"/>
                <w:szCs w:val="22"/>
              </w:rPr>
              <w:t>(not surgical)</w:t>
            </w:r>
          </w:p>
        </w:tc>
        <w:tc>
          <w:tcPr>
            <w:tcW w:w="2268" w:type="dxa"/>
            <w:vAlign w:val="center"/>
          </w:tcPr>
          <w:p w:rsidR="00A23E42" w:rsidRDefault="003978E3" w:rsidP="00A23E42">
            <w:pPr>
              <w:jc w:val="center"/>
              <w:rPr>
                <w:rFonts w:ascii="Calibri" w:hAnsi="Calibri"/>
                <w:b/>
                <w:color w:val="000000"/>
                <w:szCs w:val="22"/>
              </w:rPr>
            </w:pPr>
            <w:r>
              <w:rPr>
                <w:rFonts w:ascii="Calibri" w:hAnsi="Calibri"/>
                <w:b/>
                <w:color w:val="000000"/>
                <w:szCs w:val="22"/>
              </w:rPr>
              <w:t>27</w:t>
            </w:r>
            <w:r w:rsidR="00604A49">
              <w:rPr>
                <w:rFonts w:ascii="Calibri" w:hAnsi="Calibri"/>
                <w:b/>
                <w:color w:val="000000"/>
                <w:szCs w:val="22"/>
              </w:rPr>
              <w:t xml:space="preserve"> (3)</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 xml:space="preserve">Rehabilitation services </w:t>
            </w:r>
          </w:p>
        </w:tc>
        <w:tc>
          <w:tcPr>
            <w:tcW w:w="2268" w:type="dxa"/>
            <w:vAlign w:val="center"/>
          </w:tcPr>
          <w:p w:rsidR="00A23E42" w:rsidRDefault="003978E3" w:rsidP="00A23E42">
            <w:pPr>
              <w:jc w:val="center"/>
              <w:rPr>
                <w:rFonts w:ascii="Calibri" w:hAnsi="Calibri"/>
                <w:b/>
                <w:color w:val="000000"/>
                <w:szCs w:val="22"/>
              </w:rPr>
            </w:pPr>
            <w:r>
              <w:rPr>
                <w:rFonts w:ascii="Calibri" w:hAnsi="Calibri"/>
                <w:b/>
                <w:color w:val="000000"/>
                <w:szCs w:val="22"/>
              </w:rPr>
              <w:t>6</w:t>
            </w:r>
            <w:r w:rsidR="00604A49">
              <w:rPr>
                <w:rFonts w:ascii="Calibri" w:hAnsi="Calibri"/>
                <w:b/>
                <w:color w:val="000000"/>
                <w:szCs w:val="22"/>
              </w:rPr>
              <w:t xml:space="preserve"> (0.7)</w:t>
            </w:r>
          </w:p>
        </w:tc>
      </w:tr>
      <w:tr w:rsidR="00A23E42" w:rsidRPr="00666BAC" w:rsidTr="00E157FD">
        <w:tc>
          <w:tcPr>
            <w:tcW w:w="4678" w:type="dxa"/>
            <w:vAlign w:val="bottom"/>
          </w:tcPr>
          <w:p w:rsidR="00A23E42" w:rsidRPr="00666BAC" w:rsidRDefault="00A23E42" w:rsidP="00E157FD">
            <w:pPr>
              <w:rPr>
                <w:rFonts w:cs="Calibri"/>
                <w:b/>
                <w:color w:val="000000"/>
                <w:szCs w:val="22"/>
              </w:rPr>
            </w:pPr>
            <w:r w:rsidRPr="00666BAC">
              <w:rPr>
                <w:rFonts w:cs="Calibri"/>
                <w:b/>
                <w:color w:val="000000"/>
                <w:szCs w:val="22"/>
              </w:rPr>
              <w:t>Surgery</w:t>
            </w:r>
          </w:p>
          <w:p w:rsidR="00A23E42" w:rsidRDefault="00A23E42" w:rsidP="00A23E42">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A23E42" w:rsidRDefault="00A23E42" w:rsidP="00A23E42">
            <w:pPr>
              <w:rPr>
                <w:rFonts w:ascii="Calibri" w:hAnsi="Calibri" w:cs="Calibri"/>
                <w:color w:val="000000"/>
                <w:szCs w:val="22"/>
              </w:rPr>
            </w:pPr>
            <w:r>
              <w:rPr>
                <w:rFonts w:ascii="Calibri" w:hAnsi="Calibri" w:cs="Calibri"/>
                <w:color w:val="000000"/>
                <w:szCs w:val="22"/>
              </w:rPr>
              <w:t xml:space="preserve">  General</w:t>
            </w:r>
          </w:p>
          <w:p w:rsidR="00A23E42" w:rsidRDefault="00A23E42" w:rsidP="00A23E42">
            <w:pPr>
              <w:rPr>
                <w:rFonts w:ascii="Calibri" w:hAnsi="Calibri" w:cs="Calibri"/>
                <w:color w:val="000000"/>
                <w:szCs w:val="22"/>
              </w:rPr>
            </w:pPr>
            <w:r>
              <w:rPr>
                <w:rFonts w:ascii="Calibri" w:hAnsi="Calibri" w:cs="Calibri"/>
                <w:color w:val="000000"/>
                <w:szCs w:val="22"/>
              </w:rPr>
              <w:t xml:space="preserve">  Gynaecology</w:t>
            </w:r>
          </w:p>
          <w:p w:rsidR="00A23E42" w:rsidRDefault="00A23E42" w:rsidP="00A23E42">
            <w:pPr>
              <w:rPr>
                <w:rFonts w:ascii="Calibri" w:hAnsi="Calibri" w:cs="Calibri"/>
                <w:color w:val="000000"/>
                <w:szCs w:val="22"/>
              </w:rPr>
            </w:pPr>
            <w:r>
              <w:rPr>
                <w:rFonts w:ascii="Calibri" w:hAnsi="Calibri" w:cs="Calibri"/>
                <w:color w:val="000000"/>
                <w:szCs w:val="22"/>
              </w:rPr>
              <w:t xml:space="preserve">  Neurosurgery</w:t>
            </w:r>
          </w:p>
          <w:p w:rsidR="00A23E42" w:rsidRDefault="00A23E42" w:rsidP="00A23E42">
            <w:pPr>
              <w:rPr>
                <w:rFonts w:ascii="Calibri" w:hAnsi="Calibri" w:cs="Calibri"/>
                <w:color w:val="000000"/>
                <w:szCs w:val="22"/>
              </w:rPr>
            </w:pPr>
            <w:r>
              <w:rPr>
                <w:rFonts w:ascii="Calibri" w:hAnsi="Calibri" w:cs="Calibri"/>
                <w:color w:val="000000"/>
                <w:szCs w:val="22"/>
              </w:rPr>
              <w:t xml:space="preserve">  Ophthalmology</w:t>
            </w:r>
          </w:p>
          <w:p w:rsidR="003978E3" w:rsidRDefault="003978E3" w:rsidP="00A23E42">
            <w:pPr>
              <w:rPr>
                <w:rFonts w:ascii="Calibri" w:hAnsi="Calibri" w:cs="Calibri"/>
                <w:color w:val="000000"/>
                <w:szCs w:val="22"/>
              </w:rPr>
            </w:pPr>
            <w:r>
              <w:rPr>
                <w:rFonts w:ascii="Calibri" w:hAnsi="Calibri" w:cs="Calibri"/>
                <w:color w:val="000000"/>
                <w:szCs w:val="22"/>
              </w:rPr>
              <w:t xml:space="preserve">  Oral/Maxillofacial</w:t>
            </w:r>
          </w:p>
          <w:p w:rsidR="00A23E42" w:rsidRDefault="00A23E42" w:rsidP="00A23E42">
            <w:pPr>
              <w:rPr>
                <w:rFonts w:ascii="Calibri" w:hAnsi="Calibri" w:cs="Calibri"/>
                <w:color w:val="000000"/>
                <w:szCs w:val="22"/>
              </w:rPr>
            </w:pPr>
            <w:r>
              <w:rPr>
                <w:rFonts w:ascii="Calibri" w:hAnsi="Calibri" w:cs="Calibri"/>
                <w:color w:val="000000"/>
                <w:szCs w:val="22"/>
              </w:rPr>
              <w:t xml:space="preserve">  Orthopaedics</w:t>
            </w:r>
          </w:p>
          <w:p w:rsidR="00A23E42" w:rsidRDefault="00A23E42" w:rsidP="00A23E42">
            <w:pPr>
              <w:rPr>
                <w:rFonts w:ascii="Calibri" w:hAnsi="Calibri" w:cs="Calibri"/>
                <w:color w:val="000000"/>
                <w:szCs w:val="22"/>
              </w:rPr>
            </w:pPr>
            <w:r>
              <w:rPr>
                <w:rFonts w:ascii="Calibri" w:hAnsi="Calibri" w:cs="Calibri"/>
                <w:color w:val="000000"/>
                <w:szCs w:val="22"/>
              </w:rPr>
              <w:t xml:space="preserve">  Otolaryngology</w:t>
            </w:r>
          </w:p>
          <w:p w:rsidR="00A23E42" w:rsidRDefault="00A23E42" w:rsidP="00A23E42">
            <w:pPr>
              <w:rPr>
                <w:rFonts w:ascii="Calibri" w:hAnsi="Calibri" w:cs="Calibri"/>
                <w:color w:val="000000"/>
                <w:szCs w:val="22"/>
              </w:rPr>
            </w:pPr>
            <w:r>
              <w:rPr>
                <w:rFonts w:ascii="Calibri" w:hAnsi="Calibri" w:cs="Calibri"/>
                <w:color w:val="000000"/>
                <w:szCs w:val="22"/>
              </w:rPr>
              <w:t xml:space="preserve">  Plastic and Reconstructive</w:t>
            </w:r>
          </w:p>
          <w:p w:rsidR="00A23E42" w:rsidRDefault="00A23E42" w:rsidP="00A23E42">
            <w:pPr>
              <w:rPr>
                <w:rFonts w:ascii="Calibri" w:hAnsi="Calibri" w:cs="Calibri"/>
                <w:color w:val="000000"/>
                <w:szCs w:val="22"/>
              </w:rPr>
            </w:pPr>
            <w:r>
              <w:rPr>
                <w:rFonts w:ascii="Calibri" w:hAnsi="Calibri" w:cs="Calibri"/>
                <w:color w:val="000000"/>
                <w:szCs w:val="22"/>
              </w:rPr>
              <w:t xml:space="preserve">  Urology</w:t>
            </w:r>
          </w:p>
          <w:p w:rsidR="00A23E42" w:rsidRDefault="00A23E42" w:rsidP="00A23E42">
            <w:pPr>
              <w:rPr>
                <w:rFonts w:ascii="Calibri" w:hAnsi="Calibri" w:cs="Calibri"/>
                <w:color w:val="000000"/>
                <w:szCs w:val="22"/>
              </w:rPr>
            </w:pPr>
            <w:r>
              <w:rPr>
                <w:rFonts w:ascii="Calibri" w:hAnsi="Calibri" w:cs="Calibri"/>
                <w:color w:val="000000"/>
                <w:szCs w:val="22"/>
              </w:rPr>
              <w:t xml:space="preserve">  Vascular</w:t>
            </w:r>
          </w:p>
          <w:p w:rsidR="00A23E42" w:rsidRPr="00666BAC" w:rsidRDefault="00A23E42" w:rsidP="00A23E42">
            <w:pPr>
              <w:rPr>
                <w:rFonts w:cs="Calibri"/>
                <w:color w:val="000000"/>
                <w:szCs w:val="22"/>
              </w:rPr>
            </w:pPr>
            <w:r>
              <w:rPr>
                <w:rFonts w:ascii="Calibri" w:hAnsi="Calibri" w:cs="Calibri"/>
                <w:color w:val="000000"/>
                <w:szCs w:val="22"/>
              </w:rPr>
              <w:t xml:space="preserve">  Unknown</w:t>
            </w:r>
          </w:p>
        </w:tc>
        <w:tc>
          <w:tcPr>
            <w:tcW w:w="2268" w:type="dxa"/>
          </w:tcPr>
          <w:p w:rsidR="003978E3" w:rsidRDefault="003978E3" w:rsidP="003978E3">
            <w:pPr>
              <w:jc w:val="center"/>
              <w:rPr>
                <w:rFonts w:ascii="Calibri" w:hAnsi="Calibri"/>
                <w:b/>
                <w:color w:val="000000"/>
                <w:szCs w:val="22"/>
              </w:rPr>
            </w:pPr>
            <w:r>
              <w:rPr>
                <w:rFonts w:ascii="Calibri" w:hAnsi="Calibri"/>
                <w:b/>
                <w:color w:val="000000"/>
                <w:szCs w:val="22"/>
              </w:rPr>
              <w:t>291</w:t>
            </w:r>
            <w:r w:rsidR="00604A49">
              <w:rPr>
                <w:rFonts w:ascii="Calibri" w:hAnsi="Calibri"/>
                <w:b/>
                <w:color w:val="000000"/>
                <w:szCs w:val="22"/>
              </w:rPr>
              <w:t xml:space="preserve"> (32)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6</w:t>
            </w:r>
            <w:r w:rsidR="00604A49">
              <w:rPr>
                <w:rFonts w:ascii="Calibri" w:hAnsi="Calibri"/>
                <w:color w:val="000000"/>
                <w:szCs w:val="22"/>
              </w:rPr>
              <w:t xml:space="preserve"> (0.7)</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62</w:t>
            </w:r>
            <w:r w:rsidR="00604A49">
              <w:rPr>
                <w:rFonts w:ascii="Calibri" w:hAnsi="Calibri"/>
                <w:color w:val="000000"/>
                <w:szCs w:val="22"/>
              </w:rPr>
              <w:t xml:space="preserve"> (7)</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35</w:t>
            </w:r>
            <w:r w:rsidR="00604A49">
              <w:rPr>
                <w:rFonts w:ascii="Calibri" w:hAnsi="Calibri"/>
                <w:color w:val="000000"/>
                <w:szCs w:val="22"/>
              </w:rPr>
              <w:t xml:space="preserve"> (4)</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12</w:t>
            </w:r>
            <w:r w:rsidR="00604A49">
              <w:rPr>
                <w:rFonts w:ascii="Calibri" w:hAnsi="Calibri"/>
                <w:color w:val="000000"/>
                <w:szCs w:val="22"/>
              </w:rPr>
              <w:t xml:space="preserve"> (1)</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27</w:t>
            </w:r>
            <w:r w:rsidR="00604A49">
              <w:rPr>
                <w:rFonts w:ascii="Calibri" w:hAnsi="Calibri"/>
                <w:color w:val="000000"/>
                <w:szCs w:val="22"/>
              </w:rPr>
              <w:t xml:space="preserve"> (3)</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w:t>
            </w:r>
            <w:r w:rsidR="00604A49">
              <w:rPr>
                <w:rFonts w:ascii="Calibri" w:hAnsi="Calibri"/>
                <w:color w:val="000000"/>
                <w:szCs w:val="22"/>
              </w:rPr>
              <w:t xml:space="preserve"> (0.1)</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69</w:t>
            </w:r>
            <w:r w:rsidR="00604A49">
              <w:rPr>
                <w:rFonts w:ascii="Calibri" w:hAnsi="Calibri"/>
                <w:color w:val="000000"/>
                <w:szCs w:val="22"/>
              </w:rPr>
              <w:t xml:space="preserve"> (7)</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19</w:t>
            </w:r>
            <w:r w:rsidR="00604A49">
              <w:rPr>
                <w:rFonts w:ascii="Calibri" w:hAnsi="Calibri"/>
                <w:color w:val="000000"/>
                <w:szCs w:val="22"/>
              </w:rPr>
              <w:t xml:space="preserve"> (2)</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10</w:t>
            </w:r>
            <w:r w:rsidR="00604A49">
              <w:rPr>
                <w:rFonts w:ascii="Calibri" w:hAnsi="Calibri"/>
                <w:color w:val="000000"/>
                <w:szCs w:val="22"/>
              </w:rPr>
              <w:t xml:space="preserve"> (1)</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42</w:t>
            </w:r>
            <w:r w:rsidR="00604A49">
              <w:rPr>
                <w:rFonts w:ascii="Calibri" w:hAnsi="Calibri"/>
                <w:color w:val="000000"/>
                <w:szCs w:val="22"/>
              </w:rPr>
              <w:t xml:space="preserve"> (5)</w:t>
            </w:r>
          </w:p>
          <w:p w:rsidR="003978E3" w:rsidRPr="001F5191" w:rsidRDefault="003978E3" w:rsidP="003978E3">
            <w:pPr>
              <w:jc w:val="center"/>
              <w:rPr>
                <w:rFonts w:ascii="Calibri" w:hAnsi="Calibri"/>
                <w:color w:val="000000"/>
                <w:szCs w:val="22"/>
              </w:rPr>
            </w:pPr>
            <w:r w:rsidRPr="001F5191">
              <w:rPr>
                <w:rFonts w:ascii="Calibri" w:hAnsi="Calibri"/>
                <w:color w:val="000000"/>
                <w:szCs w:val="22"/>
              </w:rPr>
              <w:t>6</w:t>
            </w:r>
            <w:r w:rsidR="00604A49">
              <w:rPr>
                <w:rFonts w:ascii="Calibri" w:hAnsi="Calibri"/>
                <w:color w:val="000000"/>
                <w:szCs w:val="22"/>
              </w:rPr>
              <w:t xml:space="preserve"> (0.7)</w:t>
            </w:r>
          </w:p>
          <w:p w:rsidR="00A23E42" w:rsidRPr="00666BAC" w:rsidRDefault="003978E3" w:rsidP="003978E3">
            <w:pPr>
              <w:jc w:val="center"/>
              <w:rPr>
                <w:color w:val="000000"/>
                <w:szCs w:val="22"/>
              </w:rPr>
            </w:pPr>
            <w:r w:rsidRPr="001F5191">
              <w:rPr>
                <w:rFonts w:ascii="Calibri" w:hAnsi="Calibri"/>
                <w:color w:val="000000"/>
                <w:szCs w:val="22"/>
              </w:rPr>
              <w:t>2</w:t>
            </w:r>
            <w:r w:rsidR="00604A49">
              <w:rPr>
                <w:rFonts w:ascii="Calibri" w:hAnsi="Calibri"/>
                <w:color w:val="000000"/>
                <w:szCs w:val="22"/>
              </w:rPr>
              <w:t xml:space="preserve"> (0.2)</w:t>
            </w:r>
          </w:p>
        </w:tc>
      </w:tr>
      <w:tr w:rsidR="00A23E42" w:rsidRPr="00666BAC" w:rsidTr="00E157FD">
        <w:tc>
          <w:tcPr>
            <w:tcW w:w="4678" w:type="dxa"/>
            <w:vAlign w:val="bottom"/>
          </w:tcPr>
          <w:p w:rsidR="00A23E42" w:rsidRPr="00666BAC" w:rsidRDefault="00A23E42" w:rsidP="00E157FD">
            <w:pPr>
              <w:rPr>
                <w:rFonts w:cs="Arial"/>
                <w:b/>
                <w:szCs w:val="22"/>
              </w:rPr>
            </w:pPr>
            <w:r w:rsidRPr="00666BAC">
              <w:rPr>
                <w:rFonts w:cs="Arial"/>
                <w:b/>
                <w:szCs w:val="22"/>
              </w:rPr>
              <w:t>Other health service</w:t>
            </w:r>
          </w:p>
        </w:tc>
        <w:tc>
          <w:tcPr>
            <w:tcW w:w="2268" w:type="dxa"/>
            <w:vAlign w:val="center"/>
          </w:tcPr>
          <w:p w:rsidR="00A23E42" w:rsidRPr="00666BAC" w:rsidRDefault="003978E3" w:rsidP="00E157FD">
            <w:pPr>
              <w:jc w:val="center"/>
              <w:rPr>
                <w:b/>
                <w:color w:val="000000"/>
                <w:szCs w:val="22"/>
              </w:rPr>
            </w:pPr>
            <w:r>
              <w:rPr>
                <w:b/>
                <w:color w:val="000000"/>
                <w:szCs w:val="22"/>
              </w:rPr>
              <w:t>14</w:t>
            </w:r>
            <w:r w:rsidR="00604A49">
              <w:rPr>
                <w:b/>
                <w:color w:val="000000"/>
                <w:szCs w:val="22"/>
              </w:rPr>
              <w:t xml:space="preserve"> (2)</w:t>
            </w:r>
          </w:p>
        </w:tc>
      </w:tr>
      <w:tr w:rsidR="00A23E42" w:rsidRPr="00666BAC" w:rsidTr="00E157FD">
        <w:tc>
          <w:tcPr>
            <w:tcW w:w="4678" w:type="dxa"/>
            <w:shd w:val="clear" w:color="auto" w:fill="C00000"/>
          </w:tcPr>
          <w:p w:rsidR="00A23E42" w:rsidRPr="00666BAC" w:rsidRDefault="00A23E42" w:rsidP="00E157FD">
            <w:pPr>
              <w:tabs>
                <w:tab w:val="left" w:pos="1440"/>
                <w:tab w:val="decimal" w:pos="4320"/>
              </w:tabs>
              <w:spacing w:before="100" w:beforeAutospacing="1" w:after="100" w:afterAutospacing="1"/>
              <w:jc w:val="left"/>
              <w:outlineLvl w:val="0"/>
              <w:rPr>
                <w:b/>
                <w:szCs w:val="22"/>
              </w:rPr>
            </w:pPr>
            <w:r w:rsidRPr="00666BAC">
              <w:rPr>
                <w:b/>
                <w:szCs w:val="22"/>
              </w:rPr>
              <w:t>TOTAL</w:t>
            </w:r>
          </w:p>
        </w:tc>
        <w:tc>
          <w:tcPr>
            <w:tcW w:w="2268" w:type="dxa"/>
            <w:shd w:val="clear" w:color="auto" w:fill="C00000"/>
            <w:vAlign w:val="center"/>
          </w:tcPr>
          <w:p w:rsidR="00A23E42" w:rsidRPr="00666BAC" w:rsidRDefault="003978E3" w:rsidP="00E157FD">
            <w:pPr>
              <w:jc w:val="center"/>
              <w:rPr>
                <w:rFonts w:cs="Calibri"/>
                <w:b/>
                <w:color w:val="000000"/>
                <w:szCs w:val="22"/>
              </w:rPr>
            </w:pPr>
            <w:r w:rsidRPr="003978E3">
              <w:rPr>
                <w:rFonts w:cs="Calibri"/>
                <w:b/>
                <w:color w:val="FFFFFF" w:themeColor="background1"/>
                <w:szCs w:val="22"/>
              </w:rPr>
              <w:t>923</w:t>
            </w:r>
          </w:p>
        </w:tc>
      </w:tr>
    </w:tbl>
    <w:p w:rsidR="00484708" w:rsidRPr="00666BAC" w:rsidRDefault="00484708" w:rsidP="00BC1F5B">
      <w:pPr>
        <w:widowControl w:val="0"/>
        <w:rPr>
          <w:b/>
          <w:szCs w:val="22"/>
        </w:rPr>
      </w:pPr>
    </w:p>
    <w:p w:rsidR="00ED5373" w:rsidRDefault="00ED5373" w:rsidP="000F3FC7">
      <w:pPr>
        <w:widowControl w:val="0"/>
        <w:rPr>
          <w:szCs w:val="22"/>
        </w:rPr>
      </w:pPr>
    </w:p>
    <w:p w:rsidR="006F6C7B" w:rsidRDefault="006F6C7B" w:rsidP="000F3FC7">
      <w:pPr>
        <w:widowControl w:val="0"/>
        <w:rPr>
          <w:szCs w:val="22"/>
        </w:rPr>
      </w:pPr>
    </w:p>
    <w:p w:rsidR="006F6C7B" w:rsidRDefault="006F6C7B" w:rsidP="000F3FC7">
      <w:pPr>
        <w:widowControl w:val="0"/>
        <w:rPr>
          <w:szCs w:val="22"/>
        </w:rPr>
      </w:pPr>
    </w:p>
    <w:p w:rsidR="00A23E42" w:rsidRPr="00666BAC" w:rsidRDefault="00A23E42" w:rsidP="000F3FC7">
      <w:pPr>
        <w:widowControl w:val="0"/>
        <w:rPr>
          <w:szCs w:val="22"/>
        </w:rPr>
      </w:pPr>
    </w:p>
    <w:p w:rsidR="000F3FC7" w:rsidRPr="00666BAC" w:rsidRDefault="000F3FC7" w:rsidP="000F3FC7">
      <w:pPr>
        <w:widowControl w:val="0"/>
        <w:rPr>
          <w:szCs w:val="22"/>
        </w:rPr>
      </w:pPr>
      <w:r w:rsidRPr="00666BAC">
        <w:rPr>
          <w:szCs w:val="22"/>
        </w:rPr>
        <w:lastRenderedPageBreak/>
        <w:t>Table 2 below, shows a yearly comparison of the proportion of complaints received for the most commonly complained</w:t>
      </w:r>
      <w:r w:rsidR="00ED5373" w:rsidRPr="00666BAC">
        <w:rPr>
          <w:szCs w:val="22"/>
        </w:rPr>
        <w:t xml:space="preserve"> about service types</w:t>
      </w:r>
      <w:r w:rsidRPr="00666BAC">
        <w:rPr>
          <w:szCs w:val="22"/>
        </w:rPr>
        <w:t>. As can be seen from this table, the most common service types co</w:t>
      </w:r>
      <w:r w:rsidR="00ED5373" w:rsidRPr="00666BAC">
        <w:rPr>
          <w:szCs w:val="22"/>
        </w:rPr>
        <w:t>mp</w:t>
      </w:r>
      <w:r w:rsidR="006F6C7B">
        <w:rPr>
          <w:szCs w:val="22"/>
        </w:rPr>
        <w:t>lained about over the last five</w:t>
      </w:r>
      <w:r w:rsidRPr="00666BAC">
        <w:rPr>
          <w:szCs w:val="22"/>
        </w:rPr>
        <w:t xml:space="preserve"> years have remained</w:t>
      </w:r>
      <w:r w:rsidR="00ED5373" w:rsidRPr="00666BAC">
        <w:rPr>
          <w:szCs w:val="22"/>
        </w:rPr>
        <w:t xml:space="preserve"> broadly consistent, with </w:t>
      </w:r>
      <w:r w:rsidR="00D00543">
        <w:rPr>
          <w:szCs w:val="22"/>
        </w:rPr>
        <w:t>general m</w:t>
      </w:r>
      <w:r w:rsidR="006F6C7B">
        <w:rPr>
          <w:szCs w:val="22"/>
        </w:rPr>
        <w:t>edicine showing a small decrease in 2017/18 as compared to the previous year</w:t>
      </w:r>
      <w:r w:rsidR="00ED5373" w:rsidRPr="00666BAC">
        <w:rPr>
          <w:szCs w:val="22"/>
        </w:rPr>
        <w:t>.</w:t>
      </w:r>
      <w:r w:rsidRPr="00666BAC">
        <w:rPr>
          <w:szCs w:val="22"/>
        </w:rPr>
        <w:t xml:space="preserve"> </w:t>
      </w:r>
    </w:p>
    <w:p w:rsidR="000F3FC7" w:rsidRPr="00666BAC" w:rsidRDefault="000F3FC7" w:rsidP="00BC1F5B">
      <w:pPr>
        <w:widowControl w:val="0"/>
        <w:rPr>
          <w:b/>
          <w:szCs w:val="22"/>
        </w:rPr>
      </w:pPr>
    </w:p>
    <w:p w:rsidR="00C5788A" w:rsidRPr="00666BAC" w:rsidRDefault="00C5788A" w:rsidP="0080638F">
      <w:pPr>
        <w:widowControl w:val="0"/>
        <w:spacing w:after="120"/>
        <w:rPr>
          <w:szCs w:val="22"/>
        </w:rPr>
      </w:pPr>
      <w:r w:rsidRPr="00666BAC">
        <w:rPr>
          <w:b/>
          <w:szCs w:val="22"/>
        </w:rPr>
        <w:t>Table 2.</w:t>
      </w:r>
      <w:r w:rsidR="0080638F" w:rsidRPr="00666BAC">
        <w:rPr>
          <w:b/>
          <w:szCs w:val="22"/>
        </w:rPr>
        <w:t xml:space="preserve"> </w:t>
      </w:r>
      <w:r w:rsidR="000F3FC7" w:rsidRPr="00666BAC">
        <w:rPr>
          <w:szCs w:val="22"/>
        </w:rPr>
        <w:t>Yearly comparison of the p</w:t>
      </w:r>
      <w:r w:rsidR="0080638F" w:rsidRPr="00666BAC">
        <w:rPr>
          <w:szCs w:val="22"/>
        </w:rPr>
        <w:t xml:space="preserve">roportion of complaints received about the most commonly complained about service types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4"/>
        <w:gridCol w:w="1430"/>
        <w:gridCol w:w="1418"/>
        <w:gridCol w:w="1417"/>
        <w:gridCol w:w="1418"/>
        <w:gridCol w:w="1393"/>
      </w:tblGrid>
      <w:tr w:rsidR="006F6C7B" w:rsidRPr="00666BAC" w:rsidTr="00917152">
        <w:trPr>
          <w:trHeight w:val="624"/>
          <w:tblHeader/>
        </w:trPr>
        <w:tc>
          <w:tcPr>
            <w:tcW w:w="2114" w:type="dxa"/>
            <w:shd w:val="clear" w:color="auto" w:fill="C00000"/>
          </w:tcPr>
          <w:p w:rsidR="006F6C7B" w:rsidRPr="00666BAC" w:rsidRDefault="006F6C7B" w:rsidP="0080638F">
            <w:pPr>
              <w:tabs>
                <w:tab w:val="left" w:pos="1440"/>
                <w:tab w:val="decimal" w:pos="4320"/>
              </w:tabs>
              <w:spacing w:before="120" w:after="120"/>
              <w:jc w:val="center"/>
              <w:outlineLvl w:val="0"/>
              <w:rPr>
                <w:b/>
                <w:szCs w:val="22"/>
                <w:vertAlign w:val="superscript"/>
              </w:rPr>
            </w:pPr>
            <w:r w:rsidRPr="00666BAC">
              <w:rPr>
                <w:b/>
                <w:szCs w:val="22"/>
              </w:rPr>
              <w:t>Service type</w:t>
            </w:r>
          </w:p>
        </w:tc>
        <w:tc>
          <w:tcPr>
            <w:tcW w:w="1430" w:type="dxa"/>
            <w:shd w:val="clear" w:color="auto" w:fill="C00000"/>
          </w:tcPr>
          <w:p w:rsidR="006F6C7B" w:rsidRPr="00666BAC" w:rsidRDefault="006F6C7B" w:rsidP="0080638F">
            <w:pPr>
              <w:tabs>
                <w:tab w:val="left" w:pos="1440"/>
                <w:tab w:val="decimal" w:pos="4320"/>
              </w:tabs>
              <w:spacing w:before="120" w:after="120"/>
              <w:jc w:val="center"/>
              <w:outlineLvl w:val="0"/>
              <w:rPr>
                <w:b/>
                <w:szCs w:val="22"/>
              </w:rPr>
            </w:pPr>
            <w:r w:rsidRPr="00666BAC">
              <w:rPr>
                <w:b/>
                <w:szCs w:val="22"/>
              </w:rPr>
              <w:t>2013/14</w:t>
            </w:r>
          </w:p>
        </w:tc>
        <w:tc>
          <w:tcPr>
            <w:tcW w:w="1418" w:type="dxa"/>
            <w:shd w:val="clear" w:color="auto" w:fill="C00000"/>
          </w:tcPr>
          <w:p w:rsidR="006F6C7B" w:rsidRPr="00666BAC" w:rsidRDefault="006F6C7B" w:rsidP="00ED5373">
            <w:pPr>
              <w:tabs>
                <w:tab w:val="left" w:pos="1440"/>
                <w:tab w:val="decimal" w:pos="4320"/>
              </w:tabs>
              <w:spacing w:before="120" w:after="120"/>
              <w:jc w:val="center"/>
              <w:outlineLvl w:val="0"/>
              <w:rPr>
                <w:b/>
                <w:szCs w:val="22"/>
              </w:rPr>
            </w:pPr>
            <w:r w:rsidRPr="00666BAC">
              <w:rPr>
                <w:b/>
                <w:szCs w:val="22"/>
              </w:rPr>
              <w:t>2014/15</w:t>
            </w:r>
          </w:p>
        </w:tc>
        <w:tc>
          <w:tcPr>
            <w:tcW w:w="1417" w:type="dxa"/>
            <w:shd w:val="clear" w:color="auto" w:fill="C00000"/>
          </w:tcPr>
          <w:p w:rsidR="006F6C7B" w:rsidRPr="00666BAC" w:rsidRDefault="006F6C7B" w:rsidP="0080638F">
            <w:pPr>
              <w:tabs>
                <w:tab w:val="left" w:pos="1440"/>
                <w:tab w:val="decimal" w:pos="4320"/>
              </w:tabs>
              <w:spacing w:before="120" w:after="120"/>
              <w:jc w:val="center"/>
              <w:outlineLvl w:val="0"/>
              <w:rPr>
                <w:b/>
                <w:szCs w:val="22"/>
              </w:rPr>
            </w:pPr>
            <w:r w:rsidRPr="00666BAC">
              <w:rPr>
                <w:b/>
                <w:szCs w:val="22"/>
              </w:rPr>
              <w:t>2015/16</w:t>
            </w:r>
          </w:p>
        </w:tc>
        <w:tc>
          <w:tcPr>
            <w:tcW w:w="1418" w:type="dxa"/>
            <w:shd w:val="clear" w:color="auto" w:fill="C00000"/>
          </w:tcPr>
          <w:p w:rsidR="006F6C7B" w:rsidRPr="00666BAC" w:rsidRDefault="006F6C7B" w:rsidP="0080638F">
            <w:pPr>
              <w:tabs>
                <w:tab w:val="left" w:pos="1440"/>
                <w:tab w:val="decimal" w:pos="4320"/>
              </w:tabs>
              <w:spacing w:before="120" w:after="120"/>
              <w:jc w:val="center"/>
              <w:outlineLvl w:val="0"/>
              <w:rPr>
                <w:b/>
                <w:szCs w:val="22"/>
              </w:rPr>
            </w:pPr>
            <w:r>
              <w:rPr>
                <w:b/>
                <w:szCs w:val="22"/>
              </w:rPr>
              <w:t>2016/17</w:t>
            </w:r>
          </w:p>
        </w:tc>
        <w:tc>
          <w:tcPr>
            <w:tcW w:w="1393" w:type="dxa"/>
            <w:shd w:val="clear" w:color="auto" w:fill="C00000"/>
          </w:tcPr>
          <w:p w:rsidR="006F6C7B" w:rsidRDefault="006F6C7B" w:rsidP="0080638F">
            <w:pPr>
              <w:tabs>
                <w:tab w:val="left" w:pos="1440"/>
                <w:tab w:val="decimal" w:pos="4320"/>
              </w:tabs>
              <w:spacing w:before="120" w:after="120"/>
              <w:jc w:val="center"/>
              <w:outlineLvl w:val="0"/>
              <w:rPr>
                <w:b/>
                <w:szCs w:val="22"/>
              </w:rPr>
            </w:pPr>
            <w:r>
              <w:rPr>
                <w:b/>
                <w:szCs w:val="22"/>
              </w:rPr>
              <w:t>2017/18</w:t>
            </w:r>
          </w:p>
        </w:tc>
      </w:tr>
      <w:tr w:rsidR="006F6C7B" w:rsidRPr="00666BAC" w:rsidTr="00917152">
        <w:trPr>
          <w:trHeight w:val="278"/>
        </w:trPr>
        <w:tc>
          <w:tcPr>
            <w:tcW w:w="2114" w:type="dxa"/>
            <w:vAlign w:val="bottom"/>
          </w:tcPr>
          <w:p w:rsidR="006F6C7B" w:rsidRPr="00666BAC" w:rsidRDefault="006F6C7B" w:rsidP="0080638F">
            <w:pPr>
              <w:jc w:val="left"/>
              <w:rPr>
                <w:rFonts w:cs="Calibri"/>
                <w:b/>
                <w:color w:val="000000"/>
                <w:szCs w:val="22"/>
              </w:rPr>
            </w:pPr>
            <w:r w:rsidRPr="00666BAC">
              <w:rPr>
                <w:rFonts w:cs="Calibri"/>
                <w:b/>
                <w:color w:val="000000"/>
                <w:szCs w:val="22"/>
              </w:rPr>
              <w:t>Surgery</w:t>
            </w:r>
          </w:p>
        </w:tc>
        <w:tc>
          <w:tcPr>
            <w:tcW w:w="1430" w:type="dxa"/>
            <w:vAlign w:val="bottom"/>
          </w:tcPr>
          <w:p w:rsidR="006F6C7B" w:rsidRPr="00666BAC" w:rsidRDefault="006F6C7B" w:rsidP="0080638F">
            <w:pPr>
              <w:jc w:val="center"/>
              <w:rPr>
                <w:rFonts w:cs="Calibri"/>
                <w:b/>
                <w:color w:val="000000"/>
                <w:szCs w:val="22"/>
              </w:rPr>
            </w:pPr>
            <w:r w:rsidRPr="00666BAC">
              <w:rPr>
                <w:rFonts w:cs="Calibri"/>
                <w:b/>
                <w:color w:val="000000"/>
                <w:szCs w:val="22"/>
              </w:rPr>
              <w:t>26%</w:t>
            </w:r>
          </w:p>
        </w:tc>
        <w:tc>
          <w:tcPr>
            <w:tcW w:w="1418" w:type="dxa"/>
            <w:vAlign w:val="bottom"/>
          </w:tcPr>
          <w:p w:rsidR="006F6C7B" w:rsidRPr="00666BAC" w:rsidRDefault="006F6C7B" w:rsidP="00ED5373">
            <w:pPr>
              <w:jc w:val="center"/>
              <w:rPr>
                <w:rFonts w:cs="Calibri"/>
                <w:b/>
                <w:color w:val="000000"/>
                <w:szCs w:val="22"/>
              </w:rPr>
            </w:pPr>
            <w:r w:rsidRPr="00666BAC">
              <w:rPr>
                <w:rFonts w:cs="Calibri"/>
                <w:b/>
                <w:color w:val="000000"/>
                <w:szCs w:val="22"/>
              </w:rPr>
              <w:t>27%</w:t>
            </w:r>
          </w:p>
        </w:tc>
        <w:tc>
          <w:tcPr>
            <w:tcW w:w="1417" w:type="dxa"/>
          </w:tcPr>
          <w:p w:rsidR="006F6C7B" w:rsidRPr="00666BAC" w:rsidRDefault="006F6C7B" w:rsidP="0080638F">
            <w:pPr>
              <w:jc w:val="center"/>
              <w:rPr>
                <w:rFonts w:cs="Calibri"/>
                <w:b/>
                <w:color w:val="000000"/>
                <w:szCs w:val="22"/>
              </w:rPr>
            </w:pPr>
            <w:r w:rsidRPr="00666BAC">
              <w:rPr>
                <w:rFonts w:cs="Calibri"/>
                <w:b/>
                <w:color w:val="000000"/>
                <w:szCs w:val="22"/>
              </w:rPr>
              <w:t>31%</w:t>
            </w:r>
          </w:p>
        </w:tc>
        <w:tc>
          <w:tcPr>
            <w:tcW w:w="1418" w:type="dxa"/>
          </w:tcPr>
          <w:p w:rsidR="006F6C7B" w:rsidRPr="00666BAC" w:rsidRDefault="006F6C7B" w:rsidP="0080638F">
            <w:pPr>
              <w:jc w:val="center"/>
              <w:rPr>
                <w:rFonts w:cs="Calibri"/>
                <w:b/>
                <w:color w:val="000000"/>
                <w:szCs w:val="22"/>
              </w:rPr>
            </w:pPr>
            <w:r>
              <w:rPr>
                <w:rFonts w:cs="Calibri"/>
                <w:b/>
                <w:color w:val="000000"/>
                <w:szCs w:val="22"/>
              </w:rPr>
              <w:t>28%</w:t>
            </w:r>
          </w:p>
        </w:tc>
        <w:tc>
          <w:tcPr>
            <w:tcW w:w="1393" w:type="dxa"/>
          </w:tcPr>
          <w:p w:rsidR="006F6C7B" w:rsidRDefault="006F6C7B" w:rsidP="0080638F">
            <w:pPr>
              <w:jc w:val="center"/>
              <w:rPr>
                <w:rFonts w:cs="Calibri"/>
                <w:b/>
                <w:color w:val="000000"/>
                <w:szCs w:val="22"/>
              </w:rPr>
            </w:pPr>
            <w:r>
              <w:rPr>
                <w:rFonts w:cs="Calibri"/>
                <w:b/>
                <w:color w:val="000000"/>
                <w:szCs w:val="22"/>
              </w:rPr>
              <w:t>32%</w:t>
            </w:r>
          </w:p>
        </w:tc>
      </w:tr>
      <w:tr w:rsidR="006F6C7B" w:rsidRPr="00666BAC" w:rsidTr="00917152">
        <w:trPr>
          <w:trHeight w:val="267"/>
        </w:trPr>
        <w:tc>
          <w:tcPr>
            <w:tcW w:w="2114" w:type="dxa"/>
            <w:vAlign w:val="bottom"/>
          </w:tcPr>
          <w:p w:rsidR="006F6C7B" w:rsidRPr="00666BAC" w:rsidRDefault="006F6C7B" w:rsidP="0080638F">
            <w:pPr>
              <w:rPr>
                <w:rFonts w:cs="Calibri"/>
                <w:b/>
                <w:color w:val="000000"/>
                <w:szCs w:val="22"/>
              </w:rPr>
            </w:pPr>
            <w:r w:rsidRPr="00666BAC">
              <w:rPr>
                <w:rFonts w:cs="Calibri"/>
                <w:b/>
                <w:color w:val="000000"/>
                <w:szCs w:val="22"/>
              </w:rPr>
              <w:t>Mental health</w:t>
            </w:r>
          </w:p>
        </w:tc>
        <w:tc>
          <w:tcPr>
            <w:tcW w:w="1430" w:type="dxa"/>
            <w:vAlign w:val="bottom"/>
          </w:tcPr>
          <w:p w:rsidR="006F6C7B" w:rsidRPr="00666BAC" w:rsidRDefault="006F6C7B" w:rsidP="0080638F">
            <w:pPr>
              <w:jc w:val="center"/>
              <w:rPr>
                <w:rFonts w:cs="Calibri"/>
                <w:b/>
                <w:color w:val="000000"/>
                <w:szCs w:val="22"/>
              </w:rPr>
            </w:pPr>
            <w:r w:rsidRPr="00666BAC">
              <w:rPr>
                <w:rFonts w:cs="Calibri"/>
                <w:b/>
                <w:color w:val="000000"/>
                <w:szCs w:val="22"/>
              </w:rPr>
              <w:t>19%</w:t>
            </w:r>
          </w:p>
        </w:tc>
        <w:tc>
          <w:tcPr>
            <w:tcW w:w="1418" w:type="dxa"/>
            <w:vAlign w:val="bottom"/>
          </w:tcPr>
          <w:p w:rsidR="006F6C7B" w:rsidRPr="00666BAC" w:rsidRDefault="006F6C7B" w:rsidP="00ED5373">
            <w:pPr>
              <w:jc w:val="center"/>
              <w:rPr>
                <w:rFonts w:cs="Calibri"/>
                <w:b/>
                <w:color w:val="000000"/>
                <w:szCs w:val="22"/>
              </w:rPr>
            </w:pPr>
            <w:r w:rsidRPr="00666BAC">
              <w:rPr>
                <w:rFonts w:cs="Calibri"/>
                <w:b/>
                <w:color w:val="000000"/>
                <w:szCs w:val="22"/>
              </w:rPr>
              <w:t>19%</w:t>
            </w:r>
          </w:p>
        </w:tc>
        <w:tc>
          <w:tcPr>
            <w:tcW w:w="1417" w:type="dxa"/>
          </w:tcPr>
          <w:p w:rsidR="006F6C7B" w:rsidRPr="00666BAC" w:rsidRDefault="006F6C7B" w:rsidP="0080638F">
            <w:pPr>
              <w:jc w:val="center"/>
              <w:rPr>
                <w:rFonts w:cs="Calibri"/>
                <w:b/>
                <w:color w:val="000000"/>
                <w:szCs w:val="22"/>
              </w:rPr>
            </w:pPr>
            <w:r w:rsidRPr="00666BAC">
              <w:rPr>
                <w:rFonts w:cs="Calibri"/>
                <w:b/>
                <w:color w:val="000000"/>
                <w:szCs w:val="22"/>
              </w:rPr>
              <w:t>21%</w:t>
            </w:r>
          </w:p>
        </w:tc>
        <w:tc>
          <w:tcPr>
            <w:tcW w:w="1418" w:type="dxa"/>
          </w:tcPr>
          <w:p w:rsidR="006F6C7B" w:rsidRPr="00666BAC" w:rsidRDefault="006F6C7B" w:rsidP="0080638F">
            <w:pPr>
              <w:jc w:val="center"/>
              <w:rPr>
                <w:rFonts w:cs="Calibri"/>
                <w:b/>
                <w:color w:val="000000"/>
                <w:szCs w:val="22"/>
              </w:rPr>
            </w:pPr>
            <w:r>
              <w:rPr>
                <w:rFonts w:cs="Calibri"/>
                <w:b/>
                <w:color w:val="000000"/>
                <w:szCs w:val="22"/>
              </w:rPr>
              <w:t>21%</w:t>
            </w:r>
          </w:p>
        </w:tc>
        <w:tc>
          <w:tcPr>
            <w:tcW w:w="1393" w:type="dxa"/>
          </w:tcPr>
          <w:p w:rsidR="006F6C7B" w:rsidRDefault="006F6C7B" w:rsidP="0080638F">
            <w:pPr>
              <w:jc w:val="center"/>
              <w:rPr>
                <w:rFonts w:cs="Calibri"/>
                <w:b/>
                <w:color w:val="000000"/>
                <w:szCs w:val="22"/>
              </w:rPr>
            </w:pPr>
            <w:r>
              <w:rPr>
                <w:rFonts w:cs="Calibri"/>
                <w:b/>
                <w:color w:val="000000"/>
                <w:szCs w:val="22"/>
              </w:rPr>
              <w:t>20%</w:t>
            </w:r>
          </w:p>
        </w:tc>
      </w:tr>
      <w:tr w:rsidR="006F6C7B" w:rsidRPr="00666BAC" w:rsidTr="00917152">
        <w:trPr>
          <w:trHeight w:val="267"/>
        </w:trPr>
        <w:tc>
          <w:tcPr>
            <w:tcW w:w="2114" w:type="dxa"/>
            <w:vAlign w:val="bottom"/>
          </w:tcPr>
          <w:p w:rsidR="006F6C7B" w:rsidRPr="00666BAC" w:rsidRDefault="006F6C7B" w:rsidP="0080638F">
            <w:pPr>
              <w:rPr>
                <w:rFonts w:cs="Calibri"/>
                <w:b/>
                <w:color w:val="000000"/>
                <w:szCs w:val="22"/>
              </w:rPr>
            </w:pPr>
            <w:r w:rsidRPr="00666BAC">
              <w:rPr>
                <w:rFonts w:cs="Calibri"/>
                <w:b/>
                <w:color w:val="000000"/>
                <w:szCs w:val="22"/>
              </w:rPr>
              <w:t>General medicine</w:t>
            </w:r>
          </w:p>
        </w:tc>
        <w:tc>
          <w:tcPr>
            <w:tcW w:w="1430" w:type="dxa"/>
            <w:vAlign w:val="bottom"/>
          </w:tcPr>
          <w:p w:rsidR="006F6C7B" w:rsidRPr="00666BAC" w:rsidRDefault="006F6C7B" w:rsidP="0080638F">
            <w:pPr>
              <w:jc w:val="center"/>
              <w:rPr>
                <w:rFonts w:cs="Calibri"/>
                <w:b/>
                <w:color w:val="000000"/>
                <w:szCs w:val="22"/>
              </w:rPr>
            </w:pPr>
            <w:r w:rsidRPr="00666BAC">
              <w:rPr>
                <w:rFonts w:cs="Calibri"/>
                <w:b/>
                <w:color w:val="000000"/>
                <w:szCs w:val="22"/>
              </w:rPr>
              <w:t>19%</w:t>
            </w:r>
          </w:p>
        </w:tc>
        <w:tc>
          <w:tcPr>
            <w:tcW w:w="1418" w:type="dxa"/>
            <w:vAlign w:val="bottom"/>
          </w:tcPr>
          <w:p w:rsidR="006F6C7B" w:rsidRPr="00666BAC" w:rsidRDefault="006F6C7B" w:rsidP="00ED5373">
            <w:pPr>
              <w:jc w:val="center"/>
              <w:rPr>
                <w:rFonts w:cs="Calibri"/>
                <w:b/>
                <w:color w:val="000000"/>
                <w:szCs w:val="22"/>
              </w:rPr>
            </w:pPr>
            <w:r w:rsidRPr="00666BAC">
              <w:rPr>
                <w:rFonts w:cs="Calibri"/>
                <w:b/>
                <w:color w:val="000000"/>
                <w:szCs w:val="22"/>
              </w:rPr>
              <w:t>17%</w:t>
            </w:r>
          </w:p>
        </w:tc>
        <w:tc>
          <w:tcPr>
            <w:tcW w:w="1417" w:type="dxa"/>
          </w:tcPr>
          <w:p w:rsidR="006F6C7B" w:rsidRPr="00666BAC" w:rsidRDefault="006F6C7B" w:rsidP="0080638F">
            <w:pPr>
              <w:jc w:val="center"/>
              <w:rPr>
                <w:rFonts w:cs="Calibri"/>
                <w:b/>
                <w:color w:val="000000"/>
                <w:szCs w:val="22"/>
              </w:rPr>
            </w:pPr>
            <w:r w:rsidRPr="00666BAC">
              <w:rPr>
                <w:rFonts w:cs="Calibri"/>
                <w:b/>
                <w:color w:val="000000"/>
                <w:szCs w:val="22"/>
              </w:rPr>
              <w:t>16%</w:t>
            </w:r>
          </w:p>
        </w:tc>
        <w:tc>
          <w:tcPr>
            <w:tcW w:w="1418" w:type="dxa"/>
          </w:tcPr>
          <w:p w:rsidR="006F6C7B" w:rsidRPr="00666BAC" w:rsidRDefault="006F6C7B" w:rsidP="0080638F">
            <w:pPr>
              <w:jc w:val="center"/>
              <w:rPr>
                <w:rFonts w:cs="Calibri"/>
                <w:b/>
                <w:color w:val="000000"/>
                <w:szCs w:val="22"/>
              </w:rPr>
            </w:pPr>
            <w:r>
              <w:rPr>
                <w:rFonts w:cs="Calibri"/>
                <w:b/>
                <w:color w:val="000000"/>
                <w:szCs w:val="22"/>
              </w:rPr>
              <w:t>20%</w:t>
            </w:r>
          </w:p>
        </w:tc>
        <w:tc>
          <w:tcPr>
            <w:tcW w:w="1393" w:type="dxa"/>
          </w:tcPr>
          <w:p w:rsidR="006F6C7B" w:rsidRDefault="006F6C7B" w:rsidP="0080638F">
            <w:pPr>
              <w:jc w:val="center"/>
              <w:rPr>
                <w:rFonts w:cs="Calibri"/>
                <w:b/>
                <w:color w:val="000000"/>
                <w:szCs w:val="22"/>
              </w:rPr>
            </w:pPr>
            <w:r>
              <w:rPr>
                <w:rFonts w:cs="Calibri"/>
                <w:b/>
                <w:color w:val="000000"/>
                <w:szCs w:val="22"/>
              </w:rPr>
              <w:t>16%</w:t>
            </w:r>
          </w:p>
        </w:tc>
      </w:tr>
      <w:tr w:rsidR="006F6C7B" w:rsidRPr="00666BAC" w:rsidTr="00917152">
        <w:trPr>
          <w:trHeight w:val="286"/>
        </w:trPr>
        <w:tc>
          <w:tcPr>
            <w:tcW w:w="2114" w:type="dxa"/>
            <w:vAlign w:val="bottom"/>
          </w:tcPr>
          <w:p w:rsidR="006F6C7B" w:rsidRPr="00666BAC" w:rsidRDefault="006F6C7B" w:rsidP="0080638F">
            <w:pPr>
              <w:rPr>
                <w:rFonts w:cs="Calibri"/>
                <w:b/>
                <w:color w:val="000000"/>
                <w:szCs w:val="22"/>
              </w:rPr>
            </w:pPr>
            <w:r w:rsidRPr="00666BAC">
              <w:rPr>
                <w:rFonts w:cs="Calibri"/>
                <w:b/>
                <w:color w:val="000000"/>
                <w:szCs w:val="22"/>
              </w:rPr>
              <w:t>Emergency department</w:t>
            </w:r>
          </w:p>
        </w:tc>
        <w:tc>
          <w:tcPr>
            <w:tcW w:w="1430" w:type="dxa"/>
            <w:vAlign w:val="center"/>
          </w:tcPr>
          <w:p w:rsidR="006F6C7B" w:rsidRPr="00666BAC" w:rsidRDefault="006F6C7B" w:rsidP="006F6C7B">
            <w:pPr>
              <w:jc w:val="center"/>
              <w:rPr>
                <w:rFonts w:cs="Calibri"/>
                <w:b/>
                <w:color w:val="000000"/>
                <w:szCs w:val="22"/>
              </w:rPr>
            </w:pPr>
            <w:r w:rsidRPr="00666BAC">
              <w:rPr>
                <w:rFonts w:cs="Calibri"/>
                <w:b/>
                <w:color w:val="000000"/>
                <w:szCs w:val="22"/>
              </w:rPr>
              <w:t>13%</w:t>
            </w:r>
          </w:p>
        </w:tc>
        <w:tc>
          <w:tcPr>
            <w:tcW w:w="1418" w:type="dxa"/>
            <w:vAlign w:val="center"/>
          </w:tcPr>
          <w:p w:rsidR="006F6C7B" w:rsidRPr="00666BAC" w:rsidRDefault="006F6C7B" w:rsidP="006F6C7B">
            <w:pPr>
              <w:jc w:val="center"/>
              <w:rPr>
                <w:rFonts w:cs="Calibri"/>
                <w:b/>
                <w:color w:val="000000"/>
                <w:szCs w:val="22"/>
              </w:rPr>
            </w:pPr>
            <w:r w:rsidRPr="00666BAC">
              <w:rPr>
                <w:rFonts w:cs="Calibri"/>
                <w:b/>
                <w:color w:val="000000"/>
                <w:szCs w:val="22"/>
              </w:rPr>
              <w:t>13%</w:t>
            </w:r>
          </w:p>
        </w:tc>
        <w:tc>
          <w:tcPr>
            <w:tcW w:w="1417" w:type="dxa"/>
            <w:vAlign w:val="center"/>
          </w:tcPr>
          <w:p w:rsidR="006F6C7B" w:rsidRPr="00666BAC" w:rsidRDefault="006F6C7B" w:rsidP="006F6C7B">
            <w:pPr>
              <w:jc w:val="center"/>
              <w:rPr>
                <w:rFonts w:cs="Calibri"/>
                <w:b/>
                <w:color w:val="000000"/>
                <w:szCs w:val="22"/>
              </w:rPr>
            </w:pPr>
            <w:r w:rsidRPr="00666BAC">
              <w:rPr>
                <w:rFonts w:cs="Calibri"/>
                <w:b/>
                <w:color w:val="000000"/>
                <w:szCs w:val="22"/>
              </w:rPr>
              <w:t>12%</w:t>
            </w:r>
          </w:p>
        </w:tc>
        <w:tc>
          <w:tcPr>
            <w:tcW w:w="1418" w:type="dxa"/>
            <w:vAlign w:val="center"/>
          </w:tcPr>
          <w:p w:rsidR="006F6C7B" w:rsidRPr="00666BAC" w:rsidRDefault="006F6C7B" w:rsidP="006F6C7B">
            <w:pPr>
              <w:jc w:val="center"/>
              <w:rPr>
                <w:rFonts w:cs="Calibri"/>
                <w:b/>
                <w:color w:val="000000"/>
                <w:szCs w:val="22"/>
              </w:rPr>
            </w:pPr>
            <w:r>
              <w:rPr>
                <w:rFonts w:cs="Calibri"/>
                <w:b/>
                <w:color w:val="000000"/>
                <w:szCs w:val="22"/>
              </w:rPr>
              <w:t>13%</w:t>
            </w:r>
          </w:p>
        </w:tc>
        <w:tc>
          <w:tcPr>
            <w:tcW w:w="1393" w:type="dxa"/>
            <w:vAlign w:val="center"/>
          </w:tcPr>
          <w:p w:rsidR="006F6C7B" w:rsidRDefault="006F6C7B" w:rsidP="006F6C7B">
            <w:pPr>
              <w:jc w:val="center"/>
              <w:rPr>
                <w:rFonts w:cs="Calibri"/>
                <w:b/>
                <w:color w:val="000000"/>
                <w:szCs w:val="22"/>
              </w:rPr>
            </w:pPr>
            <w:r>
              <w:rPr>
                <w:rFonts w:cs="Calibri"/>
                <w:b/>
                <w:color w:val="000000"/>
                <w:szCs w:val="22"/>
              </w:rPr>
              <w:t>11%</w:t>
            </w:r>
          </w:p>
        </w:tc>
      </w:tr>
      <w:tr w:rsidR="006F6C7B" w:rsidRPr="00666BAC" w:rsidTr="00917152">
        <w:trPr>
          <w:trHeight w:val="286"/>
        </w:trPr>
        <w:tc>
          <w:tcPr>
            <w:tcW w:w="2114" w:type="dxa"/>
            <w:vAlign w:val="bottom"/>
          </w:tcPr>
          <w:p w:rsidR="006F6C7B" w:rsidRPr="00666BAC" w:rsidRDefault="006F6C7B" w:rsidP="0080638F">
            <w:pPr>
              <w:rPr>
                <w:rFonts w:cs="Calibri"/>
                <w:b/>
                <w:color w:val="000000"/>
                <w:szCs w:val="22"/>
              </w:rPr>
            </w:pPr>
            <w:r w:rsidRPr="00666BAC">
              <w:rPr>
                <w:rFonts w:cs="Calibri"/>
                <w:b/>
                <w:color w:val="000000"/>
                <w:szCs w:val="22"/>
              </w:rPr>
              <w:t>Maternity</w:t>
            </w:r>
          </w:p>
        </w:tc>
        <w:tc>
          <w:tcPr>
            <w:tcW w:w="1430" w:type="dxa"/>
            <w:vAlign w:val="bottom"/>
          </w:tcPr>
          <w:p w:rsidR="006F6C7B" w:rsidRPr="00666BAC" w:rsidRDefault="006F6C7B" w:rsidP="0080638F">
            <w:pPr>
              <w:jc w:val="center"/>
              <w:rPr>
                <w:rFonts w:cs="Calibri"/>
                <w:b/>
                <w:color w:val="000000"/>
                <w:szCs w:val="22"/>
              </w:rPr>
            </w:pPr>
            <w:r w:rsidRPr="00666BAC">
              <w:rPr>
                <w:rFonts w:cs="Calibri"/>
                <w:b/>
                <w:color w:val="000000"/>
                <w:szCs w:val="22"/>
              </w:rPr>
              <w:t>6%</w:t>
            </w:r>
          </w:p>
        </w:tc>
        <w:tc>
          <w:tcPr>
            <w:tcW w:w="1418" w:type="dxa"/>
            <w:vAlign w:val="bottom"/>
          </w:tcPr>
          <w:p w:rsidR="006F6C7B" w:rsidRPr="00666BAC" w:rsidRDefault="006F6C7B" w:rsidP="00ED5373">
            <w:pPr>
              <w:jc w:val="center"/>
              <w:rPr>
                <w:rFonts w:cs="Calibri"/>
                <w:b/>
                <w:color w:val="000000"/>
                <w:szCs w:val="22"/>
              </w:rPr>
            </w:pPr>
            <w:r w:rsidRPr="00666BAC">
              <w:rPr>
                <w:rFonts w:cs="Calibri"/>
                <w:b/>
                <w:color w:val="000000"/>
                <w:szCs w:val="22"/>
              </w:rPr>
              <w:t>7%</w:t>
            </w:r>
          </w:p>
        </w:tc>
        <w:tc>
          <w:tcPr>
            <w:tcW w:w="1417" w:type="dxa"/>
            <w:vAlign w:val="bottom"/>
          </w:tcPr>
          <w:p w:rsidR="006F6C7B" w:rsidRPr="00666BAC" w:rsidRDefault="006F6C7B" w:rsidP="0046228A">
            <w:pPr>
              <w:jc w:val="center"/>
              <w:rPr>
                <w:rFonts w:cs="Calibri"/>
                <w:b/>
                <w:color w:val="000000"/>
                <w:szCs w:val="22"/>
              </w:rPr>
            </w:pPr>
            <w:r>
              <w:rPr>
                <w:rFonts w:cs="Calibri"/>
                <w:b/>
                <w:color w:val="000000"/>
                <w:szCs w:val="22"/>
              </w:rPr>
              <w:t>6</w:t>
            </w:r>
            <w:r w:rsidRPr="00666BAC">
              <w:rPr>
                <w:rFonts w:cs="Calibri"/>
                <w:b/>
                <w:color w:val="000000"/>
                <w:szCs w:val="22"/>
              </w:rPr>
              <w:t>%</w:t>
            </w:r>
          </w:p>
        </w:tc>
        <w:tc>
          <w:tcPr>
            <w:tcW w:w="1418" w:type="dxa"/>
          </w:tcPr>
          <w:p w:rsidR="006F6C7B" w:rsidRDefault="006F6C7B" w:rsidP="0046228A">
            <w:pPr>
              <w:jc w:val="center"/>
              <w:rPr>
                <w:rFonts w:cs="Calibri"/>
                <w:b/>
                <w:color w:val="000000"/>
                <w:szCs w:val="22"/>
              </w:rPr>
            </w:pPr>
            <w:r>
              <w:rPr>
                <w:rFonts w:cs="Calibri"/>
                <w:b/>
                <w:color w:val="000000"/>
                <w:szCs w:val="22"/>
              </w:rPr>
              <w:t>6%</w:t>
            </w:r>
          </w:p>
        </w:tc>
        <w:tc>
          <w:tcPr>
            <w:tcW w:w="1393" w:type="dxa"/>
          </w:tcPr>
          <w:p w:rsidR="006F6C7B" w:rsidRDefault="006F6C7B" w:rsidP="0046228A">
            <w:pPr>
              <w:jc w:val="center"/>
              <w:rPr>
                <w:rFonts w:cs="Calibri"/>
                <w:b/>
                <w:color w:val="000000"/>
                <w:szCs w:val="22"/>
              </w:rPr>
            </w:pPr>
            <w:r>
              <w:rPr>
                <w:rFonts w:cs="Calibri"/>
                <w:b/>
                <w:color w:val="000000"/>
                <w:szCs w:val="22"/>
              </w:rPr>
              <w:t>7%</w:t>
            </w:r>
          </w:p>
        </w:tc>
      </w:tr>
    </w:tbl>
    <w:p w:rsidR="0080638F" w:rsidRPr="00666BAC" w:rsidRDefault="0080638F" w:rsidP="00BC1F5B">
      <w:pPr>
        <w:widowControl w:val="0"/>
        <w:rPr>
          <w:szCs w:val="22"/>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0B7CAA" w:rsidRPr="00666BAC" w:rsidTr="000B7CAA">
        <w:tc>
          <w:tcPr>
            <w:tcW w:w="9298" w:type="dxa"/>
          </w:tcPr>
          <w:p w:rsidR="004F4A2F" w:rsidRDefault="000B7CAA" w:rsidP="006372F3">
            <w:pPr>
              <w:tabs>
                <w:tab w:val="left" w:pos="1440"/>
                <w:tab w:val="left" w:pos="2610"/>
              </w:tabs>
              <w:spacing w:before="120"/>
              <w:jc w:val="center"/>
              <w:outlineLvl w:val="0"/>
              <w:rPr>
                <w:b/>
                <w:szCs w:val="22"/>
              </w:rPr>
            </w:pPr>
            <w:r w:rsidRPr="00666BAC">
              <w:rPr>
                <w:b/>
                <w:sz w:val="28"/>
                <w:szCs w:val="28"/>
              </w:rPr>
              <w:t>Case study</w:t>
            </w:r>
            <w:r w:rsidR="00A86124" w:rsidRPr="00666BAC">
              <w:rPr>
                <w:b/>
                <w:sz w:val="28"/>
                <w:szCs w:val="28"/>
              </w:rPr>
              <w:t xml:space="preserve">: </w:t>
            </w:r>
            <w:r w:rsidR="00DE6DBA">
              <w:rPr>
                <w:b/>
                <w:sz w:val="28"/>
                <w:szCs w:val="28"/>
              </w:rPr>
              <w:t>Emergency department</w:t>
            </w:r>
            <w:r w:rsidR="002E456A">
              <w:rPr>
                <w:b/>
                <w:sz w:val="28"/>
                <w:szCs w:val="28"/>
              </w:rPr>
              <w:t xml:space="preserve"> </w:t>
            </w:r>
            <w:r w:rsidR="00DE6DBA">
              <w:rPr>
                <w:b/>
                <w:szCs w:val="22"/>
              </w:rPr>
              <w:t>(15HDC01723</w:t>
            </w:r>
            <w:r w:rsidR="002E456A">
              <w:rPr>
                <w:b/>
                <w:szCs w:val="22"/>
              </w:rPr>
              <w:t>)</w:t>
            </w:r>
          </w:p>
          <w:p w:rsidR="00CA6581" w:rsidRDefault="00CA6581" w:rsidP="00917152">
            <w:pPr>
              <w:tabs>
                <w:tab w:val="left" w:pos="1440"/>
                <w:tab w:val="left" w:pos="2610"/>
              </w:tabs>
              <w:spacing w:before="120" w:after="120"/>
              <w:jc w:val="center"/>
              <w:outlineLvl w:val="0"/>
              <w:rPr>
                <w:b/>
                <w:szCs w:val="22"/>
              </w:rPr>
            </w:pPr>
            <w:r>
              <w:rPr>
                <w:b/>
                <w:szCs w:val="22"/>
              </w:rPr>
              <w:t>Management of shoulder dislocation</w:t>
            </w:r>
          </w:p>
          <w:p w:rsidR="00CA6581" w:rsidRPr="00926AA8" w:rsidRDefault="00CA6581" w:rsidP="00CA6581">
            <w:pPr>
              <w:spacing w:after="240"/>
              <w:rPr>
                <w:szCs w:val="22"/>
              </w:rPr>
            </w:pPr>
            <w:r w:rsidRPr="00926AA8">
              <w:rPr>
                <w:szCs w:val="22"/>
              </w:rPr>
              <w:t xml:space="preserve">A man dislocated his shoulder in an accident and attended an emergency department. </w:t>
            </w:r>
            <w:r w:rsidR="0002668A">
              <w:rPr>
                <w:szCs w:val="22"/>
              </w:rPr>
              <w:t xml:space="preserve">The man was </w:t>
            </w:r>
            <w:r w:rsidR="0002668A">
              <w:t>triaged</w:t>
            </w:r>
            <w:r w:rsidR="0002668A" w:rsidRPr="00995F24">
              <w:t xml:space="preserve"> by </w:t>
            </w:r>
            <w:r w:rsidR="0002668A">
              <w:t>a R</w:t>
            </w:r>
            <w:r w:rsidR="0002668A" w:rsidRPr="00995F24">
              <w:t xml:space="preserve">egistered </w:t>
            </w:r>
            <w:r w:rsidR="0002668A">
              <w:t>N</w:t>
            </w:r>
            <w:r w:rsidR="0002668A" w:rsidRPr="00995F24">
              <w:t xml:space="preserve">urse </w:t>
            </w:r>
            <w:r w:rsidR="0002668A">
              <w:t>who allocated him a triage</w:t>
            </w:r>
            <w:r w:rsidR="0002668A" w:rsidRPr="00995F24">
              <w:t xml:space="preserve"> category 3</w:t>
            </w:r>
            <w:r w:rsidR="0002668A">
              <w:t xml:space="preserve"> (treatment within 30 minutes). </w:t>
            </w:r>
            <w:r w:rsidR="0002668A" w:rsidRPr="00F72D35">
              <w:rPr>
                <w:szCs w:val="22"/>
              </w:rPr>
              <w:t xml:space="preserve">His </w:t>
            </w:r>
            <w:r w:rsidR="0002668A" w:rsidRPr="00DD2400">
              <w:rPr>
                <w:rStyle w:val="ExpertadviceChar"/>
                <w:sz w:val="22"/>
                <w:szCs w:val="22"/>
              </w:rPr>
              <w:t>pain score and vital signs were not documented at triage.</w:t>
            </w:r>
            <w:r w:rsidR="0002668A">
              <w:rPr>
                <w:szCs w:val="22"/>
              </w:rPr>
              <w:t xml:space="preserve"> </w:t>
            </w:r>
            <w:r w:rsidRPr="00926AA8">
              <w:rPr>
                <w:szCs w:val="22"/>
              </w:rPr>
              <w:t xml:space="preserve">An X-ray was taken and pain relief was administered by nursing staff around </w:t>
            </w:r>
            <w:r w:rsidR="00F72D35">
              <w:rPr>
                <w:szCs w:val="22"/>
              </w:rPr>
              <w:t>one and a half</w:t>
            </w:r>
            <w:r w:rsidRPr="00926AA8">
              <w:rPr>
                <w:szCs w:val="22"/>
              </w:rPr>
              <w:t xml:space="preserve"> hours after his arrival. A clinical nurse specialist attempted to reduce (relocate) the shoulder after the X-ray was reviewed, however this was discontinued due to pain. </w:t>
            </w:r>
          </w:p>
          <w:p w:rsidR="00CA6581" w:rsidRPr="00926AA8" w:rsidRDefault="00CA6581" w:rsidP="00CA6581">
            <w:pPr>
              <w:spacing w:after="240"/>
              <w:rPr>
                <w:szCs w:val="22"/>
              </w:rPr>
            </w:pPr>
            <w:r w:rsidRPr="00926AA8">
              <w:rPr>
                <w:szCs w:val="22"/>
              </w:rPr>
              <w:t>The clinical nurse specialist attempted reduction on two further occasions after requesting intravenous opiate pain relief from the consultant. 25mcg IV fentanyl was administered before both of these reductions, but both were stopped at an early stage due to pain. The clinical nurse specialist then requested sedation from the consultant. After this was administered, the shoulder was reduced. A post reduction X-ray was taken to ensure the reduction had been successful. The man was discharged from the emergency department with a copy of his X-rays and notes and advised to follow up with his GP.</w:t>
            </w:r>
          </w:p>
          <w:p w:rsidR="00CA6581" w:rsidRPr="00926AA8" w:rsidRDefault="00CA6581" w:rsidP="00CA6581">
            <w:pPr>
              <w:spacing w:after="240"/>
              <w:rPr>
                <w:szCs w:val="22"/>
              </w:rPr>
            </w:pPr>
            <w:r w:rsidRPr="00926AA8">
              <w:rPr>
                <w:szCs w:val="22"/>
                <w:lang w:val="en-US"/>
              </w:rPr>
              <w:t>T</w:t>
            </w:r>
            <w:r w:rsidRPr="00926AA8">
              <w:rPr>
                <w:szCs w:val="22"/>
              </w:rPr>
              <w:t xml:space="preserve">he day after discharge, the X-rays were reported on formally. The pre-reduction X-ray report stated that there was a 1 x 0.2mm bone fragment posterior to the humeral head on the lateral view, and the post-reduction X-ray report queried subtle deformities, and stated “if indicated this area can be better evaluated by CT.” The consultant viewed and signed off the X-ray reports, noting no action was needed. These reports were not sent to the man and, as his GP’s details were not recorded, the GP was not sent copies either. </w:t>
            </w:r>
          </w:p>
          <w:p w:rsidR="00926AA8" w:rsidRPr="00926AA8" w:rsidRDefault="00926AA8" w:rsidP="00CA6581">
            <w:pPr>
              <w:spacing w:after="240"/>
              <w:rPr>
                <w:szCs w:val="22"/>
                <w:u w:val="single"/>
              </w:rPr>
            </w:pPr>
            <w:r w:rsidRPr="00926AA8">
              <w:rPr>
                <w:szCs w:val="22"/>
                <w:u w:val="single"/>
              </w:rPr>
              <w:t>Findings</w:t>
            </w:r>
          </w:p>
          <w:p w:rsidR="00CA6581" w:rsidRPr="00926AA8" w:rsidRDefault="00CA6581" w:rsidP="00CA6581">
            <w:pPr>
              <w:spacing w:after="240"/>
              <w:rPr>
                <w:rStyle w:val="ExpertadviceChar"/>
                <w:sz w:val="22"/>
                <w:szCs w:val="22"/>
              </w:rPr>
            </w:pPr>
            <w:r w:rsidRPr="00926AA8">
              <w:rPr>
                <w:szCs w:val="22"/>
              </w:rPr>
              <w:t xml:space="preserve">The Commissioner was critical that </w:t>
            </w:r>
            <w:r w:rsidR="00F72D35">
              <w:rPr>
                <w:rStyle w:val="ExpertadviceChar"/>
                <w:sz w:val="22"/>
                <w:szCs w:val="22"/>
              </w:rPr>
              <w:t>the man’s</w:t>
            </w:r>
            <w:r w:rsidRPr="00926AA8">
              <w:rPr>
                <w:rStyle w:val="ExpertadviceChar"/>
                <w:sz w:val="22"/>
                <w:szCs w:val="22"/>
              </w:rPr>
              <w:t xml:space="preserve"> pain score and vital signs were not documented at triage, commenting that this impacted on </w:t>
            </w:r>
            <w:r w:rsidR="00F72D35">
              <w:rPr>
                <w:rStyle w:val="ExpertadviceChar"/>
                <w:sz w:val="22"/>
                <w:szCs w:val="22"/>
              </w:rPr>
              <w:t>his</w:t>
            </w:r>
            <w:r w:rsidRPr="00926AA8">
              <w:rPr>
                <w:rStyle w:val="ExpertadviceChar"/>
                <w:sz w:val="22"/>
                <w:szCs w:val="22"/>
              </w:rPr>
              <w:t xml:space="preserve"> patient journey in ED. In particular, he considered it is more likely than not that </w:t>
            </w:r>
            <w:r w:rsidR="00F72D35">
              <w:rPr>
                <w:rStyle w:val="ExpertadviceChar"/>
                <w:sz w:val="22"/>
                <w:szCs w:val="22"/>
              </w:rPr>
              <w:t>his</w:t>
            </w:r>
            <w:r w:rsidRPr="00926AA8">
              <w:rPr>
                <w:rStyle w:val="ExpertadviceChar"/>
                <w:sz w:val="22"/>
                <w:szCs w:val="22"/>
              </w:rPr>
              <w:t xml:space="preserve"> pain score was higher than 7/10 on arrival, given that subsequently it was found to be 9/10 on more than one occasion, and, accordingly, he should have b</w:t>
            </w:r>
            <w:r w:rsidR="002C3314" w:rsidRPr="00926AA8">
              <w:rPr>
                <w:rStyle w:val="ExpertadviceChar"/>
                <w:sz w:val="22"/>
                <w:szCs w:val="22"/>
              </w:rPr>
              <w:t>een allocated a triage code 2. The Commissioner was</w:t>
            </w:r>
            <w:r w:rsidRPr="00926AA8">
              <w:rPr>
                <w:rStyle w:val="ExpertadviceChar"/>
                <w:sz w:val="22"/>
                <w:szCs w:val="22"/>
              </w:rPr>
              <w:t xml:space="preserve"> also critical that there was no form of ongoing assessment between tri</w:t>
            </w:r>
            <w:r w:rsidR="002C3314" w:rsidRPr="00926AA8">
              <w:rPr>
                <w:rStyle w:val="ExpertadviceChar"/>
                <w:sz w:val="22"/>
                <w:szCs w:val="22"/>
              </w:rPr>
              <w:t>age and formal review.</w:t>
            </w:r>
          </w:p>
          <w:p w:rsidR="002C3314" w:rsidRPr="00926AA8" w:rsidRDefault="002C3314" w:rsidP="00CA6581">
            <w:pPr>
              <w:spacing w:after="240"/>
              <w:rPr>
                <w:szCs w:val="22"/>
              </w:rPr>
            </w:pPr>
            <w:r w:rsidRPr="00926AA8">
              <w:rPr>
                <w:rStyle w:val="ExpertadviceChar"/>
                <w:sz w:val="22"/>
                <w:szCs w:val="22"/>
              </w:rPr>
              <w:t xml:space="preserve">The Commissioner was also concerned </w:t>
            </w:r>
            <w:r w:rsidRPr="00926AA8">
              <w:rPr>
                <w:szCs w:val="22"/>
              </w:rPr>
              <w:t xml:space="preserve">that </w:t>
            </w:r>
            <w:r w:rsidR="00F72D35">
              <w:rPr>
                <w:szCs w:val="22"/>
              </w:rPr>
              <w:t>the man’s</w:t>
            </w:r>
            <w:r w:rsidRPr="00926AA8">
              <w:rPr>
                <w:szCs w:val="22"/>
              </w:rPr>
              <w:t xml:space="preserve"> pain was not managed adequately in ED, and that the IV opioid protocol was not used to provide him with adequate analgesia earlier in his </w:t>
            </w:r>
            <w:r w:rsidRPr="00926AA8">
              <w:rPr>
                <w:szCs w:val="22"/>
              </w:rPr>
              <w:lastRenderedPageBreak/>
              <w:t>admission, given the extended amount of time he had to wait for formal review.</w:t>
            </w:r>
          </w:p>
          <w:p w:rsidR="002C3314" w:rsidRPr="00926AA8" w:rsidRDefault="002C3314" w:rsidP="001916DC">
            <w:pPr>
              <w:pStyle w:val="Paranumbered"/>
              <w:numPr>
                <w:ilvl w:val="0"/>
                <w:numId w:val="1"/>
              </w:numPr>
              <w:ind w:left="0" w:hanging="425"/>
              <w:rPr>
                <w:rFonts w:asciiTheme="minorHAnsi" w:hAnsiTheme="minorHAnsi"/>
                <w:sz w:val="22"/>
                <w:szCs w:val="22"/>
              </w:rPr>
            </w:pPr>
            <w:r w:rsidRPr="00926AA8">
              <w:rPr>
                <w:rFonts w:asciiTheme="minorHAnsi" w:hAnsiTheme="minorHAnsi"/>
                <w:sz w:val="22"/>
                <w:szCs w:val="22"/>
              </w:rPr>
              <w:t xml:space="preserve">HDC’s clinical advisor commented that </w:t>
            </w:r>
            <w:r w:rsidRPr="00926AA8">
              <w:rPr>
                <w:rStyle w:val="ExpertadviceChar"/>
                <w:rFonts w:asciiTheme="minorHAnsi" w:hAnsiTheme="minorHAnsi"/>
                <w:sz w:val="22"/>
                <w:szCs w:val="22"/>
              </w:rPr>
              <w:t xml:space="preserve">there should have been a more detailed systematic assessment of </w:t>
            </w:r>
            <w:r w:rsidR="00F72D35">
              <w:rPr>
                <w:rStyle w:val="ExpertadviceChar"/>
                <w:rFonts w:asciiTheme="minorHAnsi" w:hAnsiTheme="minorHAnsi"/>
                <w:sz w:val="22"/>
                <w:szCs w:val="22"/>
              </w:rPr>
              <w:t>the man’s</w:t>
            </w:r>
            <w:r w:rsidRPr="00926AA8">
              <w:rPr>
                <w:rStyle w:val="ExpertadviceChar"/>
                <w:rFonts w:asciiTheme="minorHAnsi" w:hAnsiTheme="minorHAnsi"/>
                <w:sz w:val="22"/>
                <w:szCs w:val="22"/>
              </w:rPr>
              <w:t xml:space="preserve"> head</w:t>
            </w:r>
            <w:r w:rsidR="0002668A">
              <w:rPr>
                <w:rStyle w:val="ExpertadviceChar"/>
                <w:rFonts w:asciiTheme="minorHAnsi" w:hAnsiTheme="minorHAnsi"/>
                <w:sz w:val="22"/>
                <w:szCs w:val="22"/>
              </w:rPr>
              <w:t xml:space="preserve">, chest and abdomen documented </w:t>
            </w:r>
            <w:r w:rsidRPr="00926AA8">
              <w:rPr>
                <w:rStyle w:val="ExpertadviceChar"/>
                <w:rFonts w:asciiTheme="minorHAnsi" w:hAnsiTheme="minorHAnsi"/>
                <w:sz w:val="22"/>
                <w:szCs w:val="22"/>
              </w:rPr>
              <w:t xml:space="preserve">and was </w:t>
            </w:r>
            <w:r w:rsidRPr="00926AA8">
              <w:rPr>
                <w:rFonts w:asciiTheme="minorHAnsi" w:hAnsiTheme="minorHAnsi"/>
                <w:sz w:val="22"/>
                <w:szCs w:val="22"/>
              </w:rPr>
              <w:t xml:space="preserve">critical that none of the DHB’s staff undertook a secondary survey of </w:t>
            </w:r>
            <w:r w:rsidR="00F72D35">
              <w:rPr>
                <w:rFonts w:asciiTheme="minorHAnsi" w:hAnsiTheme="minorHAnsi"/>
                <w:sz w:val="22"/>
                <w:szCs w:val="22"/>
              </w:rPr>
              <w:t>him</w:t>
            </w:r>
            <w:r w:rsidRPr="00926AA8">
              <w:rPr>
                <w:rFonts w:asciiTheme="minorHAnsi" w:hAnsiTheme="minorHAnsi"/>
                <w:sz w:val="22"/>
                <w:szCs w:val="22"/>
              </w:rPr>
              <w:t>. The Commissioner was also concerned that the man’s GP details were not recorded on the DHB’s system meaning his pre- and post-reduction X-ray reports were not able to be copied to his GP.</w:t>
            </w:r>
          </w:p>
          <w:p w:rsidR="002C3314" w:rsidRPr="00926AA8" w:rsidRDefault="002C3314" w:rsidP="002C3314">
            <w:pPr>
              <w:spacing w:after="240"/>
              <w:rPr>
                <w:szCs w:val="22"/>
              </w:rPr>
            </w:pPr>
            <w:r w:rsidRPr="00926AA8">
              <w:rPr>
                <w:szCs w:val="22"/>
              </w:rPr>
              <w:t xml:space="preserve">The Commissioner found that </w:t>
            </w:r>
            <w:r w:rsidR="00F72D35">
              <w:rPr>
                <w:szCs w:val="22"/>
              </w:rPr>
              <w:t>these</w:t>
            </w:r>
            <w:r w:rsidRPr="00926AA8">
              <w:rPr>
                <w:szCs w:val="22"/>
              </w:rPr>
              <w:t xml:space="preserve"> deficiencies indicated a pattern of poor care by staff, and systems issues, for which the DHB is responsible. For these reasons, it was held that the DHB did not provide the man </w:t>
            </w:r>
            <w:r w:rsidR="00F72D35">
              <w:rPr>
                <w:szCs w:val="22"/>
              </w:rPr>
              <w:t xml:space="preserve">with </w:t>
            </w:r>
            <w:r w:rsidRPr="00926AA8">
              <w:rPr>
                <w:szCs w:val="22"/>
              </w:rPr>
              <w:t>services with reasonable care and skill, in breach of Right 4(1) of the Code.</w:t>
            </w:r>
          </w:p>
          <w:p w:rsidR="002C3314" w:rsidRPr="00926AA8" w:rsidRDefault="002C3314" w:rsidP="002C3314">
            <w:pPr>
              <w:spacing w:after="240"/>
              <w:rPr>
                <w:szCs w:val="22"/>
              </w:rPr>
            </w:pPr>
            <w:r w:rsidRPr="00926AA8">
              <w:rPr>
                <w:szCs w:val="22"/>
              </w:rPr>
              <w:t xml:space="preserve">The Commissioner was critical that the consultant did not inform the man of the abnormality seen on the X-ray, especially in light of the fact that the reports were not copied to his GP. </w:t>
            </w:r>
            <w:r w:rsidR="00926AA8" w:rsidRPr="00926AA8">
              <w:rPr>
                <w:szCs w:val="22"/>
              </w:rPr>
              <w:t>This was information that a reasonable consumer in the man’s circumstances would expect to receive, and by failing to provide this information</w:t>
            </w:r>
            <w:r w:rsidRPr="00926AA8">
              <w:rPr>
                <w:szCs w:val="22"/>
              </w:rPr>
              <w:t xml:space="preserve"> the consultant breached Right 6(1)(f) of the Code.</w:t>
            </w:r>
          </w:p>
          <w:p w:rsidR="00926AA8" w:rsidRPr="00926AA8" w:rsidRDefault="00926AA8" w:rsidP="002C3314">
            <w:pPr>
              <w:spacing w:after="240"/>
              <w:rPr>
                <w:szCs w:val="22"/>
              </w:rPr>
            </w:pPr>
            <w:r w:rsidRPr="00926AA8">
              <w:rPr>
                <w:szCs w:val="22"/>
              </w:rPr>
              <w:t>The Commissioner made a number of recommendations to the DHB, including that it:</w:t>
            </w:r>
          </w:p>
          <w:p w:rsidR="00926AA8" w:rsidRPr="00926AA8" w:rsidRDefault="00926AA8" w:rsidP="001916DC">
            <w:pPr>
              <w:pStyle w:val="ListParagraph"/>
              <w:numPr>
                <w:ilvl w:val="0"/>
                <w:numId w:val="1"/>
              </w:numPr>
              <w:spacing w:after="240"/>
              <w:rPr>
                <w:szCs w:val="22"/>
              </w:rPr>
            </w:pPr>
            <w:r w:rsidRPr="00926AA8">
              <w:rPr>
                <w:szCs w:val="22"/>
              </w:rPr>
              <w:t>Provide HDC with an update on the improvements to triage assessment (including ensuring documentation of vital signs and accurate assessment and categorisation of patients)</w:t>
            </w:r>
            <w:r w:rsidR="00F72D35">
              <w:rPr>
                <w:szCs w:val="22"/>
              </w:rPr>
              <w:t>.</w:t>
            </w:r>
          </w:p>
          <w:p w:rsidR="00926AA8" w:rsidRPr="00926AA8" w:rsidRDefault="00926AA8" w:rsidP="001916DC">
            <w:pPr>
              <w:pStyle w:val="ListParagraph"/>
              <w:numPr>
                <w:ilvl w:val="0"/>
                <w:numId w:val="1"/>
              </w:numPr>
              <w:spacing w:after="240"/>
              <w:rPr>
                <w:szCs w:val="22"/>
              </w:rPr>
            </w:pPr>
            <w:r w:rsidRPr="00926AA8">
              <w:rPr>
                <w:szCs w:val="22"/>
              </w:rPr>
              <w:t>Provide HDC with evidence that the letter to patients advising them of additional X-ray results (where a condition or injury</w:t>
            </w:r>
            <w:r w:rsidR="00F72D35">
              <w:rPr>
                <w:szCs w:val="22"/>
              </w:rPr>
              <w:t xml:space="preserve"> is</w:t>
            </w:r>
            <w:r w:rsidRPr="00926AA8">
              <w:rPr>
                <w:szCs w:val="22"/>
              </w:rPr>
              <w:t xml:space="preserve"> identified on the X-ray report that was not seen at the time of their presentation to ED) is being used where appropriate. </w:t>
            </w:r>
          </w:p>
          <w:p w:rsidR="00926AA8" w:rsidRPr="00926AA8" w:rsidRDefault="00926AA8" w:rsidP="001916DC">
            <w:pPr>
              <w:pStyle w:val="ListParagraph"/>
              <w:numPr>
                <w:ilvl w:val="0"/>
                <w:numId w:val="1"/>
              </w:numPr>
              <w:spacing w:after="240"/>
              <w:rPr>
                <w:szCs w:val="22"/>
              </w:rPr>
            </w:pPr>
            <w:r w:rsidRPr="00926AA8">
              <w:rPr>
                <w:szCs w:val="22"/>
              </w:rPr>
              <w:t>Consider providing triage nursing staff with appropriate training and authority to order X-rays</w:t>
            </w:r>
            <w:r w:rsidR="00F72D35">
              <w:rPr>
                <w:szCs w:val="22"/>
              </w:rPr>
              <w:t>.</w:t>
            </w:r>
          </w:p>
          <w:p w:rsidR="00926AA8" w:rsidRPr="00926AA8" w:rsidRDefault="00926AA8" w:rsidP="001916DC">
            <w:pPr>
              <w:pStyle w:val="ListParagraph"/>
              <w:numPr>
                <w:ilvl w:val="0"/>
                <w:numId w:val="1"/>
              </w:numPr>
              <w:spacing w:after="240"/>
              <w:rPr>
                <w:szCs w:val="22"/>
              </w:rPr>
            </w:pPr>
            <w:r w:rsidRPr="00926AA8">
              <w:rPr>
                <w:szCs w:val="22"/>
              </w:rPr>
              <w:t xml:space="preserve">Provide training to ED nursing and medical staff on the use of the IV opioid protocol and the circumstances in which this should be implemented, and by whom. </w:t>
            </w:r>
          </w:p>
          <w:p w:rsidR="00926AA8" w:rsidRPr="00926AA8" w:rsidRDefault="00926AA8" w:rsidP="001916DC">
            <w:pPr>
              <w:pStyle w:val="ListParagraph"/>
              <w:numPr>
                <w:ilvl w:val="0"/>
                <w:numId w:val="1"/>
              </w:numPr>
              <w:spacing w:after="240"/>
              <w:rPr>
                <w:szCs w:val="22"/>
              </w:rPr>
            </w:pPr>
            <w:r w:rsidRPr="00926AA8">
              <w:rPr>
                <w:szCs w:val="22"/>
              </w:rPr>
              <w:t>Remind ED reception staff of the importance of obtaining a patient’s GP details</w:t>
            </w:r>
            <w:r w:rsidR="00F72D35">
              <w:rPr>
                <w:szCs w:val="22"/>
              </w:rPr>
              <w:t>.</w:t>
            </w:r>
          </w:p>
          <w:p w:rsidR="00951B35" w:rsidRPr="00926AA8" w:rsidRDefault="00926AA8" w:rsidP="00926AA8">
            <w:pPr>
              <w:spacing w:after="240"/>
              <w:rPr>
                <w:sz w:val="24"/>
              </w:rPr>
            </w:pPr>
            <w:r w:rsidRPr="00926AA8">
              <w:rPr>
                <w:szCs w:val="22"/>
              </w:rPr>
              <w:t>These recommendations have been met</w:t>
            </w:r>
            <w:r w:rsidR="00F72D35">
              <w:rPr>
                <w:szCs w:val="22"/>
              </w:rPr>
              <w:t>.</w:t>
            </w:r>
          </w:p>
        </w:tc>
      </w:tr>
    </w:tbl>
    <w:p w:rsidR="00951B35" w:rsidRPr="00666BAC" w:rsidRDefault="00951B35" w:rsidP="00951B35">
      <w:bookmarkStart w:id="24" w:name="_Toc404344430"/>
    </w:p>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5B4EDE" w:rsidRPr="00666BAC" w:rsidRDefault="005B4EDE" w:rsidP="005B4EDE"/>
    <w:p w:rsidR="00A87F43" w:rsidRDefault="00A87F43" w:rsidP="005B4EDE"/>
    <w:p w:rsidR="004167DA" w:rsidRDefault="004167DA" w:rsidP="005B4EDE"/>
    <w:p w:rsidR="004167DA" w:rsidRDefault="004167DA" w:rsidP="005B4EDE"/>
    <w:p w:rsidR="004167DA" w:rsidRDefault="004167DA" w:rsidP="005B4EDE"/>
    <w:p w:rsidR="004167DA" w:rsidRDefault="004167DA" w:rsidP="005B4EDE"/>
    <w:p w:rsidR="004167DA" w:rsidRDefault="004167DA" w:rsidP="005B4EDE"/>
    <w:p w:rsidR="004167DA" w:rsidRDefault="004167DA" w:rsidP="005B4EDE"/>
    <w:p w:rsidR="00926AA8" w:rsidRDefault="00926AA8" w:rsidP="005B4EDE"/>
    <w:p w:rsidR="00926AA8" w:rsidRDefault="00926AA8" w:rsidP="005B4EDE"/>
    <w:p w:rsidR="00926AA8" w:rsidRPr="00666BAC" w:rsidRDefault="00926AA8" w:rsidP="005B4EDE"/>
    <w:p w:rsidR="000B7CAA" w:rsidRPr="00666BAC" w:rsidRDefault="000B7CAA" w:rsidP="000B7CAA">
      <w:pPr>
        <w:pStyle w:val="Heading3"/>
        <w:spacing w:before="240" w:after="120"/>
        <w:rPr>
          <w:b/>
          <w:i w:val="0"/>
          <w:sz w:val="28"/>
          <w:szCs w:val="28"/>
        </w:rPr>
      </w:pPr>
      <w:bookmarkStart w:id="25" w:name="_Toc506278069"/>
      <w:r w:rsidRPr="00666BAC">
        <w:rPr>
          <w:b/>
          <w:i w:val="0"/>
          <w:sz w:val="28"/>
          <w:szCs w:val="28"/>
        </w:rPr>
        <w:lastRenderedPageBreak/>
        <w:t>2.2</w:t>
      </w:r>
      <w:r w:rsidRPr="00666BAC">
        <w:rPr>
          <w:b/>
          <w:i w:val="0"/>
          <w:sz w:val="28"/>
          <w:szCs w:val="28"/>
        </w:rPr>
        <w:tab/>
      </w:r>
      <w:r w:rsidRPr="00666BAC">
        <w:rPr>
          <w:b/>
          <w:i w:val="0"/>
          <w:sz w:val="28"/>
          <w:szCs w:val="28"/>
        </w:rPr>
        <w:tab/>
        <w:t>Professions of individual providers complained about</w:t>
      </w:r>
      <w:bookmarkEnd w:id="24"/>
      <w:bookmarkEnd w:id="25"/>
    </w:p>
    <w:p w:rsidR="000B7CAA" w:rsidRPr="00666BAC" w:rsidRDefault="000B7CAA" w:rsidP="000B7CAA">
      <w:pPr>
        <w:rPr>
          <w:b/>
        </w:rPr>
      </w:pPr>
      <w:r w:rsidRPr="00666BAC">
        <w:t>When people complain about services provided to them, they often complain about particular individuals involved in t</w:t>
      </w:r>
      <w:r w:rsidR="00951B35" w:rsidRPr="00666BAC">
        <w:t>he provision of those services.</w:t>
      </w:r>
      <w:r w:rsidRPr="00666BAC">
        <w:t xml:space="preserve"> The professions of the individual providers identified in complaints about D</w:t>
      </w:r>
      <w:r w:rsidR="002D7651" w:rsidRPr="00666BAC">
        <w:t>HB services are shown in Table 3</w:t>
      </w:r>
      <w:r w:rsidRPr="00666BAC">
        <w:t xml:space="preserve"> below.  </w:t>
      </w:r>
    </w:p>
    <w:p w:rsidR="000B7CAA" w:rsidRPr="00666BAC" w:rsidRDefault="000B7CAA" w:rsidP="000B7CAA">
      <w:pPr>
        <w:rPr>
          <w:b/>
        </w:rPr>
      </w:pPr>
    </w:p>
    <w:p w:rsidR="000B7CAA" w:rsidRPr="00666BAC" w:rsidRDefault="002D7651" w:rsidP="000B7CAA">
      <w:pPr>
        <w:spacing w:after="120"/>
      </w:pPr>
      <w:r w:rsidRPr="00666BAC">
        <w:rPr>
          <w:b/>
        </w:rPr>
        <w:t>Table 3</w:t>
      </w:r>
      <w:r w:rsidR="000B7CAA" w:rsidRPr="00666BAC">
        <w:rPr>
          <w:b/>
        </w:rPr>
        <w:t xml:space="preserve">. </w:t>
      </w:r>
      <w:r w:rsidR="000B7CAA" w:rsidRPr="00666BAC">
        <w:t>Professions of individual providers complained about in DHB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693"/>
      </w:tblGrid>
      <w:tr w:rsidR="000B7CAA" w:rsidRPr="00666BAC" w:rsidTr="000B7CAA">
        <w:trPr>
          <w:trHeight w:val="624"/>
          <w:tblHeader/>
        </w:trPr>
        <w:tc>
          <w:tcPr>
            <w:tcW w:w="4253" w:type="dxa"/>
          </w:tcPr>
          <w:p w:rsidR="000B7CAA" w:rsidRPr="00666BAC" w:rsidRDefault="000B7CAA" w:rsidP="000B7CAA">
            <w:pPr>
              <w:tabs>
                <w:tab w:val="left" w:pos="1440"/>
                <w:tab w:val="decimal" w:pos="4320"/>
              </w:tabs>
              <w:spacing w:before="120" w:after="120"/>
              <w:jc w:val="center"/>
              <w:outlineLvl w:val="0"/>
              <w:rPr>
                <w:b/>
                <w:szCs w:val="22"/>
                <w:vertAlign w:val="superscript"/>
              </w:rPr>
            </w:pPr>
            <w:r w:rsidRPr="00666BAC">
              <w:rPr>
                <w:b/>
                <w:szCs w:val="22"/>
              </w:rPr>
              <w:t>Occupation</w:t>
            </w:r>
          </w:p>
        </w:tc>
        <w:tc>
          <w:tcPr>
            <w:tcW w:w="2693" w:type="dxa"/>
          </w:tcPr>
          <w:p w:rsidR="000B7CAA" w:rsidRPr="00666BAC" w:rsidRDefault="000B7CAA" w:rsidP="000B7CAA">
            <w:pPr>
              <w:tabs>
                <w:tab w:val="left" w:pos="1440"/>
                <w:tab w:val="decimal" w:pos="4320"/>
              </w:tabs>
              <w:spacing w:before="120" w:after="120"/>
              <w:jc w:val="center"/>
              <w:outlineLvl w:val="0"/>
              <w:rPr>
                <w:b/>
                <w:szCs w:val="22"/>
              </w:rPr>
            </w:pPr>
            <w:r w:rsidRPr="00666BAC">
              <w:rPr>
                <w:b/>
                <w:szCs w:val="22"/>
              </w:rPr>
              <w:t>Number of individuals (%)</w:t>
            </w:r>
          </w:p>
        </w:tc>
      </w:tr>
      <w:tr w:rsidR="000B7CAA" w:rsidRPr="00666BAC" w:rsidTr="000B7CAA">
        <w:trPr>
          <w:trHeight w:val="168"/>
        </w:trPr>
        <w:tc>
          <w:tcPr>
            <w:tcW w:w="4253" w:type="dxa"/>
            <w:shd w:val="clear" w:color="auto" w:fill="C00000"/>
            <w:vAlign w:val="bottom"/>
          </w:tcPr>
          <w:p w:rsidR="000B7CAA" w:rsidRPr="00666BAC" w:rsidRDefault="000B7CAA" w:rsidP="000B7CAA">
            <w:pPr>
              <w:jc w:val="left"/>
              <w:rPr>
                <w:rFonts w:cs="Calibri"/>
                <w:b/>
                <w:i/>
                <w:color w:val="FFFFFF" w:themeColor="background1"/>
                <w:szCs w:val="22"/>
              </w:rPr>
            </w:pPr>
            <w:r w:rsidRPr="00666BAC">
              <w:rPr>
                <w:rFonts w:cs="Calibri"/>
                <w:b/>
                <w:i/>
                <w:color w:val="FFFFFF" w:themeColor="background1"/>
                <w:szCs w:val="22"/>
              </w:rPr>
              <w:t>Doctors</w:t>
            </w:r>
          </w:p>
        </w:tc>
        <w:tc>
          <w:tcPr>
            <w:tcW w:w="2693" w:type="dxa"/>
            <w:shd w:val="clear" w:color="auto" w:fill="C00000"/>
            <w:vAlign w:val="center"/>
          </w:tcPr>
          <w:p w:rsidR="000B7CAA" w:rsidRPr="00666BAC" w:rsidRDefault="00893992" w:rsidP="000B7CAA">
            <w:pPr>
              <w:jc w:val="center"/>
              <w:rPr>
                <w:b/>
                <w:i/>
                <w:color w:val="FFFFFF" w:themeColor="background1"/>
                <w:szCs w:val="22"/>
              </w:rPr>
            </w:pPr>
            <w:r>
              <w:rPr>
                <w:b/>
                <w:i/>
                <w:color w:val="FFFFFF" w:themeColor="background1"/>
                <w:szCs w:val="22"/>
              </w:rPr>
              <w:t>171</w:t>
            </w:r>
            <w:r w:rsidR="003D2C86">
              <w:rPr>
                <w:b/>
                <w:i/>
                <w:color w:val="FFFFFF" w:themeColor="background1"/>
                <w:szCs w:val="22"/>
              </w:rPr>
              <w:t xml:space="preserve"> (83)</w:t>
            </w:r>
          </w:p>
        </w:tc>
      </w:tr>
      <w:tr w:rsidR="00A4338C" w:rsidRPr="00666BAC" w:rsidTr="000B7CAA">
        <w:trPr>
          <w:trHeight w:val="185"/>
        </w:trPr>
        <w:tc>
          <w:tcPr>
            <w:tcW w:w="4253" w:type="dxa"/>
            <w:shd w:val="clear" w:color="auto" w:fill="FFFFFF" w:themeFill="background1"/>
            <w:vAlign w:val="bottom"/>
          </w:tcPr>
          <w:p w:rsidR="00A4338C" w:rsidRPr="00666BAC" w:rsidRDefault="00A4338C" w:rsidP="000B7CAA">
            <w:pPr>
              <w:jc w:val="left"/>
              <w:rPr>
                <w:rFonts w:cs="Calibri"/>
                <w:color w:val="000000"/>
                <w:szCs w:val="22"/>
              </w:rPr>
            </w:pPr>
            <w:r>
              <w:rPr>
                <w:rFonts w:cs="Calibri"/>
                <w:color w:val="000000"/>
                <w:szCs w:val="22"/>
              </w:rPr>
              <w:t>Emergency medicine specialist</w:t>
            </w:r>
          </w:p>
        </w:tc>
        <w:tc>
          <w:tcPr>
            <w:tcW w:w="2693" w:type="dxa"/>
            <w:shd w:val="clear" w:color="auto" w:fill="FFFFFF" w:themeFill="background1"/>
            <w:vAlign w:val="center"/>
          </w:tcPr>
          <w:p w:rsidR="00A4338C" w:rsidRPr="00666BAC" w:rsidRDefault="00893992" w:rsidP="000B7CAA">
            <w:pPr>
              <w:jc w:val="center"/>
              <w:rPr>
                <w:color w:val="000000"/>
                <w:szCs w:val="22"/>
              </w:rPr>
            </w:pPr>
            <w:r>
              <w:rPr>
                <w:color w:val="000000"/>
                <w:szCs w:val="22"/>
              </w:rPr>
              <w:t>3 (1)</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General surgeon</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17</w:t>
            </w:r>
            <w:r w:rsidR="003D2C86">
              <w:rPr>
                <w:color w:val="000000"/>
                <w:szCs w:val="22"/>
              </w:rPr>
              <w:t xml:space="preserve"> (8)</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Internal medicine specialist</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21</w:t>
            </w:r>
            <w:r w:rsidR="003D2C86">
              <w:rPr>
                <w:color w:val="000000"/>
                <w:szCs w:val="22"/>
              </w:rPr>
              <w:t xml:space="preserve"> (10)</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Medical officer</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11</w:t>
            </w:r>
            <w:r w:rsidR="003D2C86">
              <w:rPr>
                <w:color w:val="000000"/>
                <w:szCs w:val="22"/>
              </w:rPr>
              <w:t xml:space="preserve"> (5)</w:t>
            </w:r>
          </w:p>
        </w:tc>
      </w:tr>
      <w:tr w:rsidR="00A4338C" w:rsidRPr="00666BAC" w:rsidTr="000B7CAA">
        <w:trPr>
          <w:trHeight w:val="185"/>
        </w:trPr>
        <w:tc>
          <w:tcPr>
            <w:tcW w:w="4253" w:type="dxa"/>
            <w:shd w:val="clear" w:color="auto" w:fill="FFFFFF" w:themeFill="background1"/>
            <w:vAlign w:val="bottom"/>
          </w:tcPr>
          <w:p w:rsidR="00A4338C" w:rsidRPr="00666BAC" w:rsidRDefault="00A4338C" w:rsidP="000B7CAA">
            <w:pPr>
              <w:jc w:val="left"/>
              <w:rPr>
                <w:rFonts w:cs="Calibri"/>
                <w:color w:val="000000"/>
                <w:szCs w:val="22"/>
              </w:rPr>
            </w:pPr>
            <w:r>
              <w:rPr>
                <w:rFonts w:cs="Calibri"/>
                <w:color w:val="000000"/>
                <w:szCs w:val="22"/>
              </w:rPr>
              <w:t>Neurosurgeon</w:t>
            </w:r>
          </w:p>
        </w:tc>
        <w:tc>
          <w:tcPr>
            <w:tcW w:w="2693" w:type="dxa"/>
            <w:shd w:val="clear" w:color="auto" w:fill="FFFFFF" w:themeFill="background1"/>
            <w:vAlign w:val="center"/>
          </w:tcPr>
          <w:p w:rsidR="00A4338C" w:rsidRPr="00666BAC" w:rsidRDefault="00893992" w:rsidP="000B7CAA">
            <w:pPr>
              <w:jc w:val="center"/>
              <w:rPr>
                <w:color w:val="000000"/>
                <w:szCs w:val="22"/>
              </w:rPr>
            </w:pPr>
            <w:r>
              <w:rPr>
                <w:color w:val="000000"/>
                <w:szCs w:val="22"/>
              </w:rPr>
              <w:t>4</w:t>
            </w:r>
            <w:r w:rsidR="003D2C86">
              <w:rPr>
                <w:color w:val="000000"/>
                <w:szCs w:val="22"/>
              </w:rPr>
              <w:t xml:space="preserve"> (2)</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Obstetrician/gynaecologist</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25</w:t>
            </w:r>
            <w:r w:rsidR="003D2C86">
              <w:rPr>
                <w:color w:val="000000"/>
                <w:szCs w:val="22"/>
              </w:rPr>
              <w:t xml:space="preserve"> (12)</w:t>
            </w:r>
          </w:p>
        </w:tc>
      </w:tr>
      <w:tr w:rsidR="00A872C1" w:rsidRPr="00666BAC" w:rsidTr="000B7CAA">
        <w:trPr>
          <w:trHeight w:val="185"/>
        </w:trPr>
        <w:tc>
          <w:tcPr>
            <w:tcW w:w="4253" w:type="dxa"/>
            <w:shd w:val="clear" w:color="auto" w:fill="FFFFFF" w:themeFill="background1"/>
            <w:vAlign w:val="bottom"/>
          </w:tcPr>
          <w:p w:rsidR="00A872C1" w:rsidRPr="00666BAC" w:rsidRDefault="00A872C1" w:rsidP="000B7CAA">
            <w:pPr>
              <w:jc w:val="left"/>
              <w:rPr>
                <w:rFonts w:cs="Calibri"/>
                <w:color w:val="000000"/>
                <w:szCs w:val="22"/>
              </w:rPr>
            </w:pPr>
            <w:r w:rsidRPr="00666BAC">
              <w:rPr>
                <w:rFonts w:cs="Calibri"/>
                <w:color w:val="000000"/>
                <w:szCs w:val="22"/>
              </w:rPr>
              <w:t>Ophthalmologist</w:t>
            </w:r>
          </w:p>
        </w:tc>
        <w:tc>
          <w:tcPr>
            <w:tcW w:w="2693" w:type="dxa"/>
            <w:shd w:val="clear" w:color="auto" w:fill="FFFFFF" w:themeFill="background1"/>
            <w:vAlign w:val="center"/>
          </w:tcPr>
          <w:p w:rsidR="00A872C1" w:rsidRPr="00666BAC" w:rsidRDefault="00893992" w:rsidP="000B7CAA">
            <w:pPr>
              <w:jc w:val="center"/>
              <w:rPr>
                <w:color w:val="000000"/>
                <w:szCs w:val="22"/>
              </w:rPr>
            </w:pPr>
            <w:r>
              <w:rPr>
                <w:color w:val="000000"/>
                <w:szCs w:val="22"/>
              </w:rPr>
              <w:t>7</w:t>
            </w:r>
            <w:r w:rsidR="003D2C86">
              <w:rPr>
                <w:color w:val="000000"/>
                <w:szCs w:val="22"/>
              </w:rPr>
              <w:t xml:space="preserve"> (3)</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Orthopaedic surgeon</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13</w:t>
            </w:r>
            <w:r w:rsidR="003D2C86">
              <w:rPr>
                <w:color w:val="000000"/>
                <w:szCs w:val="22"/>
              </w:rPr>
              <w:t xml:space="preserve"> (6)</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Otolaryngologist</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6</w:t>
            </w:r>
            <w:r w:rsidR="003D2C86">
              <w:rPr>
                <w:color w:val="000000"/>
                <w:szCs w:val="22"/>
              </w:rPr>
              <w:t xml:space="preserve"> (3)</w:t>
            </w:r>
          </w:p>
        </w:tc>
      </w:tr>
      <w:tr w:rsidR="000B7CAA" w:rsidRPr="00666BAC" w:rsidTr="000B7CAA">
        <w:trPr>
          <w:trHeight w:val="185"/>
        </w:trPr>
        <w:tc>
          <w:tcPr>
            <w:tcW w:w="4253" w:type="dxa"/>
            <w:shd w:val="clear" w:color="auto" w:fill="FFFFFF" w:themeFill="background1"/>
            <w:vAlign w:val="bottom"/>
          </w:tcPr>
          <w:p w:rsidR="000B7CAA" w:rsidRPr="00666BAC" w:rsidRDefault="00D71B3D" w:rsidP="000B7CAA">
            <w:pPr>
              <w:jc w:val="left"/>
              <w:rPr>
                <w:rFonts w:cs="Calibri"/>
                <w:color w:val="000000"/>
                <w:szCs w:val="22"/>
              </w:rPr>
            </w:pPr>
            <w:r w:rsidRPr="00666BAC">
              <w:rPr>
                <w:rFonts w:cs="Calibri"/>
                <w:color w:val="000000"/>
                <w:szCs w:val="22"/>
              </w:rPr>
              <w:t>Psychiatrist</w:t>
            </w:r>
          </w:p>
        </w:tc>
        <w:tc>
          <w:tcPr>
            <w:tcW w:w="2693" w:type="dxa"/>
            <w:shd w:val="clear" w:color="auto" w:fill="FFFFFF" w:themeFill="background1"/>
            <w:vAlign w:val="center"/>
          </w:tcPr>
          <w:p w:rsidR="000B7CAA" w:rsidRPr="00666BAC" w:rsidRDefault="00893992" w:rsidP="000B7CAA">
            <w:pPr>
              <w:jc w:val="center"/>
              <w:rPr>
                <w:color w:val="000000"/>
                <w:szCs w:val="22"/>
              </w:rPr>
            </w:pPr>
            <w:r>
              <w:rPr>
                <w:color w:val="000000"/>
                <w:szCs w:val="22"/>
              </w:rPr>
              <w:t>23</w:t>
            </w:r>
            <w:r w:rsidR="003D2C86">
              <w:rPr>
                <w:color w:val="000000"/>
                <w:szCs w:val="22"/>
              </w:rPr>
              <w:t xml:space="preserve"> (11)</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Registrar</w:t>
            </w:r>
          </w:p>
        </w:tc>
        <w:tc>
          <w:tcPr>
            <w:tcW w:w="2693" w:type="dxa"/>
            <w:shd w:val="clear" w:color="auto" w:fill="FFFFFF" w:themeFill="background1"/>
            <w:vAlign w:val="center"/>
          </w:tcPr>
          <w:p w:rsidR="00FC6AD2" w:rsidRPr="00666BAC" w:rsidRDefault="00893992" w:rsidP="000B7CAA">
            <w:pPr>
              <w:jc w:val="center"/>
              <w:rPr>
                <w:color w:val="000000"/>
                <w:szCs w:val="22"/>
              </w:rPr>
            </w:pPr>
            <w:r>
              <w:rPr>
                <w:color w:val="000000"/>
                <w:szCs w:val="22"/>
              </w:rPr>
              <w:t>20</w:t>
            </w:r>
            <w:r w:rsidR="003D2C86">
              <w:rPr>
                <w:color w:val="000000"/>
                <w:szCs w:val="22"/>
              </w:rPr>
              <w:t xml:space="preserve"> (10)</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 xml:space="preserve">Urologist </w:t>
            </w:r>
          </w:p>
        </w:tc>
        <w:tc>
          <w:tcPr>
            <w:tcW w:w="2693" w:type="dxa"/>
            <w:shd w:val="clear" w:color="auto" w:fill="FFFFFF" w:themeFill="background1"/>
            <w:vAlign w:val="center"/>
          </w:tcPr>
          <w:p w:rsidR="00FC6AD2" w:rsidRPr="00666BAC" w:rsidRDefault="00893992" w:rsidP="000B7CAA">
            <w:pPr>
              <w:jc w:val="center"/>
              <w:rPr>
                <w:color w:val="000000"/>
                <w:szCs w:val="22"/>
              </w:rPr>
            </w:pPr>
            <w:r>
              <w:rPr>
                <w:color w:val="000000"/>
                <w:szCs w:val="22"/>
              </w:rPr>
              <w:t>9</w:t>
            </w:r>
            <w:r w:rsidR="003D2C86">
              <w:rPr>
                <w:color w:val="000000"/>
                <w:szCs w:val="22"/>
              </w:rPr>
              <w:t xml:space="preserve"> (4)</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Other</w:t>
            </w:r>
          </w:p>
        </w:tc>
        <w:tc>
          <w:tcPr>
            <w:tcW w:w="2693" w:type="dxa"/>
            <w:shd w:val="clear" w:color="auto" w:fill="FFFFFF" w:themeFill="background1"/>
            <w:vAlign w:val="center"/>
          </w:tcPr>
          <w:p w:rsidR="00FC6AD2" w:rsidRPr="00666BAC" w:rsidRDefault="00893992" w:rsidP="000B7CAA">
            <w:pPr>
              <w:jc w:val="center"/>
              <w:rPr>
                <w:color w:val="000000"/>
                <w:szCs w:val="22"/>
              </w:rPr>
            </w:pPr>
            <w:r>
              <w:rPr>
                <w:color w:val="000000"/>
                <w:szCs w:val="22"/>
              </w:rPr>
              <w:t>12</w:t>
            </w:r>
            <w:r w:rsidR="003D2C86">
              <w:rPr>
                <w:color w:val="000000"/>
                <w:szCs w:val="22"/>
              </w:rPr>
              <w:t xml:space="preserve"> (6)</w:t>
            </w:r>
          </w:p>
        </w:tc>
      </w:tr>
      <w:tr w:rsidR="00FC6AD2" w:rsidRPr="00666BAC" w:rsidTr="000B7CAA">
        <w:trPr>
          <w:trHeight w:val="185"/>
        </w:trPr>
        <w:tc>
          <w:tcPr>
            <w:tcW w:w="4253" w:type="dxa"/>
            <w:shd w:val="clear" w:color="auto" w:fill="C00000"/>
            <w:vAlign w:val="bottom"/>
          </w:tcPr>
          <w:p w:rsidR="00FC6AD2" w:rsidRPr="00666BAC" w:rsidRDefault="00FC6AD2" w:rsidP="000B7CAA">
            <w:pPr>
              <w:jc w:val="left"/>
              <w:rPr>
                <w:rFonts w:cs="Calibri"/>
                <w:b/>
                <w:i/>
                <w:color w:val="FFFFFF" w:themeColor="background1"/>
                <w:szCs w:val="22"/>
              </w:rPr>
            </w:pPr>
            <w:r w:rsidRPr="00666BAC">
              <w:rPr>
                <w:rFonts w:cs="Calibri"/>
                <w:b/>
                <w:i/>
                <w:color w:val="FFFFFF" w:themeColor="background1"/>
                <w:szCs w:val="22"/>
              </w:rPr>
              <w:t>Other health providers</w:t>
            </w:r>
          </w:p>
        </w:tc>
        <w:tc>
          <w:tcPr>
            <w:tcW w:w="2693" w:type="dxa"/>
            <w:shd w:val="clear" w:color="auto" w:fill="C00000"/>
            <w:vAlign w:val="center"/>
          </w:tcPr>
          <w:p w:rsidR="00FC6AD2" w:rsidRPr="00666BAC" w:rsidRDefault="00893992" w:rsidP="000B7CAA">
            <w:pPr>
              <w:jc w:val="center"/>
              <w:rPr>
                <w:b/>
                <w:i/>
                <w:color w:val="FFFFFF" w:themeColor="background1"/>
                <w:szCs w:val="22"/>
              </w:rPr>
            </w:pPr>
            <w:r>
              <w:rPr>
                <w:b/>
                <w:i/>
                <w:color w:val="FFFFFF" w:themeColor="background1"/>
                <w:szCs w:val="22"/>
              </w:rPr>
              <w:t>35</w:t>
            </w:r>
            <w:r w:rsidR="003D2C86">
              <w:rPr>
                <w:b/>
                <w:i/>
                <w:color w:val="FFFFFF" w:themeColor="background1"/>
                <w:szCs w:val="22"/>
              </w:rPr>
              <w:t xml:space="preserve"> (17)</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Midwife</w:t>
            </w:r>
          </w:p>
        </w:tc>
        <w:tc>
          <w:tcPr>
            <w:tcW w:w="2693" w:type="dxa"/>
            <w:shd w:val="clear" w:color="auto" w:fill="FFFFFF" w:themeFill="background1"/>
            <w:vAlign w:val="center"/>
          </w:tcPr>
          <w:p w:rsidR="00FC6AD2" w:rsidRPr="00666BAC" w:rsidRDefault="00893992" w:rsidP="000B7CAA">
            <w:pPr>
              <w:jc w:val="center"/>
              <w:rPr>
                <w:color w:val="000000"/>
                <w:szCs w:val="22"/>
              </w:rPr>
            </w:pPr>
            <w:r>
              <w:rPr>
                <w:color w:val="000000"/>
                <w:szCs w:val="22"/>
              </w:rPr>
              <w:t>10</w:t>
            </w:r>
            <w:r w:rsidR="003D2C86">
              <w:rPr>
                <w:color w:val="000000"/>
                <w:szCs w:val="22"/>
              </w:rPr>
              <w:t xml:space="preserve"> (5)</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Nurse</w:t>
            </w:r>
          </w:p>
        </w:tc>
        <w:tc>
          <w:tcPr>
            <w:tcW w:w="2693" w:type="dxa"/>
            <w:shd w:val="clear" w:color="auto" w:fill="FFFFFF" w:themeFill="background1"/>
            <w:vAlign w:val="center"/>
          </w:tcPr>
          <w:p w:rsidR="00FC6AD2" w:rsidRPr="00666BAC" w:rsidRDefault="00893992" w:rsidP="000B7CAA">
            <w:pPr>
              <w:jc w:val="center"/>
              <w:rPr>
                <w:color w:val="000000"/>
                <w:szCs w:val="22"/>
              </w:rPr>
            </w:pPr>
            <w:r>
              <w:rPr>
                <w:color w:val="000000"/>
                <w:szCs w:val="22"/>
              </w:rPr>
              <w:t>13</w:t>
            </w:r>
            <w:r w:rsidR="003D2C86">
              <w:rPr>
                <w:color w:val="000000"/>
                <w:szCs w:val="22"/>
              </w:rPr>
              <w:t xml:space="preserve"> (6)</w:t>
            </w:r>
          </w:p>
        </w:tc>
      </w:tr>
      <w:tr w:rsidR="00893992" w:rsidRPr="00666BAC" w:rsidTr="000B7CAA">
        <w:trPr>
          <w:trHeight w:val="185"/>
        </w:trPr>
        <w:tc>
          <w:tcPr>
            <w:tcW w:w="4253" w:type="dxa"/>
            <w:shd w:val="clear" w:color="auto" w:fill="FFFFFF" w:themeFill="background1"/>
            <w:vAlign w:val="bottom"/>
          </w:tcPr>
          <w:p w:rsidR="00893992" w:rsidRPr="00666BAC" w:rsidRDefault="00893992" w:rsidP="000B7CAA">
            <w:pPr>
              <w:jc w:val="left"/>
              <w:rPr>
                <w:rFonts w:cs="Calibri"/>
                <w:color w:val="000000"/>
                <w:szCs w:val="22"/>
              </w:rPr>
            </w:pPr>
            <w:r>
              <w:rPr>
                <w:rFonts w:cs="Calibri"/>
                <w:color w:val="000000"/>
                <w:szCs w:val="22"/>
              </w:rPr>
              <w:t>Occupational therapist</w:t>
            </w:r>
          </w:p>
        </w:tc>
        <w:tc>
          <w:tcPr>
            <w:tcW w:w="2693" w:type="dxa"/>
            <w:shd w:val="clear" w:color="auto" w:fill="FFFFFF" w:themeFill="background1"/>
            <w:vAlign w:val="center"/>
          </w:tcPr>
          <w:p w:rsidR="00893992" w:rsidRDefault="00893992" w:rsidP="000B7CAA">
            <w:pPr>
              <w:jc w:val="center"/>
              <w:rPr>
                <w:color w:val="000000"/>
                <w:szCs w:val="22"/>
              </w:rPr>
            </w:pPr>
            <w:r>
              <w:rPr>
                <w:color w:val="000000"/>
                <w:szCs w:val="22"/>
              </w:rPr>
              <w:t>3</w:t>
            </w:r>
            <w:r w:rsidR="003D2C86">
              <w:rPr>
                <w:color w:val="000000"/>
                <w:szCs w:val="22"/>
              </w:rPr>
              <w:t xml:space="preserve"> (1)</w:t>
            </w:r>
          </w:p>
        </w:tc>
      </w:tr>
      <w:tr w:rsidR="00893992" w:rsidRPr="00666BAC" w:rsidTr="000B7CAA">
        <w:trPr>
          <w:trHeight w:val="185"/>
        </w:trPr>
        <w:tc>
          <w:tcPr>
            <w:tcW w:w="4253" w:type="dxa"/>
            <w:shd w:val="clear" w:color="auto" w:fill="FFFFFF" w:themeFill="background1"/>
            <w:vAlign w:val="bottom"/>
          </w:tcPr>
          <w:p w:rsidR="00893992" w:rsidRDefault="00893992" w:rsidP="000B7CAA">
            <w:pPr>
              <w:jc w:val="left"/>
              <w:rPr>
                <w:rFonts w:cs="Calibri"/>
                <w:color w:val="000000"/>
                <w:szCs w:val="22"/>
              </w:rPr>
            </w:pPr>
            <w:r>
              <w:rPr>
                <w:rFonts w:cs="Calibri"/>
                <w:color w:val="000000"/>
                <w:szCs w:val="22"/>
              </w:rPr>
              <w:t>Social worker</w:t>
            </w:r>
          </w:p>
        </w:tc>
        <w:tc>
          <w:tcPr>
            <w:tcW w:w="2693" w:type="dxa"/>
            <w:shd w:val="clear" w:color="auto" w:fill="FFFFFF" w:themeFill="background1"/>
            <w:vAlign w:val="center"/>
          </w:tcPr>
          <w:p w:rsidR="00893992" w:rsidRDefault="00893992" w:rsidP="000B7CAA">
            <w:pPr>
              <w:jc w:val="center"/>
              <w:rPr>
                <w:color w:val="000000"/>
                <w:szCs w:val="22"/>
              </w:rPr>
            </w:pPr>
            <w:r>
              <w:rPr>
                <w:color w:val="000000"/>
                <w:szCs w:val="22"/>
              </w:rPr>
              <w:t>4</w:t>
            </w:r>
            <w:r w:rsidR="003D2C86">
              <w:rPr>
                <w:color w:val="000000"/>
                <w:szCs w:val="22"/>
              </w:rPr>
              <w:t xml:space="preserve"> (2)</w:t>
            </w:r>
          </w:p>
        </w:tc>
      </w:tr>
      <w:tr w:rsidR="00FC6AD2" w:rsidRPr="00666BAC" w:rsidTr="000B7CAA">
        <w:trPr>
          <w:trHeight w:val="185"/>
        </w:trPr>
        <w:tc>
          <w:tcPr>
            <w:tcW w:w="4253" w:type="dxa"/>
            <w:shd w:val="clear" w:color="auto" w:fill="FFFFFF" w:themeFill="background1"/>
            <w:vAlign w:val="bottom"/>
          </w:tcPr>
          <w:p w:rsidR="00FC6AD2" w:rsidRPr="00666BAC" w:rsidRDefault="00FC6AD2" w:rsidP="000B7CAA">
            <w:pPr>
              <w:jc w:val="left"/>
              <w:rPr>
                <w:rFonts w:cs="Calibri"/>
                <w:color w:val="000000"/>
                <w:szCs w:val="22"/>
              </w:rPr>
            </w:pPr>
            <w:r w:rsidRPr="00666BAC">
              <w:rPr>
                <w:rFonts w:cs="Calibri"/>
                <w:color w:val="000000"/>
                <w:szCs w:val="22"/>
              </w:rPr>
              <w:t>Other</w:t>
            </w:r>
          </w:p>
        </w:tc>
        <w:tc>
          <w:tcPr>
            <w:tcW w:w="2693" w:type="dxa"/>
            <w:shd w:val="clear" w:color="auto" w:fill="FFFFFF" w:themeFill="background1"/>
            <w:vAlign w:val="center"/>
          </w:tcPr>
          <w:p w:rsidR="00FC6AD2" w:rsidRPr="00666BAC" w:rsidRDefault="00893992" w:rsidP="000B7CAA">
            <w:pPr>
              <w:jc w:val="center"/>
              <w:rPr>
                <w:color w:val="000000"/>
                <w:szCs w:val="22"/>
              </w:rPr>
            </w:pPr>
            <w:r>
              <w:rPr>
                <w:color w:val="000000"/>
                <w:szCs w:val="22"/>
              </w:rPr>
              <w:t>5</w:t>
            </w:r>
            <w:r w:rsidR="003D2C86">
              <w:rPr>
                <w:color w:val="000000"/>
                <w:szCs w:val="22"/>
              </w:rPr>
              <w:t xml:space="preserve"> (2)</w:t>
            </w:r>
          </w:p>
        </w:tc>
      </w:tr>
      <w:tr w:rsidR="00FC6AD2" w:rsidRPr="00666BAC" w:rsidTr="000B7CAA">
        <w:trPr>
          <w:trHeight w:val="185"/>
        </w:trPr>
        <w:tc>
          <w:tcPr>
            <w:tcW w:w="4253" w:type="dxa"/>
            <w:shd w:val="clear" w:color="auto" w:fill="C00000"/>
            <w:vAlign w:val="bottom"/>
          </w:tcPr>
          <w:p w:rsidR="00FC6AD2" w:rsidRPr="00666BAC" w:rsidRDefault="00FC6AD2" w:rsidP="000B7CAA">
            <w:pPr>
              <w:jc w:val="left"/>
              <w:rPr>
                <w:rFonts w:cs="Calibri"/>
                <w:b/>
                <w:color w:val="FFFFFF" w:themeColor="background1"/>
                <w:szCs w:val="22"/>
              </w:rPr>
            </w:pPr>
            <w:r w:rsidRPr="00666BAC">
              <w:rPr>
                <w:rFonts w:cs="Calibri"/>
                <w:b/>
                <w:color w:val="FFFFFF" w:themeColor="background1"/>
                <w:szCs w:val="22"/>
              </w:rPr>
              <w:t>TOTAL</w:t>
            </w:r>
          </w:p>
        </w:tc>
        <w:tc>
          <w:tcPr>
            <w:tcW w:w="2693" w:type="dxa"/>
            <w:shd w:val="clear" w:color="auto" w:fill="C00000"/>
            <w:vAlign w:val="center"/>
          </w:tcPr>
          <w:p w:rsidR="00FC6AD2" w:rsidRPr="00666BAC" w:rsidRDefault="00893992" w:rsidP="000B7CAA">
            <w:pPr>
              <w:jc w:val="center"/>
              <w:rPr>
                <w:b/>
                <w:color w:val="FFFFFF" w:themeColor="background1"/>
                <w:szCs w:val="22"/>
              </w:rPr>
            </w:pPr>
            <w:r>
              <w:rPr>
                <w:b/>
                <w:color w:val="FFFFFF" w:themeColor="background1"/>
                <w:szCs w:val="22"/>
              </w:rPr>
              <w:t>206</w:t>
            </w:r>
          </w:p>
        </w:tc>
      </w:tr>
    </w:tbl>
    <w:p w:rsidR="000B7CAA" w:rsidRPr="00666BAC" w:rsidRDefault="00762E86" w:rsidP="0028425E">
      <w:pPr>
        <w:spacing w:before="120"/>
      </w:pPr>
      <w:r>
        <w:t>The vast majority</w:t>
      </w:r>
      <w:r w:rsidR="000B7CAA" w:rsidRPr="00666BAC">
        <w:t xml:space="preserve"> of the individual providers identified in DHB</w:t>
      </w:r>
      <w:r w:rsidR="00FC6AD2" w:rsidRPr="00666BAC">
        <w:t xml:space="preserve"> co</w:t>
      </w:r>
      <w:r>
        <w:t>mplaints receiv</w:t>
      </w:r>
      <w:r w:rsidR="003D2C86">
        <w:t>ed in the 2017/18</w:t>
      </w:r>
      <w:r w:rsidR="00FC6AD2" w:rsidRPr="00666BAC">
        <w:t xml:space="preserve"> year were doctors</w:t>
      </w:r>
      <w:r w:rsidR="00951B35" w:rsidRPr="00666BAC">
        <w:t xml:space="preserve">. </w:t>
      </w:r>
      <w:r w:rsidR="000B7CAA" w:rsidRPr="00666BAC">
        <w:t>It is likely that doctors are more often seen by complainants as being responsible for the services provided and the outcomes of those services and are, therefore, more frequently viewed as individually responsible for any perceived shortcomings.</w:t>
      </w:r>
    </w:p>
    <w:p w:rsidR="008F2105" w:rsidRPr="00666BAC" w:rsidRDefault="008F2105" w:rsidP="008F2105">
      <w:pPr>
        <w:rPr>
          <w:lang w:bidi="ar-SA"/>
        </w:rPr>
      </w:pPr>
    </w:p>
    <w:p w:rsidR="00762E86" w:rsidRDefault="004E3378" w:rsidP="008F2105">
      <w:pPr>
        <w:rPr>
          <w:lang w:bidi="ar-SA"/>
        </w:rPr>
      </w:pPr>
      <w:r w:rsidRPr="00666BAC">
        <w:rPr>
          <w:lang w:bidi="ar-SA"/>
        </w:rPr>
        <w:t>The most commonly identified individual provider oc</w:t>
      </w:r>
      <w:r w:rsidR="00523AD3">
        <w:rPr>
          <w:lang w:bidi="ar-SA"/>
        </w:rPr>
        <w:t>cupations were</w:t>
      </w:r>
      <w:r w:rsidR="003D2C86">
        <w:rPr>
          <w:lang w:bidi="ar-SA"/>
        </w:rPr>
        <w:t xml:space="preserve"> obstetrician/gynaecologists (12%) and</w:t>
      </w:r>
      <w:r w:rsidR="00523AD3">
        <w:rPr>
          <w:lang w:bidi="ar-SA"/>
        </w:rPr>
        <w:t xml:space="preserve"> </w:t>
      </w:r>
      <w:r w:rsidR="003D2C86">
        <w:rPr>
          <w:lang w:bidi="ar-SA"/>
        </w:rPr>
        <w:t>psychiatrists (11</w:t>
      </w:r>
      <w:r w:rsidR="00762E86">
        <w:rPr>
          <w:lang w:bidi="ar-SA"/>
        </w:rPr>
        <w:t xml:space="preserve">%). </w:t>
      </w:r>
    </w:p>
    <w:p w:rsidR="00762E86" w:rsidRDefault="00762E86" w:rsidP="008F2105">
      <w:pPr>
        <w:rPr>
          <w:lang w:bidi="ar-SA"/>
        </w:rPr>
      </w:pPr>
    </w:p>
    <w:p w:rsidR="008F2105" w:rsidRPr="00666BAC" w:rsidRDefault="00762E86" w:rsidP="008F2105">
      <w:pPr>
        <w:rPr>
          <w:lang w:bidi="ar-SA"/>
        </w:rPr>
      </w:pPr>
      <w:r>
        <w:rPr>
          <w:lang w:bidi="ar-SA"/>
        </w:rPr>
        <w:t>It should be noted that t</w:t>
      </w:r>
      <w:r w:rsidRPr="008157AC">
        <w:t>here are a n</w:t>
      </w:r>
      <w:r>
        <w:t>umber of factors</w:t>
      </w:r>
      <w:r w:rsidRPr="008157AC">
        <w:t xml:space="preserve"> that may account for the number of complaints about </w:t>
      </w:r>
      <w:r w:rsidR="00A87F43">
        <w:t>each specialty</w:t>
      </w:r>
      <w:r w:rsidRPr="008157AC">
        <w:t>, such as the amount of patient contact that each specialty has, the clinical activities each specialty performs</w:t>
      </w:r>
      <w:r>
        <w:t>,</w:t>
      </w:r>
      <w:r w:rsidRPr="008157AC">
        <w:t xml:space="preserve"> the characteristics of the population that each specialty serves</w:t>
      </w:r>
      <w:r w:rsidR="00893992">
        <w:t xml:space="preserve"> and the degree to which an individual can be seen as responsible for the care provided</w:t>
      </w:r>
      <w:r>
        <w:t>.</w:t>
      </w:r>
    </w:p>
    <w:p w:rsidR="00762E86" w:rsidRDefault="00762E86" w:rsidP="008F2105">
      <w:pPr>
        <w:rPr>
          <w:lang w:bidi="ar-SA"/>
        </w:rPr>
      </w:pPr>
    </w:p>
    <w:p w:rsidR="00746ACF" w:rsidRDefault="00746ACF" w:rsidP="008F2105">
      <w:pPr>
        <w:rPr>
          <w:lang w:bidi="ar-SA"/>
        </w:rPr>
      </w:pPr>
    </w:p>
    <w:p w:rsidR="00762E86" w:rsidRDefault="00762E86" w:rsidP="008F2105">
      <w:pPr>
        <w:rPr>
          <w:lang w:bidi="ar-SA"/>
        </w:rPr>
      </w:pPr>
    </w:p>
    <w:p w:rsidR="00762E86" w:rsidRDefault="00762E86" w:rsidP="008F2105">
      <w:pPr>
        <w:rPr>
          <w:lang w:bidi="ar-SA"/>
        </w:rPr>
      </w:pPr>
    </w:p>
    <w:p w:rsidR="00762E86" w:rsidRDefault="00762E86" w:rsidP="008F2105">
      <w:pPr>
        <w:rPr>
          <w:lang w:bidi="ar-SA"/>
        </w:rPr>
      </w:pPr>
    </w:p>
    <w:p w:rsidR="00762E86" w:rsidRDefault="00762E86" w:rsidP="008F2105">
      <w:pPr>
        <w:rPr>
          <w:lang w:bidi="ar-SA"/>
        </w:rPr>
      </w:pPr>
    </w:p>
    <w:p w:rsidR="00605B17" w:rsidRDefault="00605B17" w:rsidP="00605B17"/>
    <w:p w:rsidR="003D2C86" w:rsidRDefault="003D2C86" w:rsidP="00605B17"/>
    <w:p w:rsidR="003D2C86" w:rsidRDefault="003D2C86" w:rsidP="00605B17"/>
    <w:p w:rsidR="003D2C86" w:rsidRPr="00666BAC" w:rsidRDefault="003D2C86" w:rsidP="00605B17"/>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05B17" w:rsidRPr="00666BAC" w:rsidTr="007A553D">
        <w:tc>
          <w:tcPr>
            <w:tcW w:w="9298" w:type="dxa"/>
          </w:tcPr>
          <w:p w:rsidR="002A08DD" w:rsidRPr="004167DA" w:rsidRDefault="002A08DD" w:rsidP="002A08DD">
            <w:pPr>
              <w:tabs>
                <w:tab w:val="left" w:pos="1440"/>
                <w:tab w:val="left" w:pos="2610"/>
              </w:tabs>
              <w:spacing w:before="120"/>
              <w:jc w:val="center"/>
              <w:outlineLvl w:val="0"/>
              <w:rPr>
                <w:b/>
                <w:szCs w:val="22"/>
              </w:rPr>
            </w:pPr>
            <w:bookmarkStart w:id="26" w:name="_Toc398125960"/>
            <w:r w:rsidRPr="00666BAC">
              <w:rPr>
                <w:b/>
                <w:sz w:val="28"/>
                <w:szCs w:val="28"/>
              </w:rPr>
              <w:lastRenderedPageBreak/>
              <w:t xml:space="preserve">Case study: </w:t>
            </w:r>
            <w:r w:rsidR="004167DA">
              <w:rPr>
                <w:b/>
                <w:sz w:val="28"/>
                <w:szCs w:val="28"/>
              </w:rPr>
              <w:t xml:space="preserve">Nurse </w:t>
            </w:r>
            <w:r w:rsidR="004167DA">
              <w:rPr>
                <w:b/>
                <w:szCs w:val="22"/>
              </w:rPr>
              <w:t>(15HDC01330)</w:t>
            </w:r>
          </w:p>
          <w:p w:rsidR="004167DA" w:rsidRDefault="004167DA" w:rsidP="0002668A">
            <w:pPr>
              <w:tabs>
                <w:tab w:val="left" w:pos="1440"/>
                <w:tab w:val="left" w:pos="2610"/>
              </w:tabs>
              <w:spacing w:before="120" w:after="120"/>
              <w:jc w:val="center"/>
              <w:outlineLvl w:val="0"/>
              <w:rPr>
                <w:b/>
                <w:sz w:val="24"/>
              </w:rPr>
            </w:pPr>
            <w:r w:rsidRPr="004167DA">
              <w:rPr>
                <w:b/>
                <w:sz w:val="24"/>
              </w:rPr>
              <w:t>Inadequate care provided to baby in hospital</w:t>
            </w:r>
          </w:p>
          <w:p w:rsidR="004167DA" w:rsidRPr="00220B2D" w:rsidRDefault="004167DA" w:rsidP="004167DA">
            <w:pPr>
              <w:spacing w:after="240"/>
              <w:rPr>
                <w:szCs w:val="22"/>
              </w:rPr>
            </w:pPr>
            <w:r w:rsidRPr="00220B2D">
              <w:rPr>
                <w:szCs w:val="22"/>
              </w:rPr>
              <w:t xml:space="preserve">A seven-day-old baby was admitted to hospital with 11% weight loss since birth, jaundice, and reduced feeding. She was treated with phototherapy on the children’s ward. </w:t>
            </w:r>
          </w:p>
          <w:p w:rsidR="004167DA" w:rsidRPr="00220B2D" w:rsidRDefault="004167DA" w:rsidP="004167DA">
            <w:pPr>
              <w:spacing w:after="240"/>
              <w:rPr>
                <w:szCs w:val="22"/>
              </w:rPr>
            </w:pPr>
            <w:r w:rsidRPr="00220B2D">
              <w:rPr>
                <w:szCs w:val="22"/>
              </w:rPr>
              <w:t>The baby’s temperature spiked the following day. The consultant paediatrician ordered investigations to try to determine the cause, and decided to commence intravenous (IV) fluids and antibiotics. A junior paediatric registrar prescribed the antibiotics and IV fluids. The registrar prescribed IV fluids at a rate of 180ml/kg/day, which was higher than the amount recommended by the DHB’s policy and other national guidelines.</w:t>
            </w:r>
          </w:p>
          <w:p w:rsidR="004167DA" w:rsidRPr="00220B2D" w:rsidRDefault="004167DA" w:rsidP="004167DA">
            <w:pPr>
              <w:spacing w:after="240"/>
              <w:rPr>
                <w:szCs w:val="22"/>
              </w:rPr>
            </w:pPr>
            <w:r w:rsidRPr="00220B2D">
              <w:rPr>
                <w:szCs w:val="22"/>
              </w:rPr>
              <w:t>A registered nurse cared for the baby on the following evening shift. During the shift, the nurse administered the baby’s antibiotics then recommenced the IV fluids. At about 8.30pm the IV monitor began to flash, saying that there was a “downward occlusion”</w:t>
            </w:r>
            <w:r w:rsidR="005A7910" w:rsidRPr="00220B2D">
              <w:rPr>
                <w:szCs w:val="22"/>
              </w:rPr>
              <w:t xml:space="preserve"> (indicating a possible blockage or kink in the IV line)</w:t>
            </w:r>
            <w:r w:rsidRPr="00220B2D">
              <w:rPr>
                <w:szCs w:val="22"/>
              </w:rPr>
              <w:t>. The nurse and a senior nurse investigated the line and the IV site but did not find any obvious issues. The nurse did not clearly document the issues she had with the IV line during the shift, nor did she hand these over to the following shift.</w:t>
            </w:r>
          </w:p>
          <w:p w:rsidR="004167DA" w:rsidRPr="00220B2D" w:rsidRDefault="004167DA" w:rsidP="004167DA">
            <w:pPr>
              <w:spacing w:after="240"/>
              <w:rPr>
                <w:szCs w:val="22"/>
              </w:rPr>
            </w:pPr>
            <w:r w:rsidRPr="00220B2D">
              <w:rPr>
                <w:szCs w:val="22"/>
              </w:rPr>
              <w:t xml:space="preserve">Another registered nurse took over the baby’s care at 11.15pm for the night shift but did not review the baby for nearly two hours. At around 2.30am, the baby was due for her next antibiotics. The nurse said that there were no signs </w:t>
            </w:r>
            <w:r w:rsidR="005A7910" w:rsidRPr="00220B2D">
              <w:rPr>
                <w:szCs w:val="22"/>
              </w:rPr>
              <w:t xml:space="preserve">that the antibiotics had accidentally entered the surrounding tissue rather than the </w:t>
            </w:r>
            <w:r w:rsidR="005A7910" w:rsidRPr="00F01AA6">
              <w:rPr>
                <w:szCs w:val="22"/>
              </w:rPr>
              <w:t>vein</w:t>
            </w:r>
            <w:r w:rsidR="00F01AA6" w:rsidRPr="00F01AA6">
              <w:rPr>
                <w:szCs w:val="22"/>
              </w:rPr>
              <w:t xml:space="preserve"> (no signs of phlebitis or tissue infiltration)</w:t>
            </w:r>
            <w:r w:rsidR="00A54A98" w:rsidRPr="00F01AA6">
              <w:rPr>
                <w:szCs w:val="22"/>
              </w:rPr>
              <w:t>.</w:t>
            </w:r>
            <w:r w:rsidR="00A54A98" w:rsidRPr="00220B2D">
              <w:rPr>
                <w:szCs w:val="22"/>
              </w:rPr>
              <w:t xml:space="preserve"> </w:t>
            </w:r>
            <w:r w:rsidRPr="00220B2D">
              <w:rPr>
                <w:szCs w:val="22"/>
              </w:rPr>
              <w:t>During the administration of the antibiotic, the baby’s mother noted a blister forming on the baby’s arm, and the arm swelled immediately. The nurse stopped the antibiotic infusion and called for assistance. The baby was reviewed by a senior house officer and tre</w:t>
            </w:r>
            <w:r w:rsidR="005A7910" w:rsidRPr="00220B2D">
              <w:rPr>
                <w:szCs w:val="22"/>
              </w:rPr>
              <w:t>ated for an extravasation injury, meaning that the IV antibiotics had been accidentally administered into the tissue around the IV site.</w:t>
            </w:r>
          </w:p>
          <w:p w:rsidR="004167DA" w:rsidRDefault="004167DA" w:rsidP="004167DA">
            <w:pPr>
              <w:spacing w:after="240"/>
              <w:rPr>
                <w:szCs w:val="22"/>
              </w:rPr>
            </w:pPr>
            <w:r w:rsidRPr="00220B2D">
              <w:rPr>
                <w:szCs w:val="22"/>
              </w:rPr>
              <w:t xml:space="preserve">The paediatric fluid balance charts from throughout the baby’s hospital admission were not filled in regularly by staff in accordance with the DHB’s “Fluid balance chart recording standards (Paediatric)” policy. </w:t>
            </w:r>
          </w:p>
          <w:p w:rsidR="00926AA8" w:rsidRPr="00926AA8" w:rsidRDefault="00926AA8" w:rsidP="004167DA">
            <w:pPr>
              <w:spacing w:after="240"/>
              <w:rPr>
                <w:szCs w:val="22"/>
                <w:u w:val="single"/>
              </w:rPr>
            </w:pPr>
            <w:r>
              <w:rPr>
                <w:szCs w:val="22"/>
                <w:u w:val="single"/>
              </w:rPr>
              <w:t>Findings</w:t>
            </w:r>
          </w:p>
          <w:p w:rsidR="006B481F" w:rsidRPr="00220B2D" w:rsidRDefault="005A7910" w:rsidP="001916DC">
            <w:pPr>
              <w:numPr>
                <w:ilvl w:val="0"/>
                <w:numId w:val="1"/>
              </w:numPr>
              <w:spacing w:after="240"/>
              <w:ind w:left="0" w:hanging="357"/>
              <w:rPr>
                <w:szCs w:val="22"/>
              </w:rPr>
            </w:pPr>
            <w:r w:rsidRPr="00220B2D">
              <w:rPr>
                <w:szCs w:val="22"/>
              </w:rPr>
              <w:t xml:space="preserve">The Deputy Commissioner </w:t>
            </w:r>
            <w:r w:rsidR="006B481F" w:rsidRPr="00220B2D">
              <w:rPr>
                <w:szCs w:val="22"/>
              </w:rPr>
              <w:t>considered that while the paediatric registrar’s prescription of 180ml/kg/day was an individual clinical error, her orientation to the IV fluid guidelines used at the public hospital was inadequate. It was noted that it is not uncommon for junior staff to become confused with regard to fluid requirements for a neonate given the variation in both national and international guidelines, and the Deputy Commissioner was critical of the inadequate orientation and the lack of clear consensus on the guidelines to be followed at the DHB.</w:t>
            </w:r>
          </w:p>
          <w:p w:rsidR="005A7910" w:rsidRPr="00220B2D" w:rsidRDefault="006B481F" w:rsidP="005A7910">
            <w:pPr>
              <w:spacing w:after="240"/>
              <w:rPr>
                <w:szCs w:val="22"/>
              </w:rPr>
            </w:pPr>
            <w:r w:rsidRPr="00220B2D">
              <w:rPr>
                <w:szCs w:val="22"/>
              </w:rPr>
              <w:t xml:space="preserve">The Deputy Commissioner was also concerned that multiple staff </w:t>
            </w:r>
            <w:r w:rsidR="005A7910" w:rsidRPr="00220B2D">
              <w:rPr>
                <w:szCs w:val="22"/>
              </w:rPr>
              <w:t>reviewed the baby, but did not recognise that her IV fluid prescription was too high; and multiple staff did not fill in the baby’s fluid balance chart in accordance with policy requirements. Accordingly, she found</w:t>
            </w:r>
            <w:r w:rsidRPr="00220B2D">
              <w:rPr>
                <w:szCs w:val="22"/>
              </w:rPr>
              <w:t xml:space="preserve"> that the DHB failed to provide services to the baby with reasonable care and skill</w:t>
            </w:r>
            <w:r w:rsidR="005A7910" w:rsidRPr="00220B2D">
              <w:rPr>
                <w:szCs w:val="22"/>
              </w:rPr>
              <w:t xml:space="preserve"> in breach of Right 4(1) of the Code.</w:t>
            </w:r>
          </w:p>
          <w:p w:rsidR="006B481F" w:rsidRPr="00220B2D" w:rsidRDefault="006B481F" w:rsidP="006B481F">
            <w:pPr>
              <w:spacing w:after="240"/>
              <w:rPr>
                <w:szCs w:val="22"/>
              </w:rPr>
            </w:pPr>
            <w:r w:rsidRPr="00220B2D">
              <w:rPr>
                <w:szCs w:val="22"/>
              </w:rPr>
              <w:t>The Deputy Commissioner considered that by failing to comply with the DHB’s policy regarding hourly IV site monitoring and documentation; not documenting an accurate description of the issues she encountered or the actions she took in response to the IV pump alarm; and not handing over the issues she had with the IV pump to the following shift, the evening nurse breached Right 4(1) of the Code.</w:t>
            </w:r>
          </w:p>
          <w:p w:rsidR="006B481F" w:rsidRPr="00220B2D" w:rsidRDefault="006B481F" w:rsidP="006B481F">
            <w:pPr>
              <w:spacing w:after="240"/>
              <w:rPr>
                <w:szCs w:val="22"/>
              </w:rPr>
            </w:pPr>
            <w:r w:rsidRPr="00220B2D">
              <w:rPr>
                <w:szCs w:val="22"/>
              </w:rPr>
              <w:t>The Deputy Commissioner also found the night s</w:t>
            </w:r>
            <w:r w:rsidR="00A54A98" w:rsidRPr="00220B2D">
              <w:rPr>
                <w:szCs w:val="22"/>
              </w:rPr>
              <w:t>h</w:t>
            </w:r>
            <w:r w:rsidRPr="00220B2D">
              <w:rPr>
                <w:szCs w:val="22"/>
              </w:rPr>
              <w:t xml:space="preserve">ift nurse in breach of Right 4(1) of the Code for failing to review the baby’s IV site for two hours at the start of her shift, and for failing to </w:t>
            </w:r>
            <w:r w:rsidR="00A54A98" w:rsidRPr="00220B2D">
              <w:rPr>
                <w:szCs w:val="22"/>
              </w:rPr>
              <w:t xml:space="preserve">fill in the </w:t>
            </w:r>
            <w:r w:rsidR="00A54A98" w:rsidRPr="00220B2D">
              <w:rPr>
                <w:szCs w:val="22"/>
              </w:rPr>
              <w:lastRenderedPageBreak/>
              <w:t>baby’s fluid balance chart in accordance with policy requirements.</w:t>
            </w:r>
          </w:p>
          <w:p w:rsidR="006B481F" w:rsidRPr="00220B2D" w:rsidRDefault="00A54A98" w:rsidP="006B481F">
            <w:pPr>
              <w:spacing w:after="240"/>
              <w:rPr>
                <w:szCs w:val="22"/>
              </w:rPr>
            </w:pPr>
            <w:r w:rsidRPr="00220B2D">
              <w:rPr>
                <w:szCs w:val="22"/>
              </w:rPr>
              <w:t>The Deputy Commissioner made a number of recommendations to the DHB, including that it:</w:t>
            </w:r>
          </w:p>
          <w:p w:rsidR="00A54A98" w:rsidRPr="00220B2D" w:rsidRDefault="00A54A98" w:rsidP="001916DC">
            <w:pPr>
              <w:pStyle w:val="ListParagraph"/>
              <w:numPr>
                <w:ilvl w:val="0"/>
                <w:numId w:val="6"/>
              </w:numPr>
              <w:spacing w:after="240"/>
              <w:rPr>
                <w:szCs w:val="22"/>
              </w:rPr>
            </w:pPr>
            <w:r w:rsidRPr="00220B2D">
              <w:rPr>
                <w:szCs w:val="22"/>
              </w:rPr>
              <w:t>Establish a clear consensus of which guidelines are to be followed when prescribing IV fluid to neonates</w:t>
            </w:r>
            <w:r w:rsidR="00F72D35">
              <w:rPr>
                <w:szCs w:val="22"/>
              </w:rPr>
              <w:t>.</w:t>
            </w:r>
          </w:p>
          <w:p w:rsidR="00A54A98" w:rsidRPr="00220B2D" w:rsidRDefault="00A54A98" w:rsidP="001916DC">
            <w:pPr>
              <w:pStyle w:val="ListParagraph"/>
              <w:numPr>
                <w:ilvl w:val="0"/>
                <w:numId w:val="6"/>
              </w:numPr>
              <w:spacing w:after="240"/>
              <w:rPr>
                <w:szCs w:val="22"/>
              </w:rPr>
            </w:pPr>
            <w:r w:rsidRPr="00220B2D">
              <w:rPr>
                <w:szCs w:val="22"/>
              </w:rPr>
              <w:t xml:space="preserve">Provide HDC with the results of its six </w:t>
            </w:r>
            <w:r w:rsidR="00220B2D" w:rsidRPr="00220B2D">
              <w:rPr>
                <w:szCs w:val="22"/>
              </w:rPr>
              <w:t>most</w:t>
            </w:r>
            <w:r w:rsidRPr="00220B2D">
              <w:rPr>
                <w:szCs w:val="22"/>
              </w:rPr>
              <w:t xml:space="preserve"> recent monthly audits of IV access</w:t>
            </w:r>
            <w:r w:rsidR="00F72D35">
              <w:rPr>
                <w:szCs w:val="22"/>
              </w:rPr>
              <w:t>.</w:t>
            </w:r>
          </w:p>
          <w:p w:rsidR="00A54A98" w:rsidRPr="00220B2D" w:rsidRDefault="00A54A98" w:rsidP="001916DC">
            <w:pPr>
              <w:pStyle w:val="ListParagraph"/>
              <w:numPr>
                <w:ilvl w:val="0"/>
                <w:numId w:val="6"/>
              </w:numPr>
              <w:spacing w:after="240"/>
              <w:rPr>
                <w:szCs w:val="22"/>
              </w:rPr>
            </w:pPr>
            <w:r w:rsidRPr="00220B2D">
              <w:rPr>
                <w:szCs w:val="22"/>
              </w:rPr>
              <w:t>Use this case as an anonymised case study during induction of nursing and medical staff to paediatric wards</w:t>
            </w:r>
            <w:r w:rsidR="00F72D35">
              <w:rPr>
                <w:szCs w:val="22"/>
              </w:rPr>
              <w:t>.</w:t>
            </w:r>
          </w:p>
          <w:p w:rsidR="00A54A98" w:rsidRPr="00220B2D" w:rsidRDefault="00A54A98" w:rsidP="001916DC">
            <w:pPr>
              <w:pStyle w:val="ListParagraph"/>
              <w:numPr>
                <w:ilvl w:val="0"/>
                <w:numId w:val="6"/>
              </w:numPr>
              <w:spacing w:after="240"/>
              <w:rPr>
                <w:szCs w:val="22"/>
              </w:rPr>
            </w:pPr>
            <w:r w:rsidRPr="00220B2D">
              <w:rPr>
                <w:szCs w:val="22"/>
              </w:rPr>
              <w:t>Provide HDC with confirmation that actions taken to meet the recommendations of the DHB’s internal investigation of this event are continuing</w:t>
            </w:r>
            <w:r w:rsidR="00F72D35">
              <w:rPr>
                <w:szCs w:val="22"/>
              </w:rPr>
              <w:t>.</w:t>
            </w:r>
            <w:r w:rsidRPr="00220B2D">
              <w:rPr>
                <w:szCs w:val="22"/>
              </w:rPr>
              <w:t xml:space="preserve"> </w:t>
            </w:r>
          </w:p>
          <w:p w:rsidR="00A54A98" w:rsidRPr="00220B2D" w:rsidRDefault="00A54A98" w:rsidP="00F01AA6">
            <w:pPr>
              <w:spacing w:after="240"/>
              <w:rPr>
                <w:szCs w:val="22"/>
              </w:rPr>
            </w:pPr>
            <w:r w:rsidRPr="00220B2D">
              <w:rPr>
                <w:szCs w:val="22"/>
              </w:rPr>
              <w:t>The Deputy Commissioner recommend</w:t>
            </w:r>
            <w:r w:rsidR="003904BB" w:rsidRPr="00220B2D">
              <w:rPr>
                <w:szCs w:val="22"/>
              </w:rPr>
              <w:t xml:space="preserve">ed that the nurses undertake </w:t>
            </w:r>
            <w:r w:rsidRPr="00220B2D">
              <w:rPr>
                <w:szCs w:val="22"/>
              </w:rPr>
              <w:t>audit</w:t>
            </w:r>
            <w:r w:rsidR="003904BB" w:rsidRPr="00220B2D">
              <w:rPr>
                <w:szCs w:val="22"/>
              </w:rPr>
              <w:t>s</w:t>
            </w:r>
            <w:r w:rsidRPr="00220B2D">
              <w:rPr>
                <w:szCs w:val="22"/>
              </w:rPr>
              <w:t xml:space="preserve"> of their compliance with flui</w:t>
            </w:r>
            <w:r w:rsidR="003904BB" w:rsidRPr="00220B2D">
              <w:rPr>
                <w:szCs w:val="22"/>
              </w:rPr>
              <w:t>d balance recording standards.</w:t>
            </w:r>
          </w:p>
          <w:p w:rsidR="00C36322" w:rsidRPr="00220B2D" w:rsidRDefault="003904BB" w:rsidP="00F01AA6">
            <w:pPr>
              <w:spacing w:after="240"/>
              <w:rPr>
                <w:sz w:val="24"/>
              </w:rPr>
            </w:pPr>
            <w:r w:rsidRPr="00220B2D">
              <w:rPr>
                <w:szCs w:val="22"/>
              </w:rPr>
              <w:t>These recommendations have been met.</w:t>
            </w:r>
          </w:p>
        </w:tc>
      </w:tr>
    </w:tbl>
    <w:p w:rsidR="00605B17" w:rsidRPr="00666BAC" w:rsidRDefault="00605B17" w:rsidP="00605B17"/>
    <w:bookmarkEnd w:id="26"/>
    <w:p w:rsidR="00605B17" w:rsidRPr="00666BAC" w:rsidRDefault="00605B17" w:rsidP="008F2105">
      <w:pPr>
        <w:rPr>
          <w:lang w:bidi="ar-SA"/>
        </w:rPr>
      </w:pPr>
    </w:p>
    <w:p w:rsidR="008F2105" w:rsidRPr="00666BAC" w:rsidRDefault="008F2105" w:rsidP="008F2105">
      <w:pPr>
        <w:rPr>
          <w:lang w:bidi="ar-SA"/>
        </w:rPr>
      </w:pPr>
    </w:p>
    <w:p w:rsidR="001D32FD" w:rsidRDefault="001D32FD" w:rsidP="008F2105">
      <w:pPr>
        <w:rPr>
          <w:lang w:bidi="ar-SA"/>
        </w:rPr>
      </w:pPr>
    </w:p>
    <w:p w:rsidR="00A87F43" w:rsidRDefault="00A87F43" w:rsidP="008F2105">
      <w:pPr>
        <w:rPr>
          <w:lang w:bidi="ar-SA"/>
        </w:rPr>
      </w:pPr>
    </w:p>
    <w:p w:rsidR="00DF0147" w:rsidRDefault="00DF0147" w:rsidP="008F2105">
      <w:pPr>
        <w:rPr>
          <w:lang w:bidi="ar-SA"/>
        </w:rPr>
      </w:pPr>
    </w:p>
    <w:p w:rsidR="00DF0147" w:rsidRDefault="00DF0147" w:rsidP="008F2105">
      <w:pPr>
        <w:rPr>
          <w:lang w:bidi="ar-SA"/>
        </w:rPr>
      </w:pPr>
    </w:p>
    <w:p w:rsidR="00A87F43" w:rsidRDefault="00A87F43" w:rsidP="008F2105">
      <w:pPr>
        <w:rPr>
          <w:lang w:bidi="ar-SA"/>
        </w:rPr>
      </w:pPr>
    </w:p>
    <w:p w:rsidR="00A87F43" w:rsidRDefault="00A87F43"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Default="003D2C86" w:rsidP="008F2105">
      <w:pPr>
        <w:rPr>
          <w:lang w:bidi="ar-SA"/>
        </w:rPr>
      </w:pPr>
    </w:p>
    <w:p w:rsidR="003D2C86" w:rsidRPr="00666BAC" w:rsidRDefault="003D2C86" w:rsidP="008F2105">
      <w:pPr>
        <w:rPr>
          <w:lang w:bidi="ar-SA"/>
        </w:rPr>
      </w:pPr>
    </w:p>
    <w:p w:rsidR="00605B17" w:rsidRPr="00666BAC" w:rsidRDefault="00605B17" w:rsidP="00605B17">
      <w:pPr>
        <w:pStyle w:val="Heading2"/>
        <w:spacing w:after="240"/>
        <w:rPr>
          <w:sz w:val="36"/>
          <w:szCs w:val="36"/>
        </w:rPr>
      </w:pPr>
      <w:bookmarkStart w:id="27" w:name="_Toc404344431"/>
      <w:bookmarkStart w:id="28" w:name="_Toc506278070"/>
      <w:r w:rsidRPr="00666BAC">
        <w:rPr>
          <w:sz w:val="36"/>
          <w:szCs w:val="36"/>
        </w:rPr>
        <w:lastRenderedPageBreak/>
        <w:t>3.</w:t>
      </w:r>
      <w:r w:rsidRPr="00666BAC">
        <w:rPr>
          <w:sz w:val="36"/>
          <w:szCs w:val="36"/>
        </w:rPr>
        <w:tab/>
        <w:t>What did people complain about?</w:t>
      </w:r>
      <w:bookmarkEnd w:id="27"/>
      <w:bookmarkEnd w:id="28"/>
      <w:r w:rsidRPr="00666BAC">
        <w:rPr>
          <w:sz w:val="36"/>
          <w:szCs w:val="36"/>
        </w:rPr>
        <w:t xml:space="preserve"> </w:t>
      </w:r>
    </w:p>
    <w:p w:rsidR="00605B17" w:rsidRPr="003D2C86" w:rsidRDefault="00605B17" w:rsidP="003D2C86">
      <w:pPr>
        <w:pStyle w:val="Heading3"/>
        <w:spacing w:after="120"/>
        <w:rPr>
          <w:b/>
          <w:i w:val="0"/>
          <w:sz w:val="28"/>
          <w:szCs w:val="28"/>
        </w:rPr>
      </w:pPr>
      <w:bookmarkStart w:id="29" w:name="_Toc404344432"/>
      <w:bookmarkStart w:id="30" w:name="_Toc506278071"/>
      <w:r w:rsidRPr="00666BAC">
        <w:rPr>
          <w:b/>
          <w:i w:val="0"/>
          <w:sz w:val="28"/>
          <w:szCs w:val="28"/>
        </w:rPr>
        <w:t>3.1</w:t>
      </w:r>
      <w:r w:rsidRPr="00666BAC">
        <w:rPr>
          <w:b/>
          <w:i w:val="0"/>
          <w:sz w:val="28"/>
          <w:szCs w:val="28"/>
        </w:rPr>
        <w:tab/>
        <w:t>Issues identified in complaints</w:t>
      </w:r>
      <w:bookmarkEnd w:id="29"/>
      <w:bookmarkEnd w:id="30"/>
      <w:r w:rsidRPr="00666BAC">
        <w:rPr>
          <w:b/>
          <w:i w:val="0"/>
          <w:sz w:val="28"/>
          <w:szCs w:val="28"/>
        </w:rPr>
        <w:t xml:space="preserve"> </w:t>
      </w:r>
    </w:p>
    <w:p w:rsidR="00605B17" w:rsidRPr="00A87F43" w:rsidRDefault="00605B17" w:rsidP="00605B17">
      <w:r w:rsidRPr="00666BAC">
        <w:t>Many complaints to HDC contain multiple issues of concern to the complainant.  For the purposes of analysis, we identified the primary issue bei</w:t>
      </w:r>
      <w:r w:rsidR="007604F5" w:rsidRPr="00666BAC">
        <w:t>ng complained about plus up to six</w:t>
      </w:r>
      <w:r w:rsidRPr="00666BAC">
        <w:rPr>
          <w:szCs w:val="22"/>
        </w:rPr>
        <w:t xml:space="preserve"> additional complaint issues for each complaint received.</w:t>
      </w:r>
      <w:r w:rsidR="00A87F43">
        <w:rPr>
          <w:szCs w:val="22"/>
        </w:rPr>
        <w:t xml:space="preserve"> </w:t>
      </w:r>
      <w:r w:rsidR="00A87F43" w:rsidRPr="00666BAC">
        <w:t xml:space="preserve">It is important to note that </w:t>
      </w:r>
      <w:r w:rsidR="00A87F43">
        <w:t>this section details</w:t>
      </w:r>
      <w:r w:rsidR="00A87F43" w:rsidRPr="00666BAC">
        <w:t xml:space="preserve"> analyses of the issues raised by complainants in their complaints, rather than analyses of HDC’s assessment of the issues raised.  Inevitably, some of the complaint issues raised will have been found, on subsequent assessment, not to have been substantiated.  </w:t>
      </w:r>
    </w:p>
    <w:p w:rsidR="00605B17" w:rsidRDefault="00605B17" w:rsidP="00605B17">
      <w:pPr>
        <w:rPr>
          <w:szCs w:val="22"/>
        </w:rPr>
      </w:pPr>
    </w:p>
    <w:p w:rsidR="005053B3" w:rsidRPr="005053B3" w:rsidRDefault="005053B3" w:rsidP="005053B3">
      <w:pPr>
        <w:spacing w:after="120"/>
        <w:rPr>
          <w:szCs w:val="22"/>
          <w:u w:val="single"/>
        </w:rPr>
      </w:pPr>
      <w:r>
        <w:rPr>
          <w:szCs w:val="22"/>
          <w:u w:val="single"/>
        </w:rPr>
        <w:t>Primary complaint issues</w:t>
      </w:r>
    </w:p>
    <w:p w:rsidR="00C07626" w:rsidRDefault="00D5364B" w:rsidP="00C07626">
      <w:pPr>
        <w:spacing w:after="120"/>
        <w:rPr>
          <w:szCs w:val="22"/>
        </w:rPr>
      </w:pPr>
      <w:r>
        <w:rPr>
          <w:szCs w:val="22"/>
        </w:rPr>
        <w:t>As shown in Table 4</w:t>
      </w:r>
      <w:r w:rsidR="00605B17" w:rsidRPr="00666BAC">
        <w:rPr>
          <w:szCs w:val="22"/>
        </w:rPr>
        <w:t>, we grouped the complaint issues into several categories. Among these categories, iss</w:t>
      </w:r>
      <w:r w:rsidR="00042FD5" w:rsidRPr="00666BAC">
        <w:rPr>
          <w:szCs w:val="22"/>
        </w:rPr>
        <w:t>ues relating to care/treatment</w:t>
      </w:r>
      <w:r w:rsidR="00C07626">
        <w:rPr>
          <w:szCs w:val="22"/>
        </w:rPr>
        <w:t xml:space="preserve"> (47</w:t>
      </w:r>
      <w:r w:rsidR="007C0427">
        <w:rPr>
          <w:szCs w:val="22"/>
        </w:rPr>
        <w:t>%)</w:t>
      </w:r>
      <w:r w:rsidR="00042FD5" w:rsidRPr="00666BAC">
        <w:rPr>
          <w:szCs w:val="22"/>
        </w:rPr>
        <w:t>,</w:t>
      </w:r>
      <w:r w:rsidR="00605B17" w:rsidRPr="00666BAC">
        <w:rPr>
          <w:szCs w:val="22"/>
        </w:rPr>
        <w:t xml:space="preserve"> </w:t>
      </w:r>
      <w:r w:rsidR="009D121B" w:rsidRPr="00666BAC">
        <w:rPr>
          <w:szCs w:val="22"/>
        </w:rPr>
        <w:t>access/funding</w:t>
      </w:r>
      <w:r w:rsidR="00C07626">
        <w:rPr>
          <w:szCs w:val="22"/>
        </w:rPr>
        <w:t xml:space="preserve"> (17%) and consent/information (11</w:t>
      </w:r>
      <w:r w:rsidR="007C0427">
        <w:rPr>
          <w:szCs w:val="22"/>
        </w:rPr>
        <w:t>%)</w:t>
      </w:r>
      <w:r w:rsidR="00605B17" w:rsidRPr="00666BAC">
        <w:rPr>
          <w:szCs w:val="22"/>
        </w:rPr>
        <w:t xml:space="preserve"> were</w:t>
      </w:r>
      <w:r w:rsidR="006E31B7" w:rsidRPr="00666BAC">
        <w:rPr>
          <w:szCs w:val="22"/>
        </w:rPr>
        <w:t xml:space="preserve"> the</w:t>
      </w:r>
      <w:r w:rsidR="007C0427">
        <w:rPr>
          <w:szCs w:val="22"/>
        </w:rPr>
        <w:t xml:space="preserve"> most prevalent</w:t>
      </w:r>
      <w:r w:rsidR="00605B17" w:rsidRPr="00666BAC">
        <w:rPr>
          <w:szCs w:val="22"/>
        </w:rPr>
        <w:t>. When separate c</w:t>
      </w:r>
      <w:r w:rsidR="009D121B" w:rsidRPr="00666BAC">
        <w:rPr>
          <w:szCs w:val="22"/>
        </w:rPr>
        <w:t>omplaint issues</w:t>
      </w:r>
      <w:r w:rsidR="00B55309">
        <w:rPr>
          <w:szCs w:val="22"/>
        </w:rPr>
        <w:t xml:space="preserve"> under each category</w:t>
      </w:r>
      <w:r w:rsidR="009D121B" w:rsidRPr="00666BAC">
        <w:rPr>
          <w:szCs w:val="22"/>
        </w:rPr>
        <w:t xml:space="preserve"> are considered,</w:t>
      </w:r>
      <w:r w:rsidR="00C07626">
        <w:rPr>
          <w:szCs w:val="22"/>
        </w:rPr>
        <w:t xml:space="preserve"> the most common primary issues were:</w:t>
      </w:r>
      <w:r w:rsidR="009D121B" w:rsidRPr="00666BAC">
        <w:rPr>
          <w:szCs w:val="22"/>
        </w:rPr>
        <w:t xml:space="preserve"> </w:t>
      </w:r>
    </w:p>
    <w:p w:rsidR="00C07626" w:rsidRDefault="00C07626" w:rsidP="001916DC">
      <w:pPr>
        <w:pStyle w:val="ListParagraph"/>
        <w:numPr>
          <w:ilvl w:val="0"/>
          <w:numId w:val="4"/>
        </w:numPr>
        <w:rPr>
          <w:szCs w:val="22"/>
        </w:rPr>
      </w:pPr>
      <w:r>
        <w:rPr>
          <w:szCs w:val="22"/>
        </w:rPr>
        <w:t>M</w:t>
      </w:r>
      <w:r w:rsidR="00605B17" w:rsidRPr="00C07626">
        <w:rPr>
          <w:szCs w:val="22"/>
        </w:rPr>
        <w:t>issed</w:t>
      </w:r>
      <w:r>
        <w:rPr>
          <w:szCs w:val="22"/>
        </w:rPr>
        <w:t>/incorrect/delayed diagnosis (13</w:t>
      </w:r>
      <w:r w:rsidR="00605B17" w:rsidRPr="00C07626">
        <w:rPr>
          <w:szCs w:val="22"/>
        </w:rPr>
        <w:t>%)</w:t>
      </w:r>
      <w:r>
        <w:rPr>
          <w:szCs w:val="22"/>
        </w:rPr>
        <w:t xml:space="preserve"> </w:t>
      </w:r>
    </w:p>
    <w:p w:rsidR="00C07626" w:rsidRPr="00C07626" w:rsidRDefault="00C07626" w:rsidP="001916DC">
      <w:pPr>
        <w:pStyle w:val="ListParagraph"/>
        <w:numPr>
          <w:ilvl w:val="0"/>
          <w:numId w:val="4"/>
        </w:numPr>
        <w:rPr>
          <w:szCs w:val="22"/>
        </w:rPr>
      </w:pPr>
      <w:r>
        <w:rPr>
          <w:szCs w:val="22"/>
        </w:rPr>
        <w:t>W</w:t>
      </w:r>
      <w:r w:rsidRPr="00C07626">
        <w:rPr>
          <w:szCs w:val="22"/>
        </w:rPr>
        <w:t>aiting list/prioritisation issue (</w:t>
      </w:r>
      <w:r>
        <w:rPr>
          <w:szCs w:val="22"/>
        </w:rPr>
        <w:t>10</w:t>
      </w:r>
      <w:r w:rsidRPr="00C07626">
        <w:rPr>
          <w:szCs w:val="22"/>
        </w:rPr>
        <w:t>%)</w:t>
      </w:r>
    </w:p>
    <w:p w:rsidR="00C07626" w:rsidRDefault="00C07626" w:rsidP="001916DC">
      <w:pPr>
        <w:pStyle w:val="ListParagraph"/>
        <w:numPr>
          <w:ilvl w:val="0"/>
          <w:numId w:val="4"/>
        </w:numPr>
        <w:rPr>
          <w:szCs w:val="22"/>
        </w:rPr>
      </w:pPr>
      <w:r>
        <w:rPr>
          <w:szCs w:val="22"/>
        </w:rPr>
        <w:t xml:space="preserve">Unexpected treatment outcome (10%) </w:t>
      </w:r>
    </w:p>
    <w:p w:rsidR="00C07626" w:rsidRPr="00C07626" w:rsidRDefault="00C07626" w:rsidP="001916DC">
      <w:pPr>
        <w:pStyle w:val="ListParagraph"/>
        <w:numPr>
          <w:ilvl w:val="0"/>
          <w:numId w:val="4"/>
        </w:numPr>
        <w:rPr>
          <w:szCs w:val="22"/>
        </w:rPr>
      </w:pPr>
      <w:r>
        <w:rPr>
          <w:szCs w:val="22"/>
        </w:rPr>
        <w:t>Lack of access to services (6%)</w:t>
      </w:r>
      <w:r w:rsidRPr="00C07626">
        <w:rPr>
          <w:szCs w:val="22"/>
        </w:rPr>
        <w:t xml:space="preserve"> </w:t>
      </w:r>
    </w:p>
    <w:p w:rsidR="00C07626" w:rsidRDefault="00C07626" w:rsidP="001916DC">
      <w:pPr>
        <w:pStyle w:val="ListParagraph"/>
        <w:numPr>
          <w:ilvl w:val="0"/>
          <w:numId w:val="4"/>
        </w:numPr>
        <w:rPr>
          <w:szCs w:val="22"/>
        </w:rPr>
      </w:pPr>
      <w:r>
        <w:rPr>
          <w:szCs w:val="22"/>
        </w:rPr>
        <w:t>Inadequate/inappropriate treatment (6%)</w:t>
      </w:r>
    </w:p>
    <w:p w:rsidR="00C07626" w:rsidRDefault="00C07626" w:rsidP="00C07626">
      <w:pPr>
        <w:pStyle w:val="ListParagraph"/>
        <w:rPr>
          <w:szCs w:val="22"/>
        </w:rPr>
      </w:pPr>
    </w:p>
    <w:p w:rsidR="00605B17" w:rsidRPr="00C07626" w:rsidRDefault="004E3C79" w:rsidP="00C07626">
      <w:pPr>
        <w:rPr>
          <w:szCs w:val="22"/>
        </w:rPr>
      </w:pPr>
      <w:r w:rsidRPr="00C07626">
        <w:rPr>
          <w:szCs w:val="22"/>
        </w:rPr>
        <w:t xml:space="preserve">This is broadly similar to what was seen last year. </w:t>
      </w:r>
    </w:p>
    <w:p w:rsidR="00605B17" w:rsidRPr="00666BAC" w:rsidRDefault="00605B17" w:rsidP="00605B17"/>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605B17" w:rsidRPr="00666BAC" w:rsidTr="007A553D">
        <w:tc>
          <w:tcPr>
            <w:tcW w:w="9298" w:type="dxa"/>
          </w:tcPr>
          <w:p w:rsidR="000D3976" w:rsidRDefault="000D3976" w:rsidP="000D3976">
            <w:pPr>
              <w:tabs>
                <w:tab w:val="left" w:pos="1440"/>
                <w:tab w:val="left" w:pos="2610"/>
              </w:tabs>
              <w:spacing w:before="120"/>
              <w:jc w:val="center"/>
              <w:outlineLvl w:val="0"/>
              <w:rPr>
                <w:b/>
                <w:szCs w:val="22"/>
              </w:rPr>
            </w:pPr>
            <w:r w:rsidRPr="00666BAC">
              <w:rPr>
                <w:b/>
                <w:sz w:val="28"/>
                <w:szCs w:val="28"/>
              </w:rPr>
              <w:t xml:space="preserve">Case study: </w:t>
            </w:r>
            <w:r w:rsidR="00C07626">
              <w:rPr>
                <w:b/>
                <w:sz w:val="28"/>
                <w:szCs w:val="28"/>
              </w:rPr>
              <w:t>Waiting list/</w:t>
            </w:r>
            <w:r w:rsidR="00220B2D">
              <w:rPr>
                <w:b/>
                <w:sz w:val="28"/>
                <w:szCs w:val="28"/>
              </w:rPr>
              <w:t>prioritisation</w:t>
            </w:r>
            <w:r w:rsidR="00F01AA6">
              <w:rPr>
                <w:b/>
                <w:sz w:val="28"/>
                <w:szCs w:val="28"/>
              </w:rPr>
              <w:t xml:space="preserve"> issue</w:t>
            </w:r>
            <w:r w:rsidR="00220B2D">
              <w:rPr>
                <w:b/>
                <w:sz w:val="28"/>
                <w:szCs w:val="28"/>
              </w:rPr>
              <w:t xml:space="preserve"> </w:t>
            </w:r>
            <w:r w:rsidR="00220B2D" w:rsidRPr="00E71C4F">
              <w:rPr>
                <w:b/>
                <w:szCs w:val="22"/>
              </w:rPr>
              <w:t>(16HDC1010)</w:t>
            </w:r>
          </w:p>
          <w:p w:rsidR="00E71C4F" w:rsidRDefault="00E71C4F" w:rsidP="009E7525">
            <w:pPr>
              <w:tabs>
                <w:tab w:val="left" w:pos="1440"/>
                <w:tab w:val="left" w:pos="2610"/>
              </w:tabs>
              <w:spacing w:before="120" w:after="120"/>
              <w:jc w:val="center"/>
              <w:outlineLvl w:val="0"/>
              <w:rPr>
                <w:b/>
                <w:szCs w:val="22"/>
              </w:rPr>
            </w:pPr>
            <w:r w:rsidRPr="00E71C4F">
              <w:rPr>
                <w:b/>
                <w:szCs w:val="22"/>
              </w:rPr>
              <w:t>Delay in follow-up of ophthalmology review</w:t>
            </w:r>
          </w:p>
          <w:p w:rsidR="00E71C4F" w:rsidRPr="009E7525" w:rsidRDefault="00E71C4F" w:rsidP="00E71C4F">
            <w:pPr>
              <w:tabs>
                <w:tab w:val="left" w:pos="720"/>
                <w:tab w:val="left" w:pos="1134"/>
              </w:tabs>
              <w:spacing w:after="240"/>
              <w:rPr>
                <w:rFonts w:eastAsia="Tahoma"/>
                <w:szCs w:val="22"/>
                <w:lang w:val="en-US"/>
              </w:rPr>
            </w:pPr>
            <w:r w:rsidRPr="009E7525">
              <w:rPr>
                <w:rFonts w:eastAsia="Tahoma"/>
                <w:szCs w:val="22"/>
                <w:lang w:val="en-US"/>
              </w:rPr>
              <w:t xml:space="preserve">A </w:t>
            </w:r>
            <w:r w:rsidR="009E7525">
              <w:rPr>
                <w:rFonts w:eastAsia="Tahoma"/>
                <w:szCs w:val="22"/>
                <w:lang w:val="en-US"/>
              </w:rPr>
              <w:t xml:space="preserve">20-year old </w:t>
            </w:r>
            <w:r w:rsidRPr="009E7525">
              <w:rPr>
                <w:rFonts w:eastAsia="Tahoma"/>
                <w:szCs w:val="22"/>
                <w:lang w:val="en-US"/>
              </w:rPr>
              <w:t xml:space="preserve">man, who had a family history of glaucoma, presented to the Ophthalmology Service of a DHB (the Service), having been referred urgently by a community optometrist. He was prescribed eye drops and a follow-up review went ahead the next week. </w:t>
            </w:r>
          </w:p>
          <w:p w:rsidR="00E71C4F" w:rsidRDefault="00E71C4F" w:rsidP="00E71C4F">
            <w:pPr>
              <w:tabs>
                <w:tab w:val="left" w:pos="720"/>
                <w:tab w:val="left" w:pos="1134"/>
              </w:tabs>
              <w:spacing w:after="240"/>
              <w:rPr>
                <w:szCs w:val="22"/>
              </w:rPr>
            </w:pPr>
            <w:r w:rsidRPr="009E7525">
              <w:rPr>
                <w:rFonts w:eastAsia="Tahoma"/>
                <w:szCs w:val="22"/>
                <w:lang w:val="en-US"/>
              </w:rPr>
              <w:t xml:space="preserve">Two months later, the man was diagnosed with ocular hypertension. The consultant ophthalmologist requested that the man be reviewed again in six months’ time. </w:t>
            </w:r>
            <w:r w:rsidRPr="009E7525">
              <w:rPr>
                <w:szCs w:val="22"/>
              </w:rPr>
              <w:t>That follow-up appointment was delayed by six months despite the man telephoning the Service and correspondence being sent by his GP. By this time, the man had suffered vision loss in his right eye and required an urgent referral for management and surgery.</w:t>
            </w:r>
          </w:p>
          <w:p w:rsidR="00F01AA6" w:rsidRPr="00F01AA6" w:rsidRDefault="00F01AA6" w:rsidP="00E71C4F">
            <w:pPr>
              <w:tabs>
                <w:tab w:val="left" w:pos="720"/>
                <w:tab w:val="left" w:pos="1134"/>
              </w:tabs>
              <w:spacing w:after="240"/>
              <w:rPr>
                <w:szCs w:val="22"/>
                <w:u w:val="single"/>
              </w:rPr>
            </w:pPr>
            <w:r>
              <w:rPr>
                <w:szCs w:val="22"/>
                <w:u w:val="single"/>
              </w:rPr>
              <w:t>Findings</w:t>
            </w:r>
          </w:p>
          <w:p w:rsidR="009E7525" w:rsidRPr="009E7525" w:rsidRDefault="00E71C4F" w:rsidP="009E7525">
            <w:pPr>
              <w:spacing w:after="240"/>
              <w:rPr>
                <w:szCs w:val="22"/>
              </w:rPr>
            </w:pPr>
            <w:r w:rsidRPr="009E7525">
              <w:rPr>
                <w:szCs w:val="22"/>
              </w:rPr>
              <w:t xml:space="preserve">The Commissioner </w:t>
            </w:r>
            <w:r w:rsidRPr="009E7525">
              <w:rPr>
                <w:szCs w:val="22"/>
                <w:lang w:val="en-US"/>
              </w:rPr>
              <w:t>was mindful of a combination of factors that have driven rapidly increasing demand for ophthalmology services in New Zealand, including outpatient clinic ti</w:t>
            </w:r>
            <w:r w:rsidR="009E7525" w:rsidRPr="009E7525">
              <w:rPr>
                <w:szCs w:val="22"/>
                <w:lang w:val="en-US"/>
              </w:rPr>
              <w:t>me, over the last ten years. K</w:t>
            </w:r>
            <w:r w:rsidRPr="009E7525">
              <w:rPr>
                <w:szCs w:val="22"/>
                <w:lang w:val="en-US"/>
              </w:rPr>
              <w:t>ey factor</w:t>
            </w:r>
            <w:r w:rsidR="009E7525" w:rsidRPr="009E7525">
              <w:rPr>
                <w:szCs w:val="22"/>
                <w:lang w:val="en-US"/>
              </w:rPr>
              <w:t>s include changing demographics in the patient population and</w:t>
            </w:r>
            <w:r w:rsidRPr="009E7525">
              <w:rPr>
                <w:szCs w:val="22"/>
                <w:lang w:val="en-US"/>
              </w:rPr>
              <w:t xml:space="preserve"> the introduction of very effective new therapies an</w:t>
            </w:r>
            <w:r w:rsidR="009E7525" w:rsidRPr="009E7525">
              <w:rPr>
                <w:szCs w:val="22"/>
                <w:lang w:val="en-US"/>
              </w:rPr>
              <w:t>d treatment resulting</w:t>
            </w:r>
            <w:r w:rsidRPr="009E7525">
              <w:rPr>
                <w:szCs w:val="22"/>
                <w:lang w:val="en-US"/>
              </w:rPr>
              <w:t xml:space="preserve"> in consumers needing to see specialists for regular ongoing follow-up and/or </w:t>
            </w:r>
            <w:r w:rsidR="009E7525" w:rsidRPr="009E7525">
              <w:rPr>
                <w:szCs w:val="22"/>
                <w:lang w:val="en-US"/>
              </w:rPr>
              <w:t>treatment. However, the Commissioner noted that provider accountability is not removed by the existe</w:t>
            </w:r>
            <w:r w:rsidR="00917152">
              <w:rPr>
                <w:szCs w:val="22"/>
                <w:lang w:val="en-US"/>
              </w:rPr>
              <w:t>nce of such systemic pressures. A</w:t>
            </w:r>
            <w:r w:rsidR="009E7525" w:rsidRPr="009E7525">
              <w:rPr>
                <w:szCs w:val="22"/>
                <w:lang w:val="en-US"/>
              </w:rPr>
              <w:t xml:space="preserve"> key improvement that all DHBs and the Ministry of Health must make, now and in the future, is to assess, plan, adapt, and respond effectively to the foreseeable effects that new technologies and changing demographics will have on systems and demand.</w:t>
            </w:r>
            <w:r w:rsidR="009E7525" w:rsidRPr="009E7525">
              <w:rPr>
                <w:szCs w:val="22"/>
              </w:rPr>
              <w:t xml:space="preserve"> </w:t>
            </w:r>
          </w:p>
          <w:p w:rsidR="009E7525" w:rsidRPr="009E7525" w:rsidRDefault="009E7525" w:rsidP="009E7525">
            <w:pPr>
              <w:tabs>
                <w:tab w:val="left" w:pos="720"/>
                <w:tab w:val="left" w:pos="1134"/>
              </w:tabs>
              <w:spacing w:after="240"/>
              <w:rPr>
                <w:szCs w:val="22"/>
              </w:rPr>
            </w:pPr>
            <w:r w:rsidRPr="009E7525">
              <w:rPr>
                <w:szCs w:val="22"/>
              </w:rPr>
              <w:t xml:space="preserve">At the time of the man’s care, the Service lacked capacity, in that the clinics did not have enough appointments for the number of patients clinicians had to see. The Commissioner was critical that </w:t>
            </w:r>
            <w:r w:rsidRPr="009E7525">
              <w:rPr>
                <w:bCs/>
                <w:iCs/>
                <w:szCs w:val="22"/>
              </w:rPr>
              <w:t xml:space="preserve">the DHB failed to arrange a timely follow-up appointment because </w:t>
            </w:r>
            <w:r w:rsidRPr="009E7525">
              <w:rPr>
                <w:szCs w:val="22"/>
              </w:rPr>
              <w:t xml:space="preserve">it did not have a prioritisation system that focused on patients’ clinical need, and instead relied on </w:t>
            </w:r>
            <w:r w:rsidR="00F72D35" w:rsidRPr="009E7525">
              <w:rPr>
                <w:szCs w:val="22"/>
              </w:rPr>
              <w:t>administrati</w:t>
            </w:r>
            <w:r w:rsidR="00F72D35">
              <w:rPr>
                <w:szCs w:val="22"/>
              </w:rPr>
              <w:t>ve</w:t>
            </w:r>
            <w:r w:rsidR="00F72D35" w:rsidRPr="009E7525">
              <w:rPr>
                <w:szCs w:val="22"/>
              </w:rPr>
              <w:t xml:space="preserve"> </w:t>
            </w:r>
            <w:r w:rsidR="00917152">
              <w:rPr>
                <w:szCs w:val="22"/>
              </w:rPr>
              <w:t>staff</w:t>
            </w:r>
            <w:r w:rsidRPr="009E7525">
              <w:rPr>
                <w:szCs w:val="22"/>
              </w:rPr>
              <w:t xml:space="preserve"> who lacked </w:t>
            </w:r>
            <w:r w:rsidRPr="009E7525">
              <w:rPr>
                <w:szCs w:val="22"/>
              </w:rPr>
              <w:lastRenderedPageBreak/>
              <w:t>training and clear guidance to prioritise appropriately. Despite concerns being raised with the DHB, it did not recognise the clinical risk created by the lack of capacity at the Service, and did not take action to rectify the situation after an earlier serious event review in relation to a similar matter had raised associated concerns. In addition, there were missed opportunities for the DHB to rectify the delay in the follow-up appointment</w:t>
            </w:r>
            <w:r w:rsidRPr="009E7525">
              <w:rPr>
                <w:bCs/>
                <w:iCs/>
                <w:szCs w:val="22"/>
              </w:rPr>
              <w:t xml:space="preserve">. Accordingly, the Commissioner considered that the </w:t>
            </w:r>
            <w:r w:rsidRPr="009E7525">
              <w:rPr>
                <w:szCs w:val="22"/>
              </w:rPr>
              <w:t xml:space="preserve">DHB did not provide services to the man with reasonable care and skill and, accordingly, breached Right 4(1). </w:t>
            </w:r>
          </w:p>
          <w:p w:rsidR="009E7525" w:rsidRPr="009E7525" w:rsidRDefault="009E7525" w:rsidP="009E7525">
            <w:pPr>
              <w:tabs>
                <w:tab w:val="left" w:pos="720"/>
                <w:tab w:val="left" w:pos="1134"/>
              </w:tabs>
              <w:spacing w:after="240"/>
              <w:rPr>
                <w:szCs w:val="22"/>
              </w:rPr>
            </w:pPr>
            <w:r w:rsidRPr="009E7525">
              <w:rPr>
                <w:szCs w:val="22"/>
              </w:rPr>
              <w:t>The Commissioner referred the DHB to the Director of Proceedings for the purpose of deciding whether any proceedings should be taken.</w:t>
            </w:r>
          </w:p>
          <w:p w:rsidR="00E71C4F" w:rsidRPr="009E7525" w:rsidRDefault="009E7525" w:rsidP="009E7525">
            <w:pPr>
              <w:tabs>
                <w:tab w:val="left" w:pos="720"/>
                <w:tab w:val="left" w:pos="1134"/>
              </w:tabs>
              <w:spacing w:after="240"/>
            </w:pPr>
            <w:r w:rsidRPr="009E7525">
              <w:rPr>
                <w:szCs w:val="22"/>
                <w:lang w:val="en-US"/>
              </w:rPr>
              <w:t xml:space="preserve">Following on from the DHB’s external review, and the ongoing work of DHBs and the Ministry of Health to address these issues, the Commissioner made a series of detailed recommendations </w:t>
            </w:r>
            <w:r w:rsidRPr="009E7525">
              <w:rPr>
                <w:szCs w:val="22"/>
              </w:rPr>
              <w:t>requesting follow-up information and evidence of the effectiveness of corrective actions and strategies adopted from both the DHB and the Ministry of Health. These recommendations have been met.</w:t>
            </w:r>
            <w:r>
              <w:t xml:space="preserve"> </w:t>
            </w:r>
          </w:p>
        </w:tc>
      </w:tr>
    </w:tbl>
    <w:p w:rsidR="00605B17" w:rsidRPr="00666BAC" w:rsidRDefault="00605B17" w:rsidP="00605B17">
      <w:pPr>
        <w:rPr>
          <w:szCs w:val="22"/>
        </w:rPr>
      </w:pPr>
    </w:p>
    <w:p w:rsidR="005053B3" w:rsidRPr="005053B3" w:rsidRDefault="005053B3" w:rsidP="005053B3">
      <w:pPr>
        <w:spacing w:after="120"/>
        <w:rPr>
          <w:szCs w:val="22"/>
          <w:u w:val="single"/>
        </w:rPr>
      </w:pPr>
      <w:r>
        <w:rPr>
          <w:szCs w:val="22"/>
          <w:u w:val="single"/>
        </w:rPr>
        <w:t>All complaint issues</w:t>
      </w:r>
    </w:p>
    <w:p w:rsidR="00C07626" w:rsidRDefault="00605B17" w:rsidP="00605B17">
      <w:pPr>
        <w:rPr>
          <w:szCs w:val="22"/>
        </w:rPr>
      </w:pPr>
      <w:r w:rsidRPr="00666BAC">
        <w:rPr>
          <w:szCs w:val="22"/>
        </w:rPr>
        <w:t>On analysis of all issues identified in complaints a</w:t>
      </w:r>
      <w:r w:rsidR="004B127E" w:rsidRPr="00666BAC">
        <w:rPr>
          <w:szCs w:val="22"/>
        </w:rPr>
        <w:t>bout</w:t>
      </w:r>
      <w:r w:rsidRPr="00666BAC">
        <w:rPr>
          <w:szCs w:val="22"/>
        </w:rPr>
        <w:t xml:space="preserve"> DHBs, the </w:t>
      </w:r>
      <w:r w:rsidR="00504D12">
        <w:rPr>
          <w:szCs w:val="22"/>
        </w:rPr>
        <w:t>most common complaint categories were care/tr</w:t>
      </w:r>
      <w:r w:rsidR="00C07626">
        <w:rPr>
          <w:szCs w:val="22"/>
        </w:rPr>
        <w:t>eatment (79%), communication (61</w:t>
      </w:r>
      <w:r w:rsidR="00504D12">
        <w:rPr>
          <w:szCs w:val="22"/>
        </w:rPr>
        <w:t>%),</w:t>
      </w:r>
      <w:r w:rsidR="00C07626">
        <w:rPr>
          <w:szCs w:val="22"/>
        </w:rPr>
        <w:t xml:space="preserve"> access/funding (25%) and consent/information (24%). </w:t>
      </w:r>
    </w:p>
    <w:p w:rsidR="00C07626" w:rsidRDefault="00C07626" w:rsidP="00605B17">
      <w:pPr>
        <w:rPr>
          <w:szCs w:val="22"/>
        </w:rPr>
      </w:pPr>
    </w:p>
    <w:p w:rsidR="00C07626" w:rsidRDefault="00504D12" w:rsidP="00605B17">
      <w:pPr>
        <w:rPr>
          <w:szCs w:val="22"/>
        </w:rPr>
      </w:pPr>
      <w:r>
        <w:rPr>
          <w:szCs w:val="22"/>
        </w:rPr>
        <w:t xml:space="preserve">The most common specific complaint issues were: </w:t>
      </w:r>
    </w:p>
    <w:p w:rsidR="00931E2B" w:rsidRDefault="00C07626" w:rsidP="001916DC">
      <w:pPr>
        <w:pStyle w:val="ListParagraph"/>
        <w:numPr>
          <w:ilvl w:val="0"/>
          <w:numId w:val="5"/>
        </w:numPr>
        <w:rPr>
          <w:szCs w:val="22"/>
        </w:rPr>
      </w:pPr>
      <w:r>
        <w:rPr>
          <w:szCs w:val="22"/>
        </w:rPr>
        <w:t>F</w:t>
      </w:r>
      <w:r w:rsidR="00504D12" w:rsidRPr="00C07626">
        <w:rPr>
          <w:szCs w:val="22"/>
        </w:rPr>
        <w:t>ailure to communicate effectively with consumer</w:t>
      </w:r>
      <w:r w:rsidR="00931E2B">
        <w:rPr>
          <w:szCs w:val="22"/>
        </w:rPr>
        <w:t xml:space="preserve"> (37%)</w:t>
      </w:r>
      <w:r w:rsidR="00504D12" w:rsidRPr="00C07626">
        <w:rPr>
          <w:szCs w:val="22"/>
        </w:rPr>
        <w:t xml:space="preserve"> </w:t>
      </w:r>
    </w:p>
    <w:p w:rsidR="00931E2B" w:rsidRDefault="00931E2B" w:rsidP="001916DC">
      <w:pPr>
        <w:pStyle w:val="ListParagraph"/>
        <w:numPr>
          <w:ilvl w:val="0"/>
          <w:numId w:val="5"/>
        </w:numPr>
        <w:rPr>
          <w:szCs w:val="22"/>
        </w:rPr>
      </w:pPr>
      <w:r>
        <w:rPr>
          <w:szCs w:val="22"/>
        </w:rPr>
        <w:t>I</w:t>
      </w:r>
      <w:r w:rsidR="00605B17" w:rsidRPr="00C07626">
        <w:rPr>
          <w:szCs w:val="22"/>
        </w:rPr>
        <w:t>nadeq</w:t>
      </w:r>
      <w:r w:rsidR="00504D12" w:rsidRPr="00C07626">
        <w:rPr>
          <w:szCs w:val="22"/>
        </w:rPr>
        <w:t>uate/inappropriate treatment (3</w:t>
      </w:r>
      <w:r>
        <w:rPr>
          <w:szCs w:val="22"/>
        </w:rPr>
        <w:t>6%)</w:t>
      </w:r>
      <w:r w:rsidR="00504D12" w:rsidRPr="00C07626">
        <w:rPr>
          <w:szCs w:val="22"/>
        </w:rPr>
        <w:t xml:space="preserve"> </w:t>
      </w:r>
    </w:p>
    <w:p w:rsidR="00931E2B" w:rsidRDefault="00931E2B" w:rsidP="001916DC">
      <w:pPr>
        <w:pStyle w:val="ListParagraph"/>
        <w:numPr>
          <w:ilvl w:val="0"/>
          <w:numId w:val="5"/>
        </w:numPr>
        <w:rPr>
          <w:szCs w:val="22"/>
        </w:rPr>
      </w:pPr>
      <w:r>
        <w:rPr>
          <w:szCs w:val="22"/>
        </w:rPr>
        <w:t>I</w:t>
      </w:r>
      <w:r w:rsidR="00705DA5" w:rsidRPr="00C07626">
        <w:rPr>
          <w:szCs w:val="22"/>
        </w:rPr>
        <w:t>nadequate/inapprop</w:t>
      </w:r>
      <w:r>
        <w:rPr>
          <w:szCs w:val="22"/>
        </w:rPr>
        <w:t xml:space="preserve">riate examination/assessment (24%) </w:t>
      </w:r>
    </w:p>
    <w:p w:rsidR="00931E2B" w:rsidRDefault="00931E2B" w:rsidP="001916DC">
      <w:pPr>
        <w:pStyle w:val="ListParagraph"/>
        <w:numPr>
          <w:ilvl w:val="0"/>
          <w:numId w:val="5"/>
        </w:numPr>
        <w:rPr>
          <w:szCs w:val="22"/>
        </w:rPr>
      </w:pPr>
      <w:r>
        <w:rPr>
          <w:szCs w:val="22"/>
        </w:rPr>
        <w:t>M</w:t>
      </w:r>
      <w:r w:rsidR="00504D12" w:rsidRPr="00C07626">
        <w:rPr>
          <w:szCs w:val="22"/>
        </w:rPr>
        <w:t>issed</w:t>
      </w:r>
      <w:r>
        <w:rPr>
          <w:szCs w:val="22"/>
        </w:rPr>
        <w:t>/incorrect/delayed diagnosis (20%)</w:t>
      </w:r>
      <w:r w:rsidR="00504D12" w:rsidRPr="00C07626">
        <w:rPr>
          <w:szCs w:val="22"/>
        </w:rPr>
        <w:t xml:space="preserve"> </w:t>
      </w:r>
    </w:p>
    <w:p w:rsidR="00931E2B" w:rsidRDefault="00931E2B" w:rsidP="001916DC">
      <w:pPr>
        <w:pStyle w:val="ListParagraph"/>
        <w:numPr>
          <w:ilvl w:val="0"/>
          <w:numId w:val="5"/>
        </w:numPr>
        <w:rPr>
          <w:szCs w:val="22"/>
        </w:rPr>
      </w:pPr>
      <w:r>
        <w:rPr>
          <w:szCs w:val="22"/>
        </w:rPr>
        <w:t>F</w:t>
      </w:r>
      <w:r w:rsidR="004E3C79" w:rsidRPr="00C07626">
        <w:rPr>
          <w:szCs w:val="22"/>
        </w:rPr>
        <w:t>ailure to communicate effectively with family</w:t>
      </w:r>
      <w:r>
        <w:rPr>
          <w:szCs w:val="22"/>
        </w:rPr>
        <w:t xml:space="preserve"> (20%) </w:t>
      </w:r>
    </w:p>
    <w:p w:rsidR="00931E2B" w:rsidRDefault="00931E2B" w:rsidP="001916DC">
      <w:pPr>
        <w:pStyle w:val="ListParagraph"/>
        <w:numPr>
          <w:ilvl w:val="0"/>
          <w:numId w:val="5"/>
        </w:numPr>
        <w:rPr>
          <w:szCs w:val="22"/>
        </w:rPr>
      </w:pPr>
      <w:r>
        <w:rPr>
          <w:szCs w:val="22"/>
        </w:rPr>
        <w:t>Delay in treatment (20%)</w:t>
      </w:r>
    </w:p>
    <w:p w:rsidR="00931E2B" w:rsidRDefault="00931E2B" w:rsidP="001916DC">
      <w:pPr>
        <w:pStyle w:val="ListParagraph"/>
        <w:numPr>
          <w:ilvl w:val="0"/>
          <w:numId w:val="5"/>
        </w:numPr>
        <w:rPr>
          <w:szCs w:val="22"/>
        </w:rPr>
      </w:pPr>
      <w:r>
        <w:rPr>
          <w:szCs w:val="22"/>
        </w:rPr>
        <w:t>Disrespectful manner/attitude (16</w:t>
      </w:r>
      <w:r w:rsidRPr="00C07626">
        <w:rPr>
          <w:szCs w:val="22"/>
        </w:rPr>
        <w:t>%)</w:t>
      </w:r>
    </w:p>
    <w:p w:rsidR="00931E2B" w:rsidRDefault="00931E2B" w:rsidP="001916DC">
      <w:pPr>
        <w:pStyle w:val="ListParagraph"/>
        <w:numPr>
          <w:ilvl w:val="0"/>
          <w:numId w:val="5"/>
        </w:numPr>
        <w:rPr>
          <w:szCs w:val="22"/>
        </w:rPr>
      </w:pPr>
      <w:r>
        <w:rPr>
          <w:szCs w:val="22"/>
        </w:rPr>
        <w:t>Inadequate response by DHB to complaint (16%)</w:t>
      </w:r>
    </w:p>
    <w:p w:rsidR="00931E2B" w:rsidRDefault="00931E2B" w:rsidP="001916DC">
      <w:pPr>
        <w:pStyle w:val="ListParagraph"/>
        <w:numPr>
          <w:ilvl w:val="0"/>
          <w:numId w:val="5"/>
        </w:numPr>
        <w:rPr>
          <w:szCs w:val="22"/>
        </w:rPr>
      </w:pPr>
      <w:r>
        <w:rPr>
          <w:szCs w:val="22"/>
        </w:rPr>
        <w:t>Unexpected treatment outcome (16%)</w:t>
      </w:r>
    </w:p>
    <w:p w:rsidR="004E3C79" w:rsidRPr="00C07626" w:rsidRDefault="00931E2B" w:rsidP="001916DC">
      <w:pPr>
        <w:pStyle w:val="ListParagraph"/>
        <w:numPr>
          <w:ilvl w:val="0"/>
          <w:numId w:val="5"/>
        </w:numPr>
        <w:rPr>
          <w:szCs w:val="22"/>
        </w:rPr>
      </w:pPr>
      <w:r>
        <w:rPr>
          <w:szCs w:val="22"/>
        </w:rPr>
        <w:t>I</w:t>
      </w:r>
      <w:r w:rsidR="00504D12" w:rsidRPr="00C07626">
        <w:rPr>
          <w:szCs w:val="22"/>
        </w:rPr>
        <w:t>nadequate co</w:t>
      </w:r>
      <w:r w:rsidR="00DF0147" w:rsidRPr="00C07626">
        <w:rPr>
          <w:szCs w:val="22"/>
        </w:rPr>
        <w:t>ordination of ca</w:t>
      </w:r>
      <w:r>
        <w:rPr>
          <w:szCs w:val="22"/>
        </w:rPr>
        <w:t>re/treatment (16</w:t>
      </w:r>
      <w:r w:rsidR="00504D12" w:rsidRPr="00C07626">
        <w:rPr>
          <w:szCs w:val="22"/>
        </w:rPr>
        <w:t>%)</w:t>
      </w:r>
    </w:p>
    <w:p w:rsidR="004E3C79" w:rsidRPr="00666BAC" w:rsidRDefault="004E3C79" w:rsidP="00605B17">
      <w:pPr>
        <w:rPr>
          <w:szCs w:val="22"/>
        </w:rPr>
      </w:pPr>
    </w:p>
    <w:p w:rsidR="00820319" w:rsidRPr="00666BAC" w:rsidRDefault="0082031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Pr="00666BAC" w:rsidRDefault="004E3C79" w:rsidP="00605B17">
      <w:pPr>
        <w:rPr>
          <w:szCs w:val="22"/>
        </w:rPr>
      </w:pPr>
    </w:p>
    <w:p w:rsidR="004E3C79" w:rsidRDefault="004E3C79"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E7525" w:rsidRDefault="009E7525" w:rsidP="00605B17">
      <w:pPr>
        <w:rPr>
          <w:szCs w:val="22"/>
        </w:rPr>
      </w:pPr>
    </w:p>
    <w:p w:rsidR="00931E2B" w:rsidRDefault="00931E2B" w:rsidP="00504D12">
      <w:pPr>
        <w:rPr>
          <w:szCs w:val="22"/>
        </w:rPr>
      </w:pPr>
    </w:p>
    <w:p w:rsidR="00605B17" w:rsidRPr="00666BAC" w:rsidRDefault="00D5364B" w:rsidP="00931E2B">
      <w:pPr>
        <w:spacing w:after="120"/>
        <w:rPr>
          <w:szCs w:val="22"/>
        </w:rPr>
      </w:pPr>
      <w:r>
        <w:rPr>
          <w:b/>
          <w:szCs w:val="22"/>
        </w:rPr>
        <w:lastRenderedPageBreak/>
        <w:t>Table 4</w:t>
      </w:r>
      <w:r w:rsidR="00605B17" w:rsidRPr="00666BAC">
        <w:rPr>
          <w:b/>
          <w:szCs w:val="22"/>
        </w:rPr>
        <w:t>.</w:t>
      </w:r>
      <w:r w:rsidR="00605B17" w:rsidRPr="00666BAC">
        <w:rPr>
          <w:szCs w:val="22"/>
        </w:rPr>
        <w:t xml:space="preserve"> Issues complained about in DHB complaints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843"/>
      </w:tblGrid>
      <w:tr w:rsidR="00605B17" w:rsidRPr="00666BAC" w:rsidTr="00D10020">
        <w:trPr>
          <w:tblHeader/>
        </w:trPr>
        <w:tc>
          <w:tcPr>
            <w:tcW w:w="6096" w:type="dxa"/>
            <w:tcBorders>
              <w:top w:val="single" w:sz="4" w:space="0" w:color="auto"/>
              <w:left w:val="single" w:sz="4" w:space="0" w:color="auto"/>
              <w:bottom w:val="single" w:sz="4" w:space="0" w:color="auto"/>
              <w:right w:val="single" w:sz="4" w:space="0" w:color="auto"/>
            </w:tcBorders>
          </w:tcPr>
          <w:p w:rsidR="00605B17" w:rsidRPr="00666BAC" w:rsidRDefault="00210984" w:rsidP="007A553D">
            <w:pPr>
              <w:jc w:val="left"/>
              <w:rPr>
                <w:b/>
                <w:szCs w:val="22"/>
              </w:rPr>
            </w:pPr>
            <w:r w:rsidRPr="00666BAC">
              <w:rPr>
                <w:b/>
                <w:szCs w:val="22"/>
              </w:rPr>
              <w:t>Complaint issue</w:t>
            </w:r>
          </w:p>
        </w:tc>
        <w:tc>
          <w:tcPr>
            <w:tcW w:w="1842"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jc w:val="left"/>
              <w:rPr>
                <w:b/>
                <w:szCs w:val="22"/>
              </w:rPr>
            </w:pPr>
            <w:r w:rsidRPr="00666BAC">
              <w:rPr>
                <w:b/>
                <w:szCs w:val="22"/>
              </w:rPr>
              <w:t>Number of complaints primarily about this issue (%)</w:t>
            </w:r>
          </w:p>
        </w:tc>
        <w:tc>
          <w:tcPr>
            <w:tcW w:w="1843" w:type="dxa"/>
            <w:tcBorders>
              <w:top w:val="single" w:sz="4" w:space="0" w:color="auto"/>
              <w:left w:val="single" w:sz="4" w:space="0" w:color="auto"/>
              <w:bottom w:val="single" w:sz="4" w:space="0" w:color="auto"/>
              <w:right w:val="single" w:sz="4" w:space="0" w:color="auto"/>
            </w:tcBorders>
          </w:tcPr>
          <w:p w:rsidR="00605B17" w:rsidRPr="00666BAC" w:rsidRDefault="00605B17" w:rsidP="007A553D">
            <w:pPr>
              <w:jc w:val="left"/>
              <w:rPr>
                <w:b/>
                <w:szCs w:val="22"/>
              </w:rPr>
            </w:pPr>
            <w:r w:rsidRPr="00666BAC">
              <w:rPr>
                <w:b/>
                <w:szCs w:val="22"/>
              </w:rPr>
              <w:t>Number of complaints involving this issue (%)</w:t>
            </w:r>
          </w:p>
        </w:tc>
      </w:tr>
      <w:tr w:rsidR="00605B17"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605B17" w:rsidRPr="00666BAC" w:rsidRDefault="00605B17" w:rsidP="007A553D">
            <w:pPr>
              <w:rPr>
                <w:b/>
                <w:i/>
                <w:szCs w:val="22"/>
              </w:rPr>
            </w:pPr>
            <w:r w:rsidRPr="00666BAC">
              <w:rPr>
                <w:b/>
                <w:i/>
                <w:szCs w:val="22"/>
              </w:rPr>
              <w:t>Access/Funding</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674897" w:rsidP="00210984">
            <w:pPr>
              <w:jc w:val="center"/>
              <w:rPr>
                <w:b/>
                <w:i/>
                <w:szCs w:val="22"/>
              </w:rPr>
            </w:pPr>
            <w:r>
              <w:rPr>
                <w:b/>
                <w:i/>
                <w:szCs w:val="22"/>
              </w:rPr>
              <w:t>153</w:t>
            </w:r>
            <w:r w:rsidR="00461611">
              <w:rPr>
                <w:b/>
                <w:i/>
                <w:szCs w:val="22"/>
              </w:rPr>
              <w:t xml:space="preserve"> (17)</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605B17" w:rsidRPr="00666BAC" w:rsidRDefault="002A0B5C" w:rsidP="00FF473D">
            <w:pPr>
              <w:jc w:val="center"/>
              <w:rPr>
                <w:b/>
                <w:i/>
                <w:szCs w:val="22"/>
              </w:rPr>
            </w:pPr>
            <w:r>
              <w:rPr>
                <w:b/>
                <w:i/>
                <w:szCs w:val="22"/>
              </w:rPr>
              <w:t>223</w:t>
            </w:r>
            <w:r w:rsidR="00EE4608">
              <w:rPr>
                <w:b/>
                <w:i/>
                <w:szCs w:val="22"/>
              </w:rPr>
              <w:t xml:space="preserve"> (25)</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Lack of access to services</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55 (6)</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97</w:t>
            </w:r>
            <w:r w:rsidR="00EE4608">
              <w:rPr>
                <w:rFonts w:ascii="Calibri" w:hAnsi="Calibri"/>
                <w:color w:val="000000"/>
                <w:szCs w:val="22"/>
              </w:rPr>
              <w:t xml:space="preserve"> (11)</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Lack of access to subsidies/funding</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5 (0.6)</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16</w:t>
            </w:r>
            <w:r w:rsidR="00EE4608">
              <w:rPr>
                <w:rFonts w:ascii="Calibri" w:hAnsi="Calibri"/>
                <w:color w:val="000000"/>
                <w:szCs w:val="22"/>
              </w:rPr>
              <w:t xml:space="preserve"> (2)</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Waiting list/prioritisation issue</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93 (10)</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122</w:t>
            </w:r>
            <w:r w:rsidR="00EE4608">
              <w:rPr>
                <w:rFonts w:ascii="Calibri" w:hAnsi="Calibri"/>
                <w:color w:val="000000"/>
                <w:szCs w:val="22"/>
              </w:rPr>
              <w:t xml:space="preserve"> (14)</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Pr>
                <w:szCs w:val="22"/>
              </w:rPr>
              <w:t>Other</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Default="00EE4608"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w:t>
            </w:r>
            <w:r w:rsidR="00EE4608">
              <w:rPr>
                <w:rFonts w:ascii="Calibri" w:hAnsi="Calibri"/>
                <w:color w:val="000000"/>
                <w:szCs w:val="22"/>
              </w:rPr>
              <w:t xml:space="preserve"> (0.2)</w:t>
            </w:r>
          </w:p>
        </w:tc>
      </w:tr>
      <w:tr w:rsidR="002A0B5C"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2A0B5C" w:rsidRPr="00666BAC" w:rsidRDefault="002A0B5C" w:rsidP="007A553D">
            <w:pPr>
              <w:rPr>
                <w:b/>
                <w:i/>
                <w:szCs w:val="22"/>
              </w:rPr>
            </w:pPr>
            <w:r w:rsidRPr="00666BAC">
              <w:rPr>
                <w:b/>
                <w:i/>
                <w:szCs w:val="22"/>
              </w:rPr>
              <w:t>Boundary violation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2 (0.2)</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4</w:t>
            </w:r>
            <w:r w:rsidR="00EE4608">
              <w:rPr>
                <w:b/>
                <w:i/>
                <w:szCs w:val="22"/>
              </w:rPr>
              <w:t xml:space="preserve"> (0.4)</w:t>
            </w:r>
          </w:p>
        </w:tc>
      </w:tr>
      <w:tr w:rsidR="002A0B5C"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vAlign w:val="bottom"/>
          </w:tcPr>
          <w:p w:rsidR="002A0B5C" w:rsidRPr="00666BAC" w:rsidRDefault="002A0B5C" w:rsidP="007A553D">
            <w:pPr>
              <w:rPr>
                <w:b/>
                <w:i/>
                <w:szCs w:val="22"/>
              </w:rPr>
            </w:pPr>
            <w:r w:rsidRPr="00666BAC">
              <w:rPr>
                <w:b/>
                <w:i/>
                <w:szCs w:val="22"/>
              </w:rPr>
              <w:t>Care/Treatment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422 (47)</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699</w:t>
            </w:r>
            <w:r w:rsidR="00EE4608">
              <w:rPr>
                <w:b/>
                <w:i/>
                <w:szCs w:val="22"/>
              </w:rPr>
              <w:t xml:space="preserve"> (79)</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 xml:space="preserve">Delay in treatment </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25 (3)</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175</w:t>
            </w:r>
            <w:r w:rsidR="00EE4608">
              <w:rPr>
                <w:rFonts w:ascii="Calibri" w:hAnsi="Calibri"/>
                <w:color w:val="000000"/>
                <w:szCs w:val="22"/>
              </w:rPr>
              <w:t xml:space="preserve"> (20)</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Delayed/inadequate/inappropriate referral</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5 (0.6)</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29</w:t>
            </w:r>
            <w:r w:rsidR="00EE4608">
              <w:rPr>
                <w:rFonts w:ascii="Calibri" w:hAnsi="Calibri"/>
                <w:color w:val="000000"/>
                <w:szCs w:val="22"/>
              </w:rPr>
              <w:t xml:space="preserve"> (3)</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Inadequate coordination of care or treatment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16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143</w:t>
            </w:r>
            <w:r w:rsidR="00EE4608">
              <w:rPr>
                <w:rFonts w:ascii="Calibri" w:hAnsi="Calibri"/>
                <w:color w:val="000000"/>
                <w:szCs w:val="22"/>
              </w:rPr>
              <w:t xml:space="preserve"> (16)</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 xml:space="preserve">Inadequate/inappropriate clinical treatment </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49 (6)</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318</w:t>
            </w:r>
            <w:r w:rsidR="00EE4608">
              <w:rPr>
                <w:rFonts w:ascii="Calibri" w:hAnsi="Calibri"/>
                <w:color w:val="000000"/>
                <w:szCs w:val="22"/>
              </w:rPr>
              <w:t xml:space="preserve"> (36)</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Inadequate/inappropriate examination/assessment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20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217</w:t>
            </w:r>
            <w:r w:rsidR="00EE4608">
              <w:rPr>
                <w:rFonts w:ascii="Calibri" w:hAnsi="Calibri"/>
                <w:color w:val="000000"/>
                <w:szCs w:val="22"/>
              </w:rPr>
              <w:t xml:space="preserve"> (24)</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Pr="00666BAC" w:rsidRDefault="002A0B5C" w:rsidP="007A553D">
            <w:pPr>
              <w:rPr>
                <w:szCs w:val="22"/>
              </w:rPr>
            </w:pPr>
            <w:r w:rsidRPr="00666BAC">
              <w:rPr>
                <w:szCs w:val="22"/>
              </w:rPr>
              <w:t>Inadequate/inappropriate follow-up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461611">
            <w:pPr>
              <w:jc w:val="center"/>
              <w:rPr>
                <w:rFonts w:ascii="Calibri" w:hAnsi="Calibri"/>
                <w:color w:val="000000"/>
                <w:szCs w:val="22"/>
              </w:rPr>
            </w:pPr>
            <w:r>
              <w:rPr>
                <w:rFonts w:ascii="Calibri" w:hAnsi="Calibri"/>
                <w:color w:val="000000"/>
                <w:szCs w:val="22"/>
              </w:rPr>
              <w:t>9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92</w:t>
            </w:r>
            <w:r w:rsidR="00EE4608">
              <w:rPr>
                <w:rFonts w:ascii="Calibri" w:hAnsi="Calibri"/>
                <w:color w:val="000000"/>
                <w:szCs w:val="22"/>
              </w:rPr>
              <w:t xml:space="preserve"> (10)</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Inadequate/inappropriate monitoring</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14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67</w:t>
            </w:r>
            <w:r w:rsidR="00EE4608">
              <w:rPr>
                <w:rFonts w:ascii="Calibri" w:hAnsi="Calibri"/>
                <w:color w:val="000000"/>
                <w:szCs w:val="22"/>
              </w:rPr>
              <w:t xml:space="preserve"> (8)</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 xml:space="preserve">Inadequate/inappropriate non-clinical care </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19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70</w:t>
            </w:r>
            <w:r w:rsidR="00EE4608">
              <w:rPr>
                <w:rFonts w:ascii="Calibri" w:hAnsi="Calibri"/>
                <w:color w:val="000000"/>
                <w:szCs w:val="22"/>
              </w:rPr>
              <w:t xml:space="preserve"> (8)</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vAlign w:val="bottom"/>
          </w:tcPr>
          <w:p w:rsidR="002A0B5C" w:rsidRPr="00666BAC" w:rsidRDefault="002A0B5C" w:rsidP="007A553D">
            <w:pPr>
              <w:rPr>
                <w:szCs w:val="22"/>
              </w:rPr>
            </w:pPr>
            <w:r w:rsidRPr="00666BAC">
              <w:rPr>
                <w:szCs w:val="22"/>
              </w:rPr>
              <w:t>Inadequate/inappropriate testing</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 (0.2)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82</w:t>
            </w:r>
            <w:r w:rsidR="00EE4608">
              <w:rPr>
                <w:rFonts w:ascii="Calibri" w:hAnsi="Calibri"/>
                <w:color w:val="000000"/>
                <w:szCs w:val="22"/>
              </w:rPr>
              <w:t xml:space="preserve"> (9)</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Inappropriate admission/failure to admit</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22</w:t>
            </w:r>
            <w:r w:rsidR="00EE4608">
              <w:rPr>
                <w:rFonts w:ascii="Calibri" w:hAnsi="Calibri"/>
                <w:color w:val="000000"/>
                <w:szCs w:val="22"/>
              </w:rPr>
              <w:t xml:space="preserve"> (2)</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Inappropriate/delayed discharge/transfer</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25 (3)</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89</w:t>
            </w:r>
            <w:r w:rsidR="00EE4608">
              <w:rPr>
                <w:rFonts w:ascii="Calibri" w:hAnsi="Calibri"/>
                <w:color w:val="000000"/>
                <w:szCs w:val="22"/>
              </w:rPr>
              <w:t xml:space="preserve"> (10)</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Inappropriate withdrawal of treatment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10 (1)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11</w:t>
            </w:r>
            <w:r w:rsidR="00EE4608">
              <w:rPr>
                <w:rFonts w:ascii="Calibri" w:hAnsi="Calibri"/>
                <w:color w:val="000000"/>
                <w:szCs w:val="22"/>
              </w:rPr>
              <w:t xml:space="preserve"> (1)</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Missed/incorrect/delayed diagnosis</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113 (13)</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181</w:t>
            </w:r>
            <w:r w:rsidR="00EE4608">
              <w:rPr>
                <w:rFonts w:ascii="Calibri" w:hAnsi="Calibri"/>
                <w:color w:val="000000"/>
                <w:szCs w:val="22"/>
              </w:rPr>
              <w:t xml:space="preserve"> (20)</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Personal privacy not respected</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7</w:t>
            </w:r>
            <w:r w:rsidR="00EE4608">
              <w:rPr>
                <w:rFonts w:ascii="Calibri" w:hAnsi="Calibri"/>
                <w:color w:val="000000"/>
                <w:szCs w:val="22"/>
              </w:rPr>
              <w:t xml:space="preserve"> (0.8)</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Refusal to assist/attend</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24</w:t>
            </w:r>
            <w:r w:rsidR="00EE4608">
              <w:rPr>
                <w:rFonts w:ascii="Calibri" w:hAnsi="Calibri"/>
                <w:color w:val="000000"/>
                <w:szCs w:val="22"/>
              </w:rPr>
              <w:t xml:space="preserve"> (3)</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Refusal to treat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14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23</w:t>
            </w:r>
            <w:r w:rsidR="00EE4608">
              <w:rPr>
                <w:rFonts w:ascii="Calibri" w:hAnsi="Calibri"/>
                <w:color w:val="000000"/>
                <w:szCs w:val="22"/>
              </w:rPr>
              <w:t xml:space="preserve"> (3)</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Rough/painful care or treatment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6 (0.7)</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40</w:t>
            </w:r>
            <w:r w:rsidR="00EE4608">
              <w:rPr>
                <w:rFonts w:ascii="Calibri" w:hAnsi="Calibri"/>
                <w:color w:val="000000"/>
                <w:szCs w:val="22"/>
              </w:rPr>
              <w:t xml:space="preserve"> (4)</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Unexpected treatment outcome</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89 (10)</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144</w:t>
            </w:r>
            <w:r w:rsidR="00EE4608">
              <w:rPr>
                <w:rFonts w:ascii="Calibri" w:hAnsi="Calibri"/>
                <w:color w:val="000000"/>
                <w:szCs w:val="22"/>
              </w:rPr>
              <w:t xml:space="preserve"> (16)</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Unnecessary treatment/over-servicing</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4 (0.4)</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15</w:t>
            </w:r>
            <w:r w:rsidR="00EE4608">
              <w:rPr>
                <w:rFonts w:ascii="Calibri" w:hAnsi="Calibri"/>
                <w:color w:val="000000"/>
                <w:szCs w:val="22"/>
              </w:rPr>
              <w:t xml:space="preserve"> (2)</w:t>
            </w:r>
          </w:p>
        </w:tc>
      </w:tr>
      <w:tr w:rsidR="002A0B5C" w:rsidRPr="00666BAC" w:rsidTr="00D10020">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Communication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73 (8)</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545</w:t>
            </w:r>
            <w:r w:rsidR="00EE4608">
              <w:rPr>
                <w:b/>
                <w:i/>
                <w:szCs w:val="22"/>
              </w:rPr>
              <w:t xml:space="preserve"> (61)</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Disrespectful manner/attitude</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28 (3)</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146</w:t>
            </w:r>
            <w:r w:rsidR="00EE4608">
              <w:rPr>
                <w:rFonts w:ascii="Calibri" w:hAnsi="Calibri"/>
                <w:color w:val="000000"/>
                <w:szCs w:val="22"/>
              </w:rPr>
              <w:t xml:space="preserve"> (16)</w:t>
            </w:r>
          </w:p>
        </w:tc>
      </w:tr>
      <w:tr w:rsidR="002A0B5C" w:rsidRPr="00666BAC" w:rsidTr="00EE4608">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Failure to accommodate cultural/language needs</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 (0.2)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6</w:t>
            </w:r>
            <w:r w:rsidR="00EE4608">
              <w:rPr>
                <w:rFonts w:ascii="Calibri" w:hAnsi="Calibri"/>
                <w:color w:val="000000"/>
                <w:szCs w:val="22"/>
              </w:rPr>
              <w:t xml:space="preserve"> (0.7)</w:t>
            </w:r>
          </w:p>
        </w:tc>
      </w:tr>
      <w:tr w:rsidR="002A0B5C" w:rsidRPr="00666BAC" w:rsidTr="002A0B5C">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DD2400">
            <w:pPr>
              <w:jc w:val="left"/>
              <w:rPr>
                <w:szCs w:val="22"/>
              </w:rPr>
            </w:pPr>
            <w:r w:rsidRPr="00666BAC">
              <w:rPr>
                <w:szCs w:val="22"/>
              </w:rPr>
              <w:t>Failure to communicate openly/honestly/effectively with consumer</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Default="002A0B5C" w:rsidP="002A0B5C">
            <w:pPr>
              <w:jc w:val="center"/>
              <w:rPr>
                <w:rFonts w:ascii="Calibri" w:hAnsi="Calibri"/>
                <w:color w:val="000000"/>
                <w:szCs w:val="22"/>
              </w:rPr>
            </w:pPr>
            <w:r>
              <w:rPr>
                <w:rFonts w:ascii="Calibri" w:hAnsi="Calibri"/>
                <w:color w:val="000000"/>
                <w:szCs w:val="22"/>
              </w:rPr>
              <w:t>15 (2)</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Default="002A0B5C" w:rsidP="002A0B5C">
            <w:pPr>
              <w:jc w:val="center"/>
              <w:rPr>
                <w:rFonts w:ascii="Calibri" w:hAnsi="Calibri"/>
                <w:color w:val="000000"/>
                <w:szCs w:val="22"/>
              </w:rPr>
            </w:pPr>
            <w:r>
              <w:rPr>
                <w:rFonts w:ascii="Calibri" w:hAnsi="Calibri"/>
                <w:color w:val="000000"/>
                <w:szCs w:val="22"/>
              </w:rPr>
              <w:t>332</w:t>
            </w:r>
            <w:r w:rsidR="00EE4608">
              <w:rPr>
                <w:rFonts w:ascii="Calibri" w:hAnsi="Calibri"/>
                <w:color w:val="000000"/>
                <w:szCs w:val="22"/>
              </w:rPr>
              <w:t xml:space="preserve"> (37)</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Failure to communicate openly/honestly/effectively with family</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20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178</w:t>
            </w:r>
            <w:r w:rsidR="00EE4608">
              <w:rPr>
                <w:rFonts w:ascii="Calibri" w:hAnsi="Calibri"/>
                <w:color w:val="000000"/>
                <w:szCs w:val="22"/>
              </w:rPr>
              <w:t xml:space="preserve"> (20)</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Insensitive/inappropriate comments (not sexual)</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8 (0.9)</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28</w:t>
            </w:r>
            <w:r w:rsidR="00EE4608">
              <w:rPr>
                <w:rFonts w:ascii="Calibri" w:hAnsi="Calibri"/>
                <w:color w:val="000000"/>
                <w:szCs w:val="22"/>
              </w:rPr>
              <w:t xml:space="preserve"> (3)</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Complaints process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15 (2)</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146</w:t>
            </w:r>
            <w:r w:rsidR="00EE4608">
              <w:rPr>
                <w:b/>
                <w:i/>
                <w:szCs w:val="22"/>
              </w:rPr>
              <w:t xml:space="preserve"> (16)</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Inadequate response to complaint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15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145</w:t>
            </w:r>
            <w:r w:rsidR="00EE4608">
              <w:rPr>
                <w:szCs w:val="22"/>
              </w:rPr>
              <w:t xml:space="preserve"> (16)</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Pr>
                <w:szCs w:val="22"/>
              </w:rPr>
              <w:t>Other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1</w:t>
            </w:r>
            <w:r w:rsidR="00EE4608">
              <w:rPr>
                <w:szCs w:val="22"/>
              </w:rPr>
              <w:t xml:space="preserve"> (0.1)</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Consent/Information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97 (11)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216</w:t>
            </w:r>
            <w:r w:rsidR="00EE4608">
              <w:rPr>
                <w:b/>
                <w:i/>
                <w:szCs w:val="22"/>
              </w:rPr>
              <w:t xml:space="preserve"> (24)</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Consent not obtained/adequate</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19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53</w:t>
            </w:r>
            <w:r w:rsidR="00EE4608">
              <w:rPr>
                <w:rFonts w:ascii="Calibri" w:hAnsi="Calibri"/>
                <w:color w:val="000000"/>
                <w:szCs w:val="22"/>
              </w:rPr>
              <w:t xml:space="preserve"> (6)</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Pr>
                <w:szCs w:val="22"/>
              </w:rPr>
              <w:t>Failure to assess capacity to consent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0</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7</w:t>
            </w:r>
            <w:r w:rsidR="00EE4608">
              <w:rPr>
                <w:rFonts w:ascii="Calibri" w:hAnsi="Calibri"/>
                <w:color w:val="000000"/>
                <w:szCs w:val="22"/>
              </w:rPr>
              <w:t xml:space="preserve"> (0.8)</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provided regarding adverse event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12</w:t>
            </w:r>
            <w:r w:rsidR="00EE4608">
              <w:rPr>
                <w:rFonts w:ascii="Calibri" w:hAnsi="Calibri"/>
                <w:color w:val="000000"/>
                <w:szCs w:val="22"/>
              </w:rPr>
              <w:t xml:space="preserve"> (1)</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provided regarding condition</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8 (0.9)</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28</w:t>
            </w:r>
            <w:r w:rsidR="00EE4608">
              <w:rPr>
                <w:rFonts w:ascii="Calibri" w:hAnsi="Calibri"/>
                <w:color w:val="000000"/>
                <w:szCs w:val="22"/>
              </w:rPr>
              <w:t xml:space="preserve"> (3)</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provided regarding fees/costs</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5 (0.6)</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7</w:t>
            </w:r>
            <w:r w:rsidR="00EE4608">
              <w:rPr>
                <w:rFonts w:ascii="Calibri" w:hAnsi="Calibri"/>
                <w:color w:val="000000"/>
                <w:szCs w:val="22"/>
              </w:rPr>
              <w:t xml:space="preserve"> (0.8)</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provided regarding options</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7 (0.8)</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24</w:t>
            </w:r>
            <w:r w:rsidR="00EE4608">
              <w:rPr>
                <w:rFonts w:ascii="Calibri" w:hAnsi="Calibri"/>
                <w:color w:val="000000"/>
                <w:szCs w:val="22"/>
              </w:rPr>
              <w:t xml:space="preserve"> (3)</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provided regarding provider</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6</w:t>
            </w:r>
            <w:r w:rsidR="00EE4608">
              <w:rPr>
                <w:rFonts w:ascii="Calibri" w:hAnsi="Calibri"/>
                <w:color w:val="000000"/>
                <w:szCs w:val="22"/>
              </w:rPr>
              <w:t xml:space="preserve"> (0.7)</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regarding results</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4 (0.4)</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16</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Inadequate information provided regarding treatment</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13 (1)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62</w:t>
            </w:r>
            <w:r w:rsidR="00EE4608">
              <w:rPr>
                <w:rFonts w:ascii="Calibri" w:hAnsi="Calibri"/>
                <w:color w:val="000000"/>
                <w:szCs w:val="22"/>
              </w:rPr>
              <w:t xml:space="preserve"> (7)</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Incorrect/misleading information provided</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23</w:t>
            </w:r>
            <w:r w:rsidR="00EE4608">
              <w:rPr>
                <w:szCs w:val="22"/>
              </w:rPr>
              <w:t xml:space="preserve"> (3)</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lastRenderedPageBreak/>
              <w:t>Issues regarding consent when consumer not competent</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2 (0.2)</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5</w:t>
            </w:r>
            <w:r w:rsidR="00EE4608">
              <w:rPr>
                <w:szCs w:val="22"/>
              </w:rPr>
              <w:t xml:space="preserve"> (0.6)</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Issues with involuntary admission/treatment</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36 (4)</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43</w:t>
            </w:r>
            <w:r w:rsidR="00EE4608">
              <w:rPr>
                <w:szCs w:val="22"/>
              </w:rPr>
              <w:t xml:space="preserve"> (5)</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Pr>
                <w:szCs w:val="22"/>
              </w:rPr>
              <w:t>Other</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2</w:t>
            </w:r>
            <w:r w:rsidR="00EE4608">
              <w:rPr>
                <w:szCs w:val="22"/>
              </w:rPr>
              <w:t xml:space="preserve"> (0.2)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Documentation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10 (1)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67</w:t>
            </w:r>
            <w:r w:rsidR="00EE4608">
              <w:rPr>
                <w:b/>
                <w:i/>
                <w:szCs w:val="22"/>
              </w:rPr>
              <w:t xml:space="preserve"> (8)</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Delay/failure to disclose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9</w:t>
            </w:r>
            <w:r w:rsidR="00EE4608">
              <w:rPr>
                <w:szCs w:val="22"/>
              </w:rPr>
              <w:t xml:space="preserve"> (1)</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E96109">
            <w:pPr>
              <w:rPr>
                <w:szCs w:val="22"/>
              </w:rPr>
            </w:pPr>
            <w:r w:rsidRPr="00666BAC">
              <w:rPr>
                <w:szCs w:val="22"/>
              </w:rPr>
              <w:t>Delay/failure to transfer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2</w:t>
            </w:r>
            <w:r w:rsidR="00EE4608">
              <w:rPr>
                <w:szCs w:val="22"/>
              </w:rPr>
              <w:t xml:space="preserve"> (0.2)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D66C86">
            <w:pPr>
              <w:rPr>
                <w:szCs w:val="22"/>
              </w:rPr>
            </w:pPr>
            <w:r w:rsidRPr="00666BAC">
              <w:rPr>
                <w:szCs w:val="22"/>
              </w:rPr>
              <w:t>Inadequate/inaccurate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D66C86">
            <w:pPr>
              <w:jc w:val="center"/>
              <w:rPr>
                <w:szCs w:val="22"/>
              </w:rPr>
            </w:pPr>
            <w:r>
              <w:rPr>
                <w:szCs w:val="22"/>
              </w:rPr>
              <w:t>8 (0.9)</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53</w:t>
            </w:r>
            <w:r w:rsidR="00EE4608">
              <w:rPr>
                <w:szCs w:val="22"/>
              </w:rPr>
              <w:t xml:space="preserve"> (6)</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9D121B">
            <w:pPr>
              <w:jc w:val="left"/>
              <w:rPr>
                <w:szCs w:val="22"/>
              </w:rPr>
            </w:pPr>
            <w:r w:rsidRPr="00666BAC">
              <w:rPr>
                <w:szCs w:val="22"/>
              </w:rPr>
              <w:t>Intentionally misleading/altered documentation</w:t>
            </w:r>
          </w:p>
        </w:tc>
        <w:tc>
          <w:tcPr>
            <w:tcW w:w="1842"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210984">
            <w:pPr>
              <w:jc w:val="center"/>
              <w:rPr>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center"/>
          </w:tcPr>
          <w:p w:rsidR="002A0B5C" w:rsidRPr="00666BAC" w:rsidRDefault="002A0B5C" w:rsidP="00FF473D">
            <w:pPr>
              <w:jc w:val="center"/>
              <w:rPr>
                <w:szCs w:val="22"/>
              </w:rPr>
            </w:pPr>
            <w:r>
              <w:rPr>
                <w:szCs w:val="22"/>
              </w:rPr>
              <w:t>4</w:t>
            </w:r>
            <w:r w:rsidR="00EE4608">
              <w:rPr>
                <w:szCs w:val="22"/>
              </w:rPr>
              <w:t xml:space="preserve"> (0.4)</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Facility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44 (5)</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146</w:t>
            </w:r>
            <w:r w:rsidR="00EE4608">
              <w:rPr>
                <w:b/>
                <w:i/>
                <w:szCs w:val="22"/>
              </w:rPr>
              <w:t xml:space="preserve"> (16)</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Accreditation standards/statutory obligations not met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461611">
            <w:pPr>
              <w:jc w:val="center"/>
              <w:rPr>
                <w:rFonts w:ascii="Calibri" w:hAnsi="Calibri"/>
                <w:color w:val="000000"/>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2</w:t>
            </w:r>
            <w:r w:rsidR="00EE4608">
              <w:rPr>
                <w:rFonts w:ascii="Calibri" w:hAnsi="Calibri"/>
                <w:color w:val="000000"/>
                <w:szCs w:val="22"/>
              </w:rPr>
              <w:t xml:space="preserve"> (0.2)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Cleanliness/hygiene issue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461611">
            <w:pPr>
              <w:jc w:val="center"/>
              <w:rPr>
                <w:rFonts w:ascii="Calibri" w:hAnsi="Calibri"/>
                <w:color w:val="000000"/>
                <w:szCs w:val="22"/>
              </w:rPr>
            </w:pPr>
            <w:r>
              <w:rPr>
                <w:rFonts w:ascii="Calibri" w:hAnsi="Calibri"/>
                <w:color w:val="000000"/>
                <w:szCs w:val="22"/>
              </w:rPr>
              <w:t>2 (0.2)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13</w:t>
            </w:r>
            <w:r w:rsidR="00EE4608">
              <w:rPr>
                <w:rFonts w:ascii="Calibri" w:hAnsi="Calibri"/>
                <w:color w:val="000000"/>
                <w:szCs w:val="22"/>
              </w:rPr>
              <w:t xml:space="preserve"> (1)</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Failure to follow policies/procedures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7</w:t>
            </w:r>
            <w:r w:rsidR="00EE4608">
              <w:rPr>
                <w:rFonts w:ascii="Calibri" w:hAnsi="Calibri"/>
                <w:color w:val="000000"/>
                <w:szCs w:val="22"/>
              </w:rPr>
              <w:t xml:space="preserve"> (0.8)</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General safety issue for consumer in facility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461611">
            <w:pPr>
              <w:jc w:val="center"/>
              <w:rPr>
                <w:rFonts w:ascii="Calibri" w:hAnsi="Calibri"/>
                <w:color w:val="000000"/>
                <w:szCs w:val="22"/>
              </w:rPr>
            </w:pPr>
            <w:r>
              <w:rPr>
                <w:rFonts w:ascii="Calibri" w:hAnsi="Calibri"/>
                <w:color w:val="000000"/>
                <w:szCs w:val="22"/>
              </w:rPr>
              <w:t>25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37</w:t>
            </w:r>
            <w:r w:rsidR="00EE4608">
              <w:rPr>
                <w:rFonts w:ascii="Calibri" w:hAnsi="Calibri"/>
                <w:color w:val="000000"/>
                <w:szCs w:val="22"/>
              </w:rPr>
              <w:t xml:space="preserve"> (4)</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Inadequate/inappropriate policies/procedures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461611">
            <w:pPr>
              <w:jc w:val="center"/>
              <w:rPr>
                <w:rFonts w:ascii="Calibri" w:hAnsi="Calibri"/>
                <w:color w:val="000000"/>
                <w:szCs w:val="22"/>
              </w:rPr>
            </w:pPr>
            <w:r>
              <w:rPr>
                <w:rFonts w:ascii="Calibri" w:hAnsi="Calibri"/>
                <w:color w:val="000000"/>
                <w:szCs w:val="22"/>
              </w:rPr>
              <w:t>4 (0.4)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45</w:t>
            </w:r>
            <w:r w:rsidR="00EE4608">
              <w:rPr>
                <w:rFonts w:ascii="Calibri" w:hAnsi="Calibri"/>
                <w:color w:val="000000"/>
                <w:szCs w:val="22"/>
              </w:rPr>
              <w:t xml:space="preserve"> (5)</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Issue with sharing facility with other consumers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14</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Issue with quality of aids/equipment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19</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Staffing/rostering/other HR issue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4 (0.4)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16</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Waiting times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5 (0.6)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16</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Pr>
                <w:szCs w:val="22"/>
              </w:rPr>
              <w:t>Other issue with physical environment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Default="002A0B5C" w:rsidP="00210984">
            <w:pPr>
              <w:jc w:val="center"/>
              <w:rPr>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EE4608">
            <w:pPr>
              <w:jc w:val="center"/>
              <w:rPr>
                <w:rFonts w:ascii="Calibri" w:hAnsi="Calibri"/>
                <w:color w:val="000000"/>
                <w:szCs w:val="22"/>
              </w:rPr>
            </w:pPr>
            <w:r>
              <w:rPr>
                <w:rFonts w:ascii="Calibri" w:hAnsi="Calibri"/>
                <w:color w:val="000000"/>
                <w:szCs w:val="22"/>
              </w:rPr>
              <w:t>2</w:t>
            </w:r>
            <w:r w:rsidR="00EE4608">
              <w:rPr>
                <w:rFonts w:ascii="Calibri" w:hAnsi="Calibri"/>
                <w:color w:val="000000"/>
                <w:szCs w:val="22"/>
              </w:rPr>
              <w:t xml:space="preserve"> (0.2)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Medication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38 (4)</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89</w:t>
            </w:r>
            <w:r w:rsidR="00EE4608">
              <w:rPr>
                <w:b/>
                <w:i/>
                <w:szCs w:val="22"/>
              </w:rPr>
              <w:t xml:space="preserve"> (10)</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Administration error</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3 (0.3)</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9</w:t>
            </w:r>
            <w:r w:rsidR="00EE4608">
              <w:rPr>
                <w:rFonts w:ascii="Calibri" w:hAnsi="Calibri"/>
                <w:color w:val="000000"/>
                <w:szCs w:val="22"/>
              </w:rPr>
              <w:t xml:space="preserve"> (1)</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Pr>
                <w:szCs w:val="22"/>
              </w:rPr>
              <w:t>Dispensing error</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 (0.1)</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w:t>
            </w:r>
            <w:r w:rsidR="00EE4608">
              <w:rPr>
                <w:rFonts w:ascii="Calibri" w:hAnsi="Calibri"/>
                <w:color w:val="000000"/>
                <w:szCs w:val="22"/>
              </w:rPr>
              <w:t xml:space="preserve"> (0.1)</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Pr>
                <w:szCs w:val="22"/>
              </w:rPr>
              <w:t>Prescribing error</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2 (0.2)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4</w:t>
            </w:r>
            <w:r w:rsidR="00EE4608">
              <w:rPr>
                <w:rFonts w:ascii="Calibri" w:hAnsi="Calibri"/>
                <w:color w:val="000000"/>
                <w:szCs w:val="22"/>
              </w:rPr>
              <w:t xml:space="preserve"> (0.4)</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Inappropriate administration</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5 (0.6)</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14</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Inappropriate prescribing</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19 (2)</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45</w:t>
            </w:r>
            <w:r w:rsidR="00EE4608">
              <w:rPr>
                <w:rFonts w:ascii="Calibri" w:hAnsi="Calibri"/>
                <w:color w:val="000000"/>
                <w:szCs w:val="22"/>
              </w:rPr>
              <w:t xml:space="preserve"> (5)</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sidRPr="00666BAC">
              <w:rPr>
                <w:szCs w:val="22"/>
              </w:rPr>
              <w:t>Refusal to prescribe/dispense/supply</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8 (0.9)</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17</w:t>
            </w:r>
            <w:r w:rsidR="00EE4608">
              <w:rPr>
                <w:rFonts w:ascii="Calibri" w:hAnsi="Calibri"/>
                <w:color w:val="000000"/>
                <w:szCs w:val="22"/>
              </w:rPr>
              <w:t xml:space="preserve"> (2)</w:t>
            </w:r>
          </w:p>
        </w:tc>
      </w:tr>
      <w:tr w:rsidR="002A0B5C" w:rsidRPr="00666BAC" w:rsidTr="00EE4608">
        <w:trPr>
          <w:trHeight w:val="281"/>
        </w:trPr>
        <w:tc>
          <w:tcPr>
            <w:tcW w:w="6096" w:type="dxa"/>
            <w:tcBorders>
              <w:top w:val="single" w:sz="4" w:space="0" w:color="auto"/>
              <w:left w:val="single" w:sz="4" w:space="0" w:color="auto"/>
              <w:bottom w:val="single" w:sz="4" w:space="0" w:color="auto"/>
              <w:right w:val="single" w:sz="4" w:space="0" w:color="auto"/>
            </w:tcBorders>
          </w:tcPr>
          <w:p w:rsidR="002A0B5C" w:rsidRPr="00666BAC" w:rsidRDefault="002A0B5C" w:rsidP="007A553D">
            <w:pPr>
              <w:rPr>
                <w:szCs w:val="22"/>
              </w:rPr>
            </w:pPr>
            <w:r>
              <w:rPr>
                <w:szCs w:val="22"/>
              </w:rPr>
              <w:t>Other</w:t>
            </w:r>
          </w:p>
        </w:tc>
        <w:tc>
          <w:tcPr>
            <w:tcW w:w="1842" w:type="dxa"/>
            <w:tcBorders>
              <w:top w:val="single" w:sz="4" w:space="0" w:color="auto"/>
              <w:left w:val="single" w:sz="4" w:space="0" w:color="auto"/>
              <w:bottom w:val="single" w:sz="4" w:space="0" w:color="auto"/>
              <w:right w:val="single" w:sz="4" w:space="0" w:color="auto"/>
            </w:tcBorders>
            <w:vAlign w:val="bottom"/>
          </w:tcPr>
          <w:p w:rsidR="002A0B5C" w:rsidRDefault="002A0B5C" w:rsidP="00461611">
            <w:pPr>
              <w:jc w:val="center"/>
              <w:rPr>
                <w:rFonts w:ascii="Calibri" w:hAnsi="Calibri"/>
                <w:color w:val="000000"/>
                <w:szCs w:val="22"/>
              </w:rPr>
            </w:pPr>
            <w:r>
              <w:rPr>
                <w:rFonts w:ascii="Calibri" w:hAnsi="Calibri"/>
                <w:color w:val="000000"/>
                <w:szCs w:val="22"/>
              </w:rPr>
              <w:t>0</w:t>
            </w:r>
          </w:p>
        </w:tc>
        <w:tc>
          <w:tcPr>
            <w:tcW w:w="1843" w:type="dxa"/>
            <w:tcBorders>
              <w:top w:val="single" w:sz="4" w:space="0" w:color="auto"/>
              <w:left w:val="single" w:sz="4" w:space="0" w:color="auto"/>
              <w:bottom w:val="single" w:sz="4" w:space="0" w:color="auto"/>
              <w:right w:val="single" w:sz="4" w:space="0" w:color="auto"/>
            </w:tcBorders>
            <w:vAlign w:val="bottom"/>
          </w:tcPr>
          <w:p w:rsidR="002A0B5C" w:rsidRDefault="002A0B5C" w:rsidP="00EE4608">
            <w:pPr>
              <w:jc w:val="center"/>
              <w:rPr>
                <w:rFonts w:ascii="Calibri" w:hAnsi="Calibri"/>
                <w:color w:val="000000"/>
                <w:szCs w:val="22"/>
              </w:rPr>
            </w:pPr>
            <w:r>
              <w:rPr>
                <w:rFonts w:ascii="Calibri" w:hAnsi="Calibri"/>
                <w:color w:val="000000"/>
                <w:szCs w:val="22"/>
              </w:rPr>
              <w:t>2</w:t>
            </w:r>
            <w:r w:rsidR="00EE4608">
              <w:rPr>
                <w:rFonts w:ascii="Calibri" w:hAnsi="Calibri"/>
                <w:color w:val="000000"/>
                <w:szCs w:val="22"/>
              </w:rPr>
              <w:t xml:space="preserve"> (0.2)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Reports/Certificates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6 (0.7)</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16</w:t>
            </w:r>
            <w:r w:rsidR="00EE4608">
              <w:rPr>
                <w:b/>
                <w:i/>
                <w:szCs w:val="22"/>
              </w:rPr>
              <w:t xml:space="preserve"> (2)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2A0B5C" w:rsidRPr="00666BAC" w:rsidRDefault="002A0B5C" w:rsidP="007A553D">
            <w:pPr>
              <w:rPr>
                <w:szCs w:val="22"/>
              </w:rPr>
            </w:pPr>
            <w:r w:rsidRPr="00666BAC">
              <w:rPr>
                <w:szCs w:val="22"/>
              </w:rPr>
              <w:t>Inaccurate report/certificate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B5C" w:rsidRPr="00666BAC" w:rsidRDefault="002A0B5C" w:rsidP="00210984">
            <w:pPr>
              <w:jc w:val="center"/>
              <w:rPr>
                <w:szCs w:val="22"/>
              </w:rPr>
            </w:pPr>
            <w:r>
              <w:rPr>
                <w:szCs w:val="22"/>
              </w:rPr>
              <w:t>6 (0.7)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B5C" w:rsidRPr="00666BAC" w:rsidRDefault="002A0B5C" w:rsidP="00FF473D">
            <w:pPr>
              <w:jc w:val="center"/>
              <w:rPr>
                <w:szCs w:val="22"/>
              </w:rPr>
            </w:pPr>
            <w:r>
              <w:rPr>
                <w:szCs w:val="22"/>
              </w:rPr>
              <w:t>11</w:t>
            </w:r>
            <w:r w:rsidR="00EE4608">
              <w:rPr>
                <w:szCs w:val="22"/>
              </w:rPr>
              <w:t xml:space="preserve"> (1)</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2A0B5C" w:rsidRPr="00666BAC" w:rsidRDefault="002A0B5C" w:rsidP="007A553D">
            <w:pPr>
              <w:rPr>
                <w:szCs w:val="22"/>
              </w:rPr>
            </w:pPr>
            <w:r>
              <w:rPr>
                <w:szCs w:val="22"/>
              </w:rPr>
              <w:t>Refusal to complete report/certificate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B5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B5C" w:rsidRPr="00666BAC" w:rsidRDefault="002A0B5C" w:rsidP="00FF473D">
            <w:pPr>
              <w:jc w:val="center"/>
              <w:rPr>
                <w:szCs w:val="22"/>
              </w:rPr>
            </w:pPr>
            <w:r>
              <w:rPr>
                <w:szCs w:val="22"/>
              </w:rPr>
              <w:t>5</w:t>
            </w:r>
            <w:r w:rsidR="00EE4608">
              <w:rPr>
                <w:szCs w:val="22"/>
              </w:rPr>
              <w:t xml:space="preserve"> (0.6)</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Training/supervision</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20</w:t>
            </w:r>
            <w:r w:rsidR="00EE4608">
              <w:rPr>
                <w:b/>
                <w:i/>
                <w:szCs w:val="22"/>
              </w:rPr>
              <w:t xml:space="preserve"> (2)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7A553D">
            <w:pPr>
              <w:rPr>
                <w:szCs w:val="22"/>
              </w:rPr>
            </w:pPr>
            <w:r w:rsidRPr="00666BAC">
              <w:rPr>
                <w:szCs w:val="22"/>
              </w:rPr>
              <w:t>Inadequate supervision/oversight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20</w:t>
            </w:r>
            <w:r w:rsidR="00EE4608">
              <w:rPr>
                <w:szCs w:val="22"/>
              </w:rPr>
              <w:t xml:space="preserve"> (2)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Other professional conduct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21 (2)</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49</w:t>
            </w:r>
            <w:r w:rsidR="00EE4608">
              <w:rPr>
                <w:b/>
                <w:i/>
                <w:szCs w:val="22"/>
              </w:rPr>
              <w:t xml:space="preserve"> (6)</w:t>
            </w:r>
          </w:p>
        </w:tc>
      </w:tr>
      <w:tr w:rsidR="002A0B5C" w:rsidRPr="00666BAC" w:rsidTr="00461611">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DF5089">
            <w:pPr>
              <w:jc w:val="left"/>
              <w:rPr>
                <w:szCs w:val="22"/>
              </w:rPr>
            </w:pPr>
            <w:r w:rsidRPr="00666BAC">
              <w:rPr>
                <w:szCs w:val="22"/>
              </w:rPr>
              <w:t>Disrespectful behaviour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A0B5C" w:rsidRDefault="002A0B5C" w:rsidP="00461611">
            <w:pPr>
              <w:jc w:val="center"/>
              <w:rPr>
                <w:rFonts w:ascii="Calibri" w:hAnsi="Calibri"/>
                <w:color w:val="000000"/>
                <w:szCs w:val="22"/>
              </w:rPr>
            </w:pPr>
            <w:r>
              <w:rPr>
                <w:rFonts w:ascii="Calibri" w:hAnsi="Calibri"/>
                <w:color w:val="000000"/>
                <w:szCs w:val="22"/>
              </w:rPr>
              <w:t>8 (0.9)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21</w:t>
            </w:r>
            <w:r w:rsidR="00EE4608">
              <w:rPr>
                <w:szCs w:val="22"/>
              </w:rPr>
              <w:t xml:space="preserve"> (2)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DF5089">
            <w:pPr>
              <w:jc w:val="left"/>
              <w:rPr>
                <w:szCs w:val="22"/>
              </w:rPr>
            </w:pPr>
            <w:r w:rsidRPr="00666BAC">
              <w:rPr>
                <w:szCs w:val="22"/>
              </w:rPr>
              <w:t>Inappropriate collection/use/disclosure of information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11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21</w:t>
            </w:r>
            <w:r w:rsidR="00EE4608">
              <w:rPr>
                <w:szCs w:val="22"/>
              </w:rPr>
              <w:t xml:space="preserve"> (2)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DF5089">
            <w:pPr>
              <w:jc w:val="left"/>
              <w:rPr>
                <w:szCs w:val="22"/>
              </w:rPr>
            </w:pPr>
            <w:r w:rsidRPr="00666BAC">
              <w:rPr>
                <w:szCs w:val="22"/>
              </w:rPr>
              <w:t>Threatening/bullying/harassing behaviour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5</w:t>
            </w:r>
            <w:r w:rsidR="00EE4608">
              <w:rPr>
                <w:szCs w:val="22"/>
              </w:rPr>
              <w:t xml:space="preserve"> (0.6)</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2A0B5C" w:rsidRPr="00666BAC" w:rsidRDefault="002A0B5C" w:rsidP="00DF5089">
            <w:pPr>
              <w:jc w:val="left"/>
              <w:rPr>
                <w:szCs w:val="22"/>
              </w:rPr>
            </w:pPr>
            <w:r w:rsidRPr="00666BAC">
              <w:rPr>
                <w:szCs w:val="22"/>
              </w:rPr>
              <w:t>Other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210984">
            <w:pPr>
              <w:jc w:val="center"/>
              <w:rPr>
                <w:szCs w:val="22"/>
              </w:rPr>
            </w:pPr>
            <w:r>
              <w:rPr>
                <w:rFonts w:ascii="Calibri" w:hAnsi="Calibri"/>
                <w:color w:val="000000"/>
                <w:szCs w:val="22"/>
              </w:rPr>
              <w:t>2 (0.1)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B5C" w:rsidRPr="00666BAC" w:rsidRDefault="002A0B5C" w:rsidP="00FF473D">
            <w:pPr>
              <w:jc w:val="center"/>
              <w:rPr>
                <w:szCs w:val="22"/>
              </w:rPr>
            </w:pPr>
            <w:r>
              <w:rPr>
                <w:szCs w:val="22"/>
              </w:rPr>
              <w:t>7</w:t>
            </w:r>
            <w:r w:rsidR="00EE4608">
              <w:rPr>
                <w:szCs w:val="22"/>
              </w:rPr>
              <w:t xml:space="preserve"> (0.8)</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Disability-specific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DE4F7D" w:rsidRDefault="002A0B5C" w:rsidP="00210984">
            <w:pPr>
              <w:jc w:val="center"/>
              <w:rPr>
                <w:b/>
                <w:i/>
                <w:szCs w:val="22"/>
              </w:rPr>
            </w:pPr>
            <w:r>
              <w:rPr>
                <w:b/>
                <w:i/>
                <w:szCs w:val="22"/>
              </w:rPr>
              <w:t>7 (0.8)</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16</w:t>
            </w:r>
            <w:r w:rsidR="00EE4608">
              <w:rPr>
                <w:b/>
                <w:i/>
                <w:szCs w:val="22"/>
              </w:rPr>
              <w:t xml:space="preserve"> (2)</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Other issues</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1 (0.1)</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r>
              <w:rPr>
                <w:b/>
                <w:i/>
                <w:szCs w:val="22"/>
              </w:rPr>
              <w:t>20</w:t>
            </w:r>
          </w:p>
        </w:tc>
      </w:tr>
      <w:tr w:rsidR="002A0B5C" w:rsidRPr="00666BAC" w:rsidTr="00D10020">
        <w:trPr>
          <w:trHeight w:val="281"/>
        </w:trPr>
        <w:tc>
          <w:tcPr>
            <w:tcW w:w="6096" w:type="dxa"/>
            <w:tcBorders>
              <w:top w:val="single" w:sz="4" w:space="0" w:color="auto"/>
              <w:left w:val="single" w:sz="4" w:space="0" w:color="auto"/>
              <w:bottom w:val="single" w:sz="4" w:space="0" w:color="auto"/>
              <w:right w:val="single" w:sz="4" w:space="0" w:color="auto"/>
            </w:tcBorders>
            <w:shd w:val="clear" w:color="auto" w:fill="C00000"/>
          </w:tcPr>
          <w:p w:rsidR="002A0B5C" w:rsidRPr="00666BAC" w:rsidRDefault="002A0B5C" w:rsidP="007A553D">
            <w:pPr>
              <w:rPr>
                <w:b/>
                <w:i/>
                <w:szCs w:val="22"/>
              </w:rPr>
            </w:pPr>
            <w:r w:rsidRPr="00666BAC">
              <w:rPr>
                <w:b/>
                <w:i/>
                <w:szCs w:val="22"/>
              </w:rPr>
              <w:t>TOTAL</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210984">
            <w:pPr>
              <w:jc w:val="center"/>
              <w:rPr>
                <w:b/>
                <w:i/>
                <w:szCs w:val="22"/>
              </w:rPr>
            </w:pPr>
            <w:r>
              <w:rPr>
                <w:b/>
                <w:i/>
                <w:szCs w:val="22"/>
              </w:rPr>
              <w:t>889</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tcPr>
          <w:p w:rsidR="002A0B5C" w:rsidRPr="00666BAC" w:rsidRDefault="002A0B5C" w:rsidP="00FF473D">
            <w:pPr>
              <w:jc w:val="center"/>
              <w:rPr>
                <w:b/>
                <w:i/>
                <w:szCs w:val="22"/>
              </w:rPr>
            </w:pPr>
          </w:p>
        </w:tc>
      </w:tr>
    </w:tbl>
    <w:p w:rsidR="00397B31" w:rsidRDefault="00397B31" w:rsidP="00705DA5"/>
    <w:p w:rsidR="00397B31" w:rsidRDefault="00397B31" w:rsidP="00705DA5"/>
    <w:p w:rsidR="00397B31" w:rsidRDefault="00397B31" w:rsidP="00705DA5"/>
    <w:p w:rsidR="00397B31" w:rsidRDefault="00397B31" w:rsidP="00705DA5"/>
    <w:p w:rsidR="00397B31" w:rsidRDefault="00397B31" w:rsidP="00705DA5"/>
    <w:p w:rsidR="00705DA5" w:rsidRPr="00666BAC" w:rsidRDefault="00397B31" w:rsidP="00705DA5">
      <w:r>
        <w:lastRenderedPageBreak/>
        <w:t>Figure 4 details the twelve</w:t>
      </w:r>
      <w:r w:rsidR="00705DA5" w:rsidRPr="00666BAC">
        <w:t xml:space="preserve"> most common complaint issues raised in complaints</w:t>
      </w:r>
      <w:r w:rsidR="00FF475B" w:rsidRPr="00666BAC">
        <w:t xml:space="preserve"> </w:t>
      </w:r>
      <w:r>
        <w:t>about DHBs received in the 2017/18</w:t>
      </w:r>
      <w:r w:rsidR="0078386C">
        <w:t xml:space="preserve"> year.</w:t>
      </w:r>
      <w:r w:rsidR="00705DA5" w:rsidRPr="00666BAC">
        <w:t xml:space="preserve"> The </w:t>
      </w:r>
      <w:r w:rsidR="00D10020" w:rsidRPr="00666BAC">
        <w:t>blue</w:t>
      </w:r>
      <w:r w:rsidR="00705DA5" w:rsidRPr="00666BAC">
        <w:t xml:space="preserve"> bars show the percentage of cases in which the particular complaint issue was identified as the primary issue, while the red bars show the percentage of cases in which the particular com</w:t>
      </w:r>
      <w:r w:rsidR="0078386C">
        <w:t>plaint issue was raised at all.</w:t>
      </w:r>
      <w:r w:rsidR="00705DA5" w:rsidRPr="00666BAC">
        <w:t xml:space="preserve"> As can be seen from the large difference in the size of the </w:t>
      </w:r>
      <w:r w:rsidR="00D10020" w:rsidRPr="00666BAC">
        <w:t>blue and red</w:t>
      </w:r>
      <w:r w:rsidR="00705DA5" w:rsidRPr="00666BAC">
        <w:t xml:space="preserve"> bars, communication-related complaint issues (disrespectful manner/attitude, and failure to communicate effectively with family or consumer)</w:t>
      </w:r>
      <w:r w:rsidR="00BD1DF7">
        <w:t>, inadequate/inappropriate examination/assessment, delay in treatment</w:t>
      </w:r>
      <w:r w:rsidR="00F72D35">
        <w:t>,</w:t>
      </w:r>
      <w:r w:rsidR="004274F1" w:rsidRPr="00666BAC">
        <w:t xml:space="preserve"> inadequate </w:t>
      </w:r>
      <w:r w:rsidR="00FF475B" w:rsidRPr="00666BAC">
        <w:t>coordination of care/treatment</w:t>
      </w:r>
      <w:r w:rsidR="00F72D35">
        <w:t>,</w:t>
      </w:r>
      <w:r>
        <w:t xml:space="preserve"> and inadequate response to complaint</w:t>
      </w:r>
      <w:r w:rsidR="00FF475B" w:rsidRPr="00666BAC">
        <w:t xml:space="preserve"> </w:t>
      </w:r>
      <w:r w:rsidR="00705DA5" w:rsidRPr="00666BAC">
        <w:t>are present in a significant number of complaints, but are not often the primary issue raised.</w:t>
      </w:r>
    </w:p>
    <w:p w:rsidR="00705DA5" w:rsidRPr="00666BAC" w:rsidRDefault="00705DA5" w:rsidP="00705DA5"/>
    <w:p w:rsidR="00705DA5" w:rsidRPr="00666BAC" w:rsidRDefault="00705DA5" w:rsidP="00705DA5">
      <w:pPr>
        <w:spacing w:after="120"/>
      </w:pPr>
      <w:r w:rsidRPr="00666BAC">
        <w:rPr>
          <w:b/>
        </w:rPr>
        <w:t xml:space="preserve">Figure 4. </w:t>
      </w:r>
      <w:r w:rsidRPr="00666BAC">
        <w:t>Most common primary and all issues in complaints received</w:t>
      </w:r>
    </w:p>
    <w:p w:rsidR="00705DA5" w:rsidRPr="00666BAC" w:rsidRDefault="00397B31" w:rsidP="00705DA5">
      <w:pPr>
        <w:jc w:val="center"/>
        <w:rPr>
          <w:b/>
          <w:szCs w:val="22"/>
        </w:rPr>
      </w:pPr>
      <w:r>
        <w:rPr>
          <w:noProof/>
          <w:lang w:eastAsia="en-NZ" w:bidi="ar-SA"/>
        </w:rPr>
        <w:drawing>
          <wp:inline distT="0" distB="0" distL="0" distR="0" wp14:anchorId="7D136478" wp14:editId="6C02503E">
            <wp:extent cx="6143105" cy="5478087"/>
            <wp:effectExtent l="0" t="0" r="1016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5DA5" w:rsidRPr="00666BAC" w:rsidRDefault="00705DA5" w:rsidP="00705DA5">
      <w:pPr>
        <w:spacing w:before="120" w:after="120"/>
        <w:rPr>
          <w:b/>
          <w:vanish/>
          <w:szCs w:val="22"/>
        </w:rPr>
      </w:pPr>
    </w:p>
    <w:tbl>
      <w:tblPr>
        <w:tblStyle w:val="TableGrid"/>
        <w:tblW w:w="0" w:type="auto"/>
        <w:tblLook w:val="04A0" w:firstRow="1" w:lastRow="0" w:firstColumn="1" w:lastColumn="0" w:noHBand="0" w:noVBand="1"/>
      </w:tblPr>
      <w:tblGrid>
        <w:gridCol w:w="9298"/>
      </w:tblGrid>
      <w:tr w:rsidR="00705DA5" w:rsidRPr="00666BAC" w:rsidTr="00705DA5">
        <w:trPr>
          <w:hidden/>
        </w:trPr>
        <w:tc>
          <w:tcPr>
            <w:tcW w:w="9298" w:type="dxa"/>
          </w:tcPr>
          <w:p w:rsidR="00705DA5" w:rsidRPr="00666BAC" w:rsidRDefault="00705DA5" w:rsidP="00705DA5">
            <w:pPr>
              <w:spacing w:before="120" w:after="120"/>
              <w:rPr>
                <w:b/>
                <w:vanish/>
                <w:sz w:val="28"/>
                <w:szCs w:val="28"/>
              </w:rPr>
            </w:pPr>
            <w:r w:rsidRPr="00666BAC">
              <w:rPr>
                <w:b/>
                <w:vanish/>
                <w:sz w:val="28"/>
                <w:szCs w:val="28"/>
              </w:rPr>
              <w:t>What does this tell us?</w:t>
            </w:r>
          </w:p>
          <w:p w:rsidR="00705DA5" w:rsidRPr="00666BAC" w:rsidRDefault="00705DA5" w:rsidP="00705DA5">
            <w:pPr>
              <w:spacing w:before="120" w:after="120"/>
              <w:rPr>
                <w:vanish/>
                <w:szCs w:val="22"/>
              </w:rPr>
            </w:pPr>
          </w:p>
        </w:tc>
      </w:tr>
    </w:tbl>
    <w:p w:rsidR="004B127E" w:rsidRPr="00666BAC" w:rsidRDefault="004B127E" w:rsidP="00705DA5"/>
    <w:p w:rsidR="004B127E" w:rsidRPr="00666BAC" w:rsidRDefault="004B127E"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p w:rsidR="00D10020" w:rsidRPr="00666BAC" w:rsidRDefault="00D10020" w:rsidP="00705DA5"/>
    <w:tbl>
      <w:tblPr>
        <w:tblStyle w:val="TableGrid"/>
        <w:tblW w:w="0" w:type="auto"/>
        <w:tblLook w:val="04A0" w:firstRow="1" w:lastRow="0" w:firstColumn="1" w:lastColumn="0" w:noHBand="0" w:noVBand="1"/>
      </w:tblPr>
      <w:tblGrid>
        <w:gridCol w:w="9298"/>
      </w:tblGrid>
      <w:tr w:rsidR="00705DA5" w:rsidRPr="00666BAC" w:rsidTr="00705DA5">
        <w:trPr>
          <w:hidden/>
        </w:trPr>
        <w:tc>
          <w:tcPr>
            <w:tcW w:w="9298" w:type="dxa"/>
            <w:tcBorders>
              <w:bottom w:val="single" w:sz="24" w:space="0" w:color="C00000"/>
            </w:tcBorders>
          </w:tcPr>
          <w:p w:rsidR="00705DA5" w:rsidRPr="00666BAC" w:rsidRDefault="00705DA5" w:rsidP="00705DA5">
            <w:pPr>
              <w:spacing w:before="120" w:after="120"/>
              <w:rPr>
                <w:b/>
                <w:vanish/>
                <w:sz w:val="28"/>
                <w:szCs w:val="28"/>
              </w:rPr>
            </w:pPr>
            <w:r w:rsidRPr="00666BAC">
              <w:rPr>
                <w:b/>
                <w:vanish/>
                <w:sz w:val="28"/>
                <w:szCs w:val="28"/>
              </w:rPr>
              <w:t>Disrespectful manner/attitude case example</w:t>
            </w:r>
          </w:p>
          <w:p w:rsidR="00705DA5" w:rsidRPr="00666BAC" w:rsidRDefault="00705DA5" w:rsidP="00705DA5">
            <w:pPr>
              <w:spacing w:before="120" w:after="120"/>
              <w:rPr>
                <w:vanish/>
                <w:szCs w:val="22"/>
              </w:rPr>
            </w:pPr>
          </w:p>
          <w:p w:rsidR="00705DA5" w:rsidRPr="00666BAC" w:rsidRDefault="00705DA5" w:rsidP="00705DA5">
            <w:pPr>
              <w:spacing w:before="120" w:after="120"/>
              <w:rPr>
                <w:vanish/>
                <w:szCs w:val="22"/>
              </w:rPr>
            </w:pPr>
          </w:p>
        </w:tc>
      </w:tr>
      <w:tr w:rsidR="00705DA5" w:rsidRPr="00666BAC" w:rsidTr="00705DA5">
        <w:tc>
          <w:tcPr>
            <w:tcW w:w="9298" w:type="dxa"/>
            <w:tcBorders>
              <w:top w:val="single" w:sz="24" w:space="0" w:color="C00000"/>
              <w:left w:val="single" w:sz="24" w:space="0" w:color="C00000"/>
              <w:bottom w:val="single" w:sz="24" w:space="0" w:color="C00000"/>
              <w:right w:val="single" w:sz="24" w:space="0" w:color="C00000"/>
            </w:tcBorders>
          </w:tcPr>
          <w:p w:rsidR="0083180A" w:rsidRDefault="0083180A" w:rsidP="0083180A">
            <w:pPr>
              <w:tabs>
                <w:tab w:val="left" w:pos="1440"/>
                <w:tab w:val="left" w:pos="2610"/>
              </w:tabs>
              <w:spacing w:before="120"/>
              <w:jc w:val="center"/>
              <w:outlineLvl w:val="0"/>
              <w:rPr>
                <w:b/>
                <w:szCs w:val="22"/>
              </w:rPr>
            </w:pPr>
            <w:r w:rsidRPr="00666BAC">
              <w:rPr>
                <w:b/>
                <w:sz w:val="28"/>
                <w:szCs w:val="28"/>
              </w:rPr>
              <w:lastRenderedPageBreak/>
              <w:t xml:space="preserve">Case study: </w:t>
            </w:r>
            <w:r w:rsidR="009A672F">
              <w:rPr>
                <w:b/>
                <w:sz w:val="28"/>
                <w:szCs w:val="28"/>
              </w:rPr>
              <w:t>Delay in treatment</w:t>
            </w:r>
            <w:r w:rsidR="0065108F">
              <w:rPr>
                <w:b/>
                <w:sz w:val="28"/>
                <w:szCs w:val="28"/>
              </w:rPr>
              <w:t xml:space="preserve"> </w:t>
            </w:r>
            <w:r w:rsidR="0065108F" w:rsidRPr="009E7525">
              <w:rPr>
                <w:b/>
                <w:szCs w:val="22"/>
              </w:rPr>
              <w:t>(16HDC00761</w:t>
            </w:r>
            <w:r w:rsidR="00220B2D" w:rsidRPr="009E7525">
              <w:rPr>
                <w:b/>
                <w:szCs w:val="22"/>
              </w:rPr>
              <w:t>)</w:t>
            </w:r>
          </w:p>
          <w:p w:rsidR="009E7525" w:rsidRDefault="009E7525" w:rsidP="00BC6E86">
            <w:pPr>
              <w:tabs>
                <w:tab w:val="left" w:pos="1440"/>
                <w:tab w:val="left" w:pos="2610"/>
              </w:tabs>
              <w:spacing w:before="120" w:after="120"/>
              <w:jc w:val="center"/>
              <w:outlineLvl w:val="0"/>
              <w:rPr>
                <w:b/>
                <w:szCs w:val="22"/>
              </w:rPr>
            </w:pPr>
            <w:r>
              <w:rPr>
                <w:b/>
                <w:szCs w:val="22"/>
              </w:rPr>
              <w:t>Delay in neurology review</w:t>
            </w:r>
          </w:p>
          <w:p w:rsidR="009A672F" w:rsidRPr="001A7030" w:rsidRDefault="009A672F" w:rsidP="009A672F">
            <w:pPr>
              <w:spacing w:after="240"/>
              <w:rPr>
                <w:szCs w:val="22"/>
              </w:rPr>
            </w:pPr>
            <w:r w:rsidRPr="001A7030">
              <w:rPr>
                <w:szCs w:val="22"/>
              </w:rPr>
              <w:t>A 62-year-old man presented to an emergency department with sudden onset of left-sided weakness and twitching, and reported a week-long history of diz</w:t>
            </w:r>
            <w:r w:rsidR="00F01AA6">
              <w:rPr>
                <w:szCs w:val="22"/>
              </w:rPr>
              <w:t xml:space="preserve">ziness upon standing. A CT scan </w:t>
            </w:r>
            <w:r w:rsidRPr="001A7030">
              <w:rPr>
                <w:szCs w:val="22"/>
              </w:rPr>
              <w:t xml:space="preserve">report recommended a neurological opinion. </w:t>
            </w:r>
          </w:p>
          <w:p w:rsidR="009A672F" w:rsidRPr="001A7030" w:rsidRDefault="009A672F" w:rsidP="009A672F">
            <w:pPr>
              <w:spacing w:after="240"/>
              <w:rPr>
                <w:szCs w:val="22"/>
              </w:rPr>
            </w:pPr>
            <w:r w:rsidRPr="001A7030">
              <w:rPr>
                <w:szCs w:val="22"/>
              </w:rPr>
              <w:t xml:space="preserve">The man was admitted to the general medicine ward </w:t>
            </w:r>
            <w:r w:rsidR="00F72D35" w:rsidRPr="001A7030">
              <w:rPr>
                <w:szCs w:val="22"/>
              </w:rPr>
              <w:t xml:space="preserve">the same day </w:t>
            </w:r>
            <w:r w:rsidRPr="001A7030">
              <w:rPr>
                <w:szCs w:val="22"/>
              </w:rPr>
              <w:t>with a working diagnosis of an ischaemic stroke. The admitting medical registrar completed a handwritten neurology referral but it was erroneously sent using the proc</w:t>
            </w:r>
            <w:r>
              <w:rPr>
                <w:szCs w:val="22"/>
              </w:rPr>
              <w:t>ess for outpatient referrals.  T</w:t>
            </w:r>
            <w:r w:rsidRPr="001A7030">
              <w:rPr>
                <w:szCs w:val="22"/>
              </w:rPr>
              <w:t>here was nothing on the form to indicate that it was intended to be an inpatient referral. As a result, the referr</w:t>
            </w:r>
            <w:r>
              <w:rPr>
                <w:szCs w:val="22"/>
              </w:rPr>
              <w:t>al was not triaged until three</w:t>
            </w:r>
            <w:r w:rsidRPr="001A7030">
              <w:rPr>
                <w:szCs w:val="22"/>
              </w:rPr>
              <w:t xml:space="preserve"> days later. </w:t>
            </w:r>
          </w:p>
          <w:p w:rsidR="009A672F" w:rsidRPr="001A7030" w:rsidRDefault="009A672F" w:rsidP="009A672F">
            <w:pPr>
              <w:spacing w:after="240"/>
              <w:rPr>
                <w:szCs w:val="22"/>
              </w:rPr>
            </w:pPr>
            <w:r w:rsidRPr="001A7030">
              <w:rPr>
                <w:szCs w:val="22"/>
              </w:rPr>
              <w:t xml:space="preserve">The man was noted to have left arm tremors, which progressed to intermittent twitching of the left leg. The consultant general physician maintained the working diagnosis of ischaemic stroke when he reviewed the man in the morning of the following day. Nursing notes throughout that day refer to twitching and “on and off restlessness” in the man’s left leg. On the third day of admission, another medical registrar queried in the notes whether the man’s ongoing left-sided weakness was caused by seizures. This possibility was raised again during the physiotherapy and occupational therapy review in the afternoon, but the matter was not escalated to the consultant general physician. </w:t>
            </w:r>
          </w:p>
          <w:p w:rsidR="009A672F" w:rsidRPr="001A7030" w:rsidRDefault="009A672F" w:rsidP="009A672F">
            <w:pPr>
              <w:spacing w:after="240"/>
              <w:rPr>
                <w:szCs w:val="22"/>
              </w:rPr>
            </w:pPr>
            <w:r w:rsidRPr="001A7030">
              <w:rPr>
                <w:szCs w:val="22"/>
              </w:rPr>
              <w:t xml:space="preserve">On the fourth day of admission, the medical registrar from the previous day noted that the man had yet to be been seen by a neurologist, and made active enquiries about the referral. As a result of these enquiries, the man was reviewed by the visiting neurologist, who diagnosed focal status epilepticus. The man was commenced on intravenous anti-seizure medication, and his involuntary movements improved. He was later transferred to another hospital, where he received further treatment. </w:t>
            </w:r>
          </w:p>
          <w:p w:rsidR="009A672F" w:rsidRPr="009A672F" w:rsidRDefault="009A672F" w:rsidP="009A672F">
            <w:pPr>
              <w:spacing w:after="120"/>
              <w:rPr>
                <w:szCs w:val="22"/>
                <w:u w:val="single"/>
              </w:rPr>
            </w:pPr>
            <w:r w:rsidRPr="009A672F">
              <w:rPr>
                <w:szCs w:val="22"/>
                <w:u w:val="single"/>
              </w:rPr>
              <w:t>Findings</w:t>
            </w:r>
          </w:p>
          <w:p w:rsidR="009A672F" w:rsidRPr="001A7030" w:rsidRDefault="001A6F7E" w:rsidP="009A672F">
            <w:pPr>
              <w:spacing w:after="240"/>
              <w:rPr>
                <w:szCs w:val="22"/>
              </w:rPr>
            </w:pPr>
            <w:r>
              <w:rPr>
                <w:szCs w:val="22"/>
              </w:rPr>
              <w:t>The Commissioner considered that t</w:t>
            </w:r>
            <w:r w:rsidR="009A672F" w:rsidRPr="001A7030">
              <w:rPr>
                <w:szCs w:val="22"/>
              </w:rPr>
              <w:t xml:space="preserve">here were deficiencies in the care provided, which constituted a pattern of poor care on a service level, for which the DHB was ultimately responsible: </w:t>
            </w:r>
          </w:p>
          <w:p w:rsidR="009A672F" w:rsidRPr="001A7030" w:rsidRDefault="009A672F" w:rsidP="001916DC">
            <w:pPr>
              <w:pStyle w:val="ListParagraph"/>
              <w:numPr>
                <w:ilvl w:val="0"/>
                <w:numId w:val="8"/>
              </w:numPr>
              <w:spacing w:after="240"/>
              <w:ind w:left="426" w:hanging="426"/>
              <w:contextualSpacing/>
              <w:rPr>
                <w:szCs w:val="22"/>
              </w:rPr>
            </w:pPr>
            <w:r w:rsidRPr="001A7030">
              <w:rPr>
                <w:szCs w:val="22"/>
              </w:rPr>
              <w:t>The admitting medical registrar did not make an acute referral to the neurology service following the abnormal CT scan result.</w:t>
            </w:r>
          </w:p>
          <w:p w:rsidR="009A672F" w:rsidRPr="001A7030" w:rsidRDefault="009A672F" w:rsidP="001916DC">
            <w:pPr>
              <w:pStyle w:val="ListParagraph"/>
              <w:numPr>
                <w:ilvl w:val="0"/>
                <w:numId w:val="8"/>
              </w:numPr>
              <w:spacing w:after="240"/>
              <w:ind w:left="426" w:hanging="426"/>
              <w:contextualSpacing/>
              <w:rPr>
                <w:szCs w:val="22"/>
              </w:rPr>
            </w:pPr>
            <w:r w:rsidRPr="001A7030">
              <w:rPr>
                <w:szCs w:val="22"/>
              </w:rPr>
              <w:t>The admitting medical registrar’s non-urgent referral was erroneously sent to the outpatient clinic.</w:t>
            </w:r>
          </w:p>
          <w:p w:rsidR="009A672F" w:rsidRPr="001A7030" w:rsidRDefault="009A672F" w:rsidP="001916DC">
            <w:pPr>
              <w:pStyle w:val="ListParagraph"/>
              <w:numPr>
                <w:ilvl w:val="0"/>
                <w:numId w:val="8"/>
              </w:numPr>
              <w:spacing w:after="240"/>
              <w:ind w:left="426" w:hanging="426"/>
              <w:contextualSpacing/>
              <w:rPr>
                <w:szCs w:val="22"/>
              </w:rPr>
            </w:pPr>
            <w:r w:rsidRPr="001A7030">
              <w:rPr>
                <w:szCs w:val="22"/>
              </w:rPr>
              <w:t>The consultant general physician did not discuss the CT report with the neurology service on his ward round the day after admission, when the man had been experiencing ongoing involuntary twitching.</w:t>
            </w:r>
          </w:p>
          <w:p w:rsidR="009A672F" w:rsidRPr="001A7030" w:rsidRDefault="009A672F" w:rsidP="001916DC">
            <w:pPr>
              <w:pStyle w:val="ListParagraph"/>
              <w:numPr>
                <w:ilvl w:val="0"/>
                <w:numId w:val="8"/>
              </w:numPr>
              <w:spacing w:after="240"/>
              <w:ind w:left="426" w:hanging="426"/>
              <w:contextualSpacing/>
              <w:rPr>
                <w:szCs w:val="22"/>
              </w:rPr>
            </w:pPr>
            <w:r w:rsidRPr="001A7030">
              <w:rPr>
                <w:szCs w:val="22"/>
              </w:rPr>
              <w:t xml:space="preserve">Junior staff did not escalate concerns about the man’s ongoing involuntary movements, and the consultant general physician did not enquire. </w:t>
            </w:r>
          </w:p>
          <w:p w:rsidR="009A672F" w:rsidRPr="001A7030" w:rsidRDefault="009A672F" w:rsidP="009A672F">
            <w:pPr>
              <w:spacing w:after="240"/>
              <w:rPr>
                <w:szCs w:val="22"/>
              </w:rPr>
            </w:pPr>
            <w:r w:rsidRPr="001A7030">
              <w:rPr>
                <w:szCs w:val="22"/>
              </w:rPr>
              <w:t>The Commissioner was most concerned by the lapses in communication within the general medicine team and the lack of safeguards in place to identify errors in the neurology referral process. These factors hindered the coordination of the man’s care within the team and across specialities, and contributed to the delay in him receiving the neurological review he required. For the above reasons, the Commissioner considered that the DHB failed to provide services with reasonable care and skill to the man, in breach of Right 4(1) of the Code.</w:t>
            </w:r>
          </w:p>
          <w:p w:rsidR="009A672F" w:rsidRPr="001A7030" w:rsidRDefault="009A672F" w:rsidP="009A672F">
            <w:pPr>
              <w:pStyle w:val="Recommendationfinalpoint"/>
              <w:numPr>
                <w:ilvl w:val="0"/>
                <w:numId w:val="0"/>
              </w:numPr>
              <w:tabs>
                <w:tab w:val="clear" w:pos="425"/>
                <w:tab w:val="clear" w:pos="1134"/>
              </w:tabs>
              <w:rPr>
                <w:rFonts w:asciiTheme="minorHAnsi" w:hAnsiTheme="minorHAnsi"/>
                <w:sz w:val="22"/>
                <w:szCs w:val="22"/>
              </w:rPr>
            </w:pPr>
            <w:r>
              <w:rPr>
                <w:rFonts w:asciiTheme="minorHAnsi" w:hAnsiTheme="minorHAnsi"/>
                <w:sz w:val="22"/>
                <w:szCs w:val="22"/>
              </w:rPr>
              <w:t>The Commissioner recommended that the DHB:</w:t>
            </w:r>
          </w:p>
          <w:p w:rsidR="009A672F" w:rsidRPr="001A7030" w:rsidRDefault="009A672F" w:rsidP="004C1F77">
            <w:pPr>
              <w:pStyle w:val="ListParagraph"/>
              <w:numPr>
                <w:ilvl w:val="0"/>
                <w:numId w:val="8"/>
              </w:numPr>
              <w:spacing w:after="240"/>
              <w:ind w:left="426" w:hanging="426"/>
              <w:contextualSpacing/>
              <w:rPr>
                <w:szCs w:val="22"/>
              </w:rPr>
            </w:pPr>
            <w:r w:rsidRPr="001A7030">
              <w:rPr>
                <w:szCs w:val="22"/>
              </w:rPr>
              <w:t xml:space="preserve">Conduct an audit of neurology referrals within the last three months to ensure that the correct process </w:t>
            </w:r>
            <w:r w:rsidR="00F72D35" w:rsidRPr="001A7030">
              <w:rPr>
                <w:szCs w:val="22"/>
              </w:rPr>
              <w:t>ha</w:t>
            </w:r>
            <w:r w:rsidR="00F72D35">
              <w:rPr>
                <w:szCs w:val="22"/>
              </w:rPr>
              <w:t>d</w:t>
            </w:r>
            <w:r w:rsidR="00F72D35" w:rsidRPr="001A7030">
              <w:rPr>
                <w:szCs w:val="22"/>
              </w:rPr>
              <w:t xml:space="preserve"> </w:t>
            </w:r>
            <w:r w:rsidRPr="001A7030">
              <w:rPr>
                <w:szCs w:val="22"/>
              </w:rPr>
              <w:t xml:space="preserve">been followed. </w:t>
            </w:r>
          </w:p>
          <w:p w:rsidR="009A672F" w:rsidRPr="001A7030" w:rsidRDefault="009A672F" w:rsidP="004C1F77">
            <w:pPr>
              <w:pStyle w:val="ListParagraph"/>
              <w:numPr>
                <w:ilvl w:val="0"/>
                <w:numId w:val="8"/>
              </w:numPr>
              <w:spacing w:after="240"/>
              <w:ind w:left="426" w:hanging="426"/>
              <w:contextualSpacing/>
              <w:rPr>
                <w:szCs w:val="22"/>
              </w:rPr>
            </w:pPr>
            <w:r w:rsidRPr="001A7030">
              <w:rPr>
                <w:szCs w:val="22"/>
              </w:rPr>
              <w:lastRenderedPageBreak/>
              <w:t>Use this case as an anonymised case study for education on the imp</w:t>
            </w:r>
            <w:r>
              <w:rPr>
                <w:szCs w:val="22"/>
              </w:rPr>
              <w:t>ortance of team communication</w:t>
            </w:r>
            <w:r w:rsidR="00F72D35">
              <w:rPr>
                <w:szCs w:val="22"/>
              </w:rPr>
              <w:t>.</w:t>
            </w:r>
          </w:p>
          <w:p w:rsidR="005E1613" w:rsidRDefault="009A672F" w:rsidP="004C1F77">
            <w:pPr>
              <w:pStyle w:val="ListParagraph"/>
              <w:numPr>
                <w:ilvl w:val="0"/>
                <w:numId w:val="8"/>
              </w:numPr>
              <w:spacing w:after="240"/>
              <w:ind w:left="426" w:hanging="426"/>
              <w:contextualSpacing/>
              <w:rPr>
                <w:szCs w:val="22"/>
              </w:rPr>
            </w:pPr>
            <w:r w:rsidRPr="001A7030">
              <w:rPr>
                <w:szCs w:val="22"/>
              </w:rPr>
              <w:t>Update HDC on the implementation of its “</w:t>
            </w:r>
            <w:proofErr w:type="spellStart"/>
            <w:r w:rsidRPr="001A7030">
              <w:rPr>
                <w:szCs w:val="22"/>
              </w:rPr>
              <w:t>TransforMED</w:t>
            </w:r>
            <w:proofErr w:type="spellEnd"/>
            <w:r w:rsidRPr="001A7030">
              <w:rPr>
                <w:szCs w:val="22"/>
              </w:rPr>
              <w:t>” project (a project which aims to ensure that time is set aside for subspecialists who participate in General Medicine to undertake a ward round daily on inpatients on their designated ward).</w:t>
            </w:r>
          </w:p>
          <w:p w:rsidR="009A672F" w:rsidRPr="009A672F" w:rsidRDefault="009A672F" w:rsidP="009A672F">
            <w:pPr>
              <w:pStyle w:val="Paranumbered"/>
              <w:ind w:firstLine="0"/>
              <w:rPr>
                <w:rFonts w:asciiTheme="minorHAnsi" w:hAnsiTheme="minorHAnsi"/>
                <w:sz w:val="22"/>
                <w:szCs w:val="22"/>
              </w:rPr>
            </w:pPr>
            <w:r w:rsidRPr="009A672F">
              <w:rPr>
                <w:rFonts w:asciiTheme="minorHAnsi" w:hAnsiTheme="minorHAnsi"/>
                <w:sz w:val="22"/>
                <w:szCs w:val="22"/>
              </w:rPr>
              <w:t>These recommendations have been met.</w:t>
            </w:r>
          </w:p>
        </w:tc>
      </w:tr>
    </w:tbl>
    <w:p w:rsidR="0037539A" w:rsidRPr="00666BAC" w:rsidRDefault="0037539A" w:rsidP="00705DA5"/>
    <w:p w:rsidR="00440222" w:rsidRPr="00666BAC" w:rsidRDefault="00D5364B" w:rsidP="00705DA5">
      <w:r>
        <w:t>Table 5</w:t>
      </w:r>
      <w:r w:rsidR="004B127E" w:rsidRPr="00666BAC">
        <w:t xml:space="preserve"> </w:t>
      </w:r>
      <w:r w:rsidR="00F72D35">
        <w:t>compares</w:t>
      </w:r>
      <w:r w:rsidR="004B127E" w:rsidRPr="00666BAC">
        <w:t xml:space="preserve"> the m</w:t>
      </w:r>
      <w:r w:rsidR="00440222" w:rsidRPr="00666BAC">
        <w:t>ost</w:t>
      </w:r>
      <w:r w:rsidR="003B399F">
        <w:t xml:space="preserve"> common issues rai</w:t>
      </w:r>
      <w:r w:rsidR="00397B31">
        <w:t>sed in 2017</w:t>
      </w:r>
      <w:r w:rsidR="003B399F">
        <w:t>/</w:t>
      </w:r>
      <w:r w:rsidR="00397B31">
        <w:t>18</w:t>
      </w:r>
      <w:r w:rsidR="00F72D35">
        <w:t xml:space="preserve"> with previous years</w:t>
      </w:r>
      <w:r w:rsidR="003E75BB" w:rsidRPr="00666BAC">
        <w:t xml:space="preserve">. </w:t>
      </w:r>
      <w:r w:rsidR="00D10020" w:rsidRPr="00666BAC">
        <w:t>Common complaint</w:t>
      </w:r>
      <w:r w:rsidR="003E75BB" w:rsidRPr="00666BAC">
        <w:t xml:space="preserve"> issues have remained broadly consistent over the la</w:t>
      </w:r>
      <w:r w:rsidR="00D10020" w:rsidRPr="00666BAC">
        <w:t>st</w:t>
      </w:r>
      <w:r w:rsidR="00AD120E">
        <w:t xml:space="preserve"> </w:t>
      </w:r>
      <w:r w:rsidR="00A84223">
        <w:t xml:space="preserve">five years. However, the proportion of complaints regarding </w:t>
      </w:r>
      <w:r w:rsidR="001A6F7E">
        <w:t>‘</w:t>
      </w:r>
      <w:r w:rsidR="00A84223">
        <w:t>disrespectful manner/attitude</w:t>
      </w:r>
      <w:r w:rsidR="001A6F7E">
        <w:t>’</w:t>
      </w:r>
      <w:r w:rsidR="00A84223">
        <w:t xml:space="preserve"> and </w:t>
      </w:r>
      <w:r w:rsidR="001A6F7E">
        <w:t xml:space="preserve">an </w:t>
      </w:r>
      <w:r w:rsidR="00A84223">
        <w:t>inadequate response to</w:t>
      </w:r>
      <w:r w:rsidR="001A6F7E">
        <w:t xml:space="preserve"> the consumer’s</w:t>
      </w:r>
      <w:r w:rsidR="00A84223">
        <w:t xml:space="preserve"> complaint by </w:t>
      </w:r>
      <w:r w:rsidR="00F72D35">
        <w:t xml:space="preserve">the </w:t>
      </w:r>
      <w:r w:rsidR="00A84223">
        <w:t>DHB have decreased over the last five years.</w:t>
      </w:r>
    </w:p>
    <w:p w:rsidR="00A84223" w:rsidRPr="00666BAC" w:rsidRDefault="00A84223" w:rsidP="004B127E">
      <w:pPr>
        <w:widowControl w:val="0"/>
        <w:spacing w:after="120"/>
        <w:rPr>
          <w:b/>
          <w:szCs w:val="22"/>
        </w:rPr>
      </w:pPr>
    </w:p>
    <w:p w:rsidR="0092752E" w:rsidRPr="00666BAC" w:rsidRDefault="00D5364B" w:rsidP="00D45103">
      <w:pPr>
        <w:widowControl w:val="0"/>
        <w:spacing w:after="120"/>
        <w:rPr>
          <w:szCs w:val="22"/>
        </w:rPr>
      </w:pPr>
      <w:r>
        <w:rPr>
          <w:b/>
          <w:szCs w:val="22"/>
        </w:rPr>
        <w:t>Table 5</w:t>
      </w:r>
      <w:r w:rsidR="004B127E" w:rsidRPr="00666BAC">
        <w:rPr>
          <w:b/>
          <w:szCs w:val="22"/>
        </w:rPr>
        <w:t xml:space="preserve">. </w:t>
      </w:r>
      <w:r w:rsidR="00D45103" w:rsidRPr="00666BAC">
        <w:rPr>
          <w:szCs w:val="22"/>
        </w:rPr>
        <w:t>Yearly comparison of the m</w:t>
      </w:r>
      <w:r w:rsidR="004B127E" w:rsidRPr="00666BAC">
        <w:rPr>
          <w:szCs w:val="22"/>
        </w:rPr>
        <w:t xml:space="preserve">ost common issues complained about in DHB complaints </w:t>
      </w:r>
      <w:r w:rsidR="00440222" w:rsidRPr="00666BAC">
        <w:rPr>
          <w:szCs w:val="22"/>
        </w:rPr>
        <w:t xml:space="preserve">in </w:t>
      </w:r>
      <w:r w:rsidR="00F72D35">
        <w:rPr>
          <w:szCs w:val="22"/>
        </w:rPr>
        <w:t>2017/18</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11"/>
        <w:gridCol w:w="1302"/>
        <w:gridCol w:w="1303"/>
        <w:gridCol w:w="1225"/>
        <w:gridCol w:w="1169"/>
        <w:gridCol w:w="980"/>
      </w:tblGrid>
      <w:tr w:rsidR="00397B31" w:rsidRPr="00666BAC" w:rsidTr="00BC6E86">
        <w:trPr>
          <w:trHeight w:val="624"/>
          <w:tblHeader/>
        </w:trPr>
        <w:tc>
          <w:tcPr>
            <w:tcW w:w="3211" w:type="dxa"/>
            <w:shd w:val="clear" w:color="auto" w:fill="C00000"/>
          </w:tcPr>
          <w:p w:rsidR="00397B31" w:rsidRPr="00666BAC" w:rsidRDefault="00397B31" w:rsidP="0092752E">
            <w:pPr>
              <w:tabs>
                <w:tab w:val="left" w:pos="1440"/>
                <w:tab w:val="decimal" w:pos="4320"/>
              </w:tabs>
              <w:spacing w:before="120" w:after="120"/>
              <w:jc w:val="center"/>
              <w:outlineLvl w:val="0"/>
              <w:rPr>
                <w:b/>
                <w:szCs w:val="22"/>
                <w:vertAlign w:val="superscript"/>
              </w:rPr>
            </w:pPr>
            <w:r w:rsidRPr="00666BAC">
              <w:rPr>
                <w:b/>
                <w:szCs w:val="22"/>
              </w:rPr>
              <w:t>Complaint issue</w:t>
            </w:r>
          </w:p>
        </w:tc>
        <w:tc>
          <w:tcPr>
            <w:tcW w:w="1302" w:type="dxa"/>
            <w:shd w:val="clear" w:color="auto" w:fill="C00000"/>
          </w:tcPr>
          <w:p w:rsidR="00397B31" w:rsidRPr="00666BAC" w:rsidRDefault="00397B31" w:rsidP="0092752E">
            <w:pPr>
              <w:tabs>
                <w:tab w:val="left" w:pos="1440"/>
                <w:tab w:val="decimal" w:pos="4320"/>
              </w:tabs>
              <w:spacing w:before="120" w:after="120"/>
              <w:jc w:val="center"/>
              <w:outlineLvl w:val="0"/>
              <w:rPr>
                <w:b/>
                <w:szCs w:val="22"/>
              </w:rPr>
            </w:pPr>
            <w:r w:rsidRPr="00666BAC">
              <w:rPr>
                <w:b/>
                <w:szCs w:val="22"/>
              </w:rPr>
              <w:t>2013/14</w:t>
            </w:r>
          </w:p>
        </w:tc>
        <w:tc>
          <w:tcPr>
            <w:tcW w:w="1303" w:type="dxa"/>
            <w:shd w:val="clear" w:color="auto" w:fill="C00000"/>
          </w:tcPr>
          <w:p w:rsidR="00397B31" w:rsidRPr="00666BAC" w:rsidRDefault="00397B31" w:rsidP="0092752E">
            <w:pPr>
              <w:tabs>
                <w:tab w:val="left" w:pos="1440"/>
                <w:tab w:val="decimal" w:pos="4320"/>
              </w:tabs>
              <w:spacing w:before="120" w:after="120"/>
              <w:jc w:val="center"/>
              <w:outlineLvl w:val="0"/>
              <w:rPr>
                <w:b/>
                <w:szCs w:val="22"/>
              </w:rPr>
            </w:pPr>
            <w:r w:rsidRPr="00666BAC">
              <w:rPr>
                <w:b/>
                <w:szCs w:val="22"/>
              </w:rPr>
              <w:t>2014/15</w:t>
            </w:r>
          </w:p>
        </w:tc>
        <w:tc>
          <w:tcPr>
            <w:tcW w:w="1225" w:type="dxa"/>
            <w:shd w:val="clear" w:color="auto" w:fill="C00000"/>
          </w:tcPr>
          <w:p w:rsidR="00397B31" w:rsidRPr="00666BAC" w:rsidRDefault="00397B31" w:rsidP="0092752E">
            <w:pPr>
              <w:tabs>
                <w:tab w:val="left" w:pos="1440"/>
                <w:tab w:val="decimal" w:pos="4320"/>
              </w:tabs>
              <w:spacing w:before="120" w:after="120"/>
              <w:jc w:val="center"/>
              <w:outlineLvl w:val="0"/>
              <w:rPr>
                <w:b/>
                <w:szCs w:val="22"/>
              </w:rPr>
            </w:pPr>
            <w:r w:rsidRPr="00666BAC">
              <w:rPr>
                <w:b/>
                <w:szCs w:val="22"/>
              </w:rPr>
              <w:t>2015/16</w:t>
            </w:r>
          </w:p>
        </w:tc>
        <w:tc>
          <w:tcPr>
            <w:tcW w:w="1169" w:type="dxa"/>
            <w:shd w:val="clear" w:color="auto" w:fill="C00000"/>
          </w:tcPr>
          <w:p w:rsidR="00397B31" w:rsidRPr="00666BAC" w:rsidRDefault="00397B31" w:rsidP="0092752E">
            <w:pPr>
              <w:tabs>
                <w:tab w:val="left" w:pos="1440"/>
                <w:tab w:val="decimal" w:pos="4320"/>
              </w:tabs>
              <w:spacing w:before="120" w:after="120"/>
              <w:jc w:val="center"/>
              <w:outlineLvl w:val="0"/>
              <w:rPr>
                <w:b/>
                <w:szCs w:val="22"/>
              </w:rPr>
            </w:pPr>
            <w:r>
              <w:rPr>
                <w:b/>
                <w:szCs w:val="22"/>
              </w:rPr>
              <w:t>2016/17</w:t>
            </w:r>
          </w:p>
        </w:tc>
        <w:tc>
          <w:tcPr>
            <w:tcW w:w="980" w:type="dxa"/>
            <w:shd w:val="clear" w:color="auto" w:fill="C00000"/>
          </w:tcPr>
          <w:p w:rsidR="00397B31" w:rsidRDefault="00397B31" w:rsidP="0092752E">
            <w:pPr>
              <w:tabs>
                <w:tab w:val="left" w:pos="1440"/>
                <w:tab w:val="decimal" w:pos="4320"/>
              </w:tabs>
              <w:spacing w:before="120" w:after="120"/>
              <w:jc w:val="center"/>
              <w:outlineLvl w:val="0"/>
              <w:rPr>
                <w:b/>
                <w:szCs w:val="22"/>
              </w:rPr>
            </w:pPr>
            <w:r>
              <w:rPr>
                <w:b/>
                <w:szCs w:val="22"/>
              </w:rPr>
              <w:t>2017/18</w:t>
            </w:r>
          </w:p>
        </w:tc>
      </w:tr>
      <w:tr w:rsidR="00397B31" w:rsidRPr="00666BAC" w:rsidTr="00BC6E86">
        <w:trPr>
          <w:trHeight w:val="278"/>
        </w:trPr>
        <w:tc>
          <w:tcPr>
            <w:tcW w:w="3211" w:type="dxa"/>
          </w:tcPr>
          <w:p w:rsidR="00397B31" w:rsidRPr="00666BAC" w:rsidRDefault="00397B31" w:rsidP="00AD120E">
            <w:pPr>
              <w:jc w:val="left"/>
              <w:rPr>
                <w:rFonts w:cs="Calibri"/>
                <w:b/>
                <w:color w:val="000000"/>
                <w:szCs w:val="22"/>
              </w:rPr>
            </w:pPr>
            <w:r w:rsidRPr="00666BAC">
              <w:rPr>
                <w:rFonts w:cs="Calibri"/>
                <w:b/>
                <w:color w:val="000000"/>
                <w:szCs w:val="22"/>
              </w:rPr>
              <w:t>Failure to communicate effectively with consumer</w:t>
            </w:r>
          </w:p>
        </w:tc>
        <w:tc>
          <w:tcPr>
            <w:tcW w:w="1302"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21%</w:t>
            </w:r>
          </w:p>
        </w:tc>
        <w:tc>
          <w:tcPr>
            <w:tcW w:w="1303"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34%</w:t>
            </w:r>
          </w:p>
        </w:tc>
        <w:tc>
          <w:tcPr>
            <w:tcW w:w="1225"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38%</w:t>
            </w:r>
          </w:p>
        </w:tc>
        <w:tc>
          <w:tcPr>
            <w:tcW w:w="1169" w:type="dxa"/>
            <w:vAlign w:val="center"/>
          </w:tcPr>
          <w:p w:rsidR="00397B31" w:rsidRPr="00666BAC" w:rsidRDefault="00397B31" w:rsidP="00AD120E">
            <w:pPr>
              <w:jc w:val="center"/>
              <w:rPr>
                <w:rFonts w:cs="Calibri"/>
                <w:b/>
                <w:color w:val="000000"/>
                <w:szCs w:val="22"/>
              </w:rPr>
            </w:pPr>
            <w:r>
              <w:rPr>
                <w:rFonts w:cs="Calibri"/>
                <w:b/>
                <w:color w:val="000000"/>
                <w:szCs w:val="22"/>
              </w:rPr>
              <w:t>36%</w:t>
            </w:r>
          </w:p>
        </w:tc>
        <w:tc>
          <w:tcPr>
            <w:tcW w:w="980" w:type="dxa"/>
            <w:vAlign w:val="center"/>
          </w:tcPr>
          <w:p w:rsidR="00397B31" w:rsidRDefault="00A84223" w:rsidP="00397B31">
            <w:pPr>
              <w:jc w:val="center"/>
              <w:rPr>
                <w:rFonts w:cs="Calibri"/>
                <w:b/>
                <w:color w:val="000000"/>
                <w:szCs w:val="22"/>
              </w:rPr>
            </w:pPr>
            <w:r>
              <w:rPr>
                <w:rFonts w:cs="Calibri"/>
                <w:b/>
                <w:color w:val="000000"/>
                <w:szCs w:val="22"/>
              </w:rPr>
              <w:t>37%</w:t>
            </w:r>
          </w:p>
        </w:tc>
      </w:tr>
      <w:tr w:rsidR="00397B31" w:rsidRPr="00666BAC" w:rsidTr="00BC6E86">
        <w:trPr>
          <w:trHeight w:val="278"/>
        </w:trPr>
        <w:tc>
          <w:tcPr>
            <w:tcW w:w="3211" w:type="dxa"/>
          </w:tcPr>
          <w:p w:rsidR="00397B31" w:rsidRPr="00666BAC" w:rsidRDefault="00397B31" w:rsidP="00AD120E">
            <w:pPr>
              <w:jc w:val="left"/>
              <w:rPr>
                <w:rFonts w:cs="Calibri"/>
                <w:b/>
                <w:color w:val="000000"/>
                <w:szCs w:val="22"/>
              </w:rPr>
            </w:pPr>
            <w:r w:rsidRPr="00666BAC">
              <w:rPr>
                <w:rFonts w:cs="Calibri"/>
                <w:b/>
                <w:color w:val="000000"/>
                <w:szCs w:val="22"/>
              </w:rPr>
              <w:t>Inadequate/inappropriate treatment</w:t>
            </w:r>
          </w:p>
        </w:tc>
        <w:tc>
          <w:tcPr>
            <w:tcW w:w="1302"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37%</w:t>
            </w:r>
          </w:p>
        </w:tc>
        <w:tc>
          <w:tcPr>
            <w:tcW w:w="1303"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40%</w:t>
            </w:r>
          </w:p>
        </w:tc>
        <w:tc>
          <w:tcPr>
            <w:tcW w:w="1225"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43%</w:t>
            </w:r>
          </w:p>
        </w:tc>
        <w:tc>
          <w:tcPr>
            <w:tcW w:w="1169" w:type="dxa"/>
            <w:vAlign w:val="center"/>
          </w:tcPr>
          <w:p w:rsidR="00397B31" w:rsidRPr="00666BAC" w:rsidRDefault="00397B31" w:rsidP="00AD120E">
            <w:pPr>
              <w:jc w:val="center"/>
              <w:rPr>
                <w:rFonts w:cs="Calibri"/>
                <w:b/>
                <w:color w:val="000000"/>
                <w:szCs w:val="22"/>
              </w:rPr>
            </w:pPr>
            <w:r>
              <w:rPr>
                <w:rFonts w:cs="Calibri"/>
                <w:b/>
                <w:color w:val="000000"/>
                <w:szCs w:val="22"/>
              </w:rPr>
              <w:t>33%</w:t>
            </w:r>
          </w:p>
        </w:tc>
        <w:tc>
          <w:tcPr>
            <w:tcW w:w="980" w:type="dxa"/>
            <w:vAlign w:val="center"/>
          </w:tcPr>
          <w:p w:rsidR="00397B31" w:rsidRDefault="00A84223" w:rsidP="00397B31">
            <w:pPr>
              <w:jc w:val="center"/>
              <w:rPr>
                <w:rFonts w:cs="Calibri"/>
                <w:b/>
                <w:color w:val="000000"/>
                <w:szCs w:val="22"/>
              </w:rPr>
            </w:pPr>
            <w:r>
              <w:rPr>
                <w:rFonts w:cs="Calibri"/>
                <w:b/>
                <w:color w:val="000000"/>
                <w:szCs w:val="22"/>
              </w:rPr>
              <w:t>36%</w:t>
            </w:r>
          </w:p>
        </w:tc>
      </w:tr>
      <w:tr w:rsidR="00397B31" w:rsidRPr="00666BAC" w:rsidTr="00BC6E86">
        <w:trPr>
          <w:trHeight w:val="278"/>
        </w:trPr>
        <w:tc>
          <w:tcPr>
            <w:tcW w:w="3211" w:type="dxa"/>
          </w:tcPr>
          <w:p w:rsidR="00397B31" w:rsidRPr="00666BAC" w:rsidRDefault="00397B31" w:rsidP="00AD120E">
            <w:pPr>
              <w:jc w:val="left"/>
              <w:rPr>
                <w:rFonts w:cs="Calibri"/>
                <w:b/>
                <w:color w:val="000000"/>
                <w:szCs w:val="22"/>
              </w:rPr>
            </w:pPr>
            <w:r w:rsidRPr="00666BAC">
              <w:rPr>
                <w:rFonts w:cs="Calibri"/>
                <w:b/>
                <w:color w:val="000000"/>
                <w:szCs w:val="22"/>
              </w:rPr>
              <w:t>Inadequate/inappropriate examination/assessment</w:t>
            </w:r>
          </w:p>
        </w:tc>
        <w:tc>
          <w:tcPr>
            <w:tcW w:w="1302"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14%</w:t>
            </w:r>
          </w:p>
        </w:tc>
        <w:tc>
          <w:tcPr>
            <w:tcW w:w="1303"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27%</w:t>
            </w:r>
          </w:p>
        </w:tc>
        <w:tc>
          <w:tcPr>
            <w:tcW w:w="1225"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29%</w:t>
            </w:r>
          </w:p>
        </w:tc>
        <w:tc>
          <w:tcPr>
            <w:tcW w:w="1169" w:type="dxa"/>
            <w:vAlign w:val="center"/>
          </w:tcPr>
          <w:p w:rsidR="00397B31" w:rsidRPr="00666BAC" w:rsidRDefault="00397B31" w:rsidP="00AD120E">
            <w:pPr>
              <w:jc w:val="center"/>
              <w:rPr>
                <w:rFonts w:cs="Calibri"/>
                <w:b/>
                <w:color w:val="000000"/>
                <w:szCs w:val="22"/>
              </w:rPr>
            </w:pPr>
            <w:r>
              <w:rPr>
                <w:rFonts w:cs="Calibri"/>
                <w:b/>
                <w:color w:val="000000"/>
                <w:szCs w:val="22"/>
              </w:rPr>
              <w:t>23%</w:t>
            </w:r>
          </w:p>
        </w:tc>
        <w:tc>
          <w:tcPr>
            <w:tcW w:w="980" w:type="dxa"/>
            <w:vAlign w:val="center"/>
          </w:tcPr>
          <w:p w:rsidR="00397B31" w:rsidRDefault="00A84223" w:rsidP="00397B31">
            <w:pPr>
              <w:jc w:val="center"/>
              <w:rPr>
                <w:rFonts w:cs="Calibri"/>
                <w:b/>
                <w:color w:val="000000"/>
                <w:szCs w:val="22"/>
              </w:rPr>
            </w:pPr>
            <w:r>
              <w:rPr>
                <w:rFonts w:cs="Calibri"/>
                <w:b/>
                <w:color w:val="000000"/>
                <w:szCs w:val="22"/>
              </w:rPr>
              <w:t>24%</w:t>
            </w:r>
          </w:p>
        </w:tc>
      </w:tr>
      <w:tr w:rsidR="00397B31" w:rsidRPr="00666BAC" w:rsidTr="00BC6E86">
        <w:trPr>
          <w:trHeight w:val="278"/>
        </w:trPr>
        <w:tc>
          <w:tcPr>
            <w:tcW w:w="3211" w:type="dxa"/>
          </w:tcPr>
          <w:p w:rsidR="00397B31" w:rsidRPr="00666BAC" w:rsidRDefault="00397B31" w:rsidP="00AD120E">
            <w:pPr>
              <w:jc w:val="left"/>
              <w:rPr>
                <w:rFonts w:cs="Calibri"/>
                <w:b/>
                <w:color w:val="000000"/>
                <w:szCs w:val="22"/>
              </w:rPr>
            </w:pPr>
            <w:r w:rsidRPr="00666BAC">
              <w:rPr>
                <w:rFonts w:cs="Calibri"/>
                <w:b/>
                <w:color w:val="000000"/>
                <w:szCs w:val="22"/>
              </w:rPr>
              <w:t>Missed/incorrect/delayed diagnosis</w:t>
            </w:r>
          </w:p>
        </w:tc>
        <w:tc>
          <w:tcPr>
            <w:tcW w:w="1302"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27%</w:t>
            </w:r>
          </w:p>
        </w:tc>
        <w:tc>
          <w:tcPr>
            <w:tcW w:w="1303"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24%</w:t>
            </w:r>
          </w:p>
        </w:tc>
        <w:tc>
          <w:tcPr>
            <w:tcW w:w="1225"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23%</w:t>
            </w:r>
          </w:p>
        </w:tc>
        <w:tc>
          <w:tcPr>
            <w:tcW w:w="1169" w:type="dxa"/>
            <w:vAlign w:val="center"/>
          </w:tcPr>
          <w:p w:rsidR="00397B31" w:rsidRPr="00666BAC" w:rsidRDefault="00397B31" w:rsidP="00AD120E">
            <w:pPr>
              <w:jc w:val="center"/>
              <w:rPr>
                <w:rFonts w:cs="Calibri"/>
                <w:b/>
                <w:color w:val="000000"/>
                <w:szCs w:val="22"/>
              </w:rPr>
            </w:pPr>
            <w:r>
              <w:rPr>
                <w:rFonts w:cs="Calibri"/>
                <w:b/>
                <w:color w:val="000000"/>
                <w:szCs w:val="22"/>
              </w:rPr>
              <w:t>22%</w:t>
            </w:r>
          </w:p>
        </w:tc>
        <w:tc>
          <w:tcPr>
            <w:tcW w:w="980" w:type="dxa"/>
            <w:vAlign w:val="center"/>
          </w:tcPr>
          <w:p w:rsidR="00397B31" w:rsidRDefault="00A84223" w:rsidP="00397B31">
            <w:pPr>
              <w:jc w:val="center"/>
              <w:rPr>
                <w:rFonts w:cs="Calibri"/>
                <w:b/>
                <w:color w:val="000000"/>
                <w:szCs w:val="22"/>
              </w:rPr>
            </w:pPr>
            <w:r>
              <w:rPr>
                <w:rFonts w:cs="Calibri"/>
                <w:b/>
                <w:color w:val="000000"/>
                <w:szCs w:val="22"/>
              </w:rPr>
              <w:t>20%</w:t>
            </w:r>
          </w:p>
        </w:tc>
      </w:tr>
      <w:tr w:rsidR="00397B31" w:rsidRPr="00666BAC" w:rsidTr="00BC6E86">
        <w:trPr>
          <w:trHeight w:val="278"/>
        </w:trPr>
        <w:tc>
          <w:tcPr>
            <w:tcW w:w="3211" w:type="dxa"/>
          </w:tcPr>
          <w:p w:rsidR="00397B31" w:rsidRPr="00666BAC" w:rsidRDefault="00397B31" w:rsidP="00AD120E">
            <w:pPr>
              <w:jc w:val="left"/>
              <w:rPr>
                <w:rFonts w:cs="Calibri"/>
                <w:b/>
                <w:color w:val="000000"/>
                <w:szCs w:val="22"/>
              </w:rPr>
            </w:pPr>
            <w:r w:rsidRPr="00666BAC">
              <w:rPr>
                <w:rFonts w:cs="Calibri"/>
                <w:b/>
                <w:color w:val="000000"/>
                <w:szCs w:val="22"/>
              </w:rPr>
              <w:t>Failure to communicate effectively with family</w:t>
            </w:r>
          </w:p>
        </w:tc>
        <w:tc>
          <w:tcPr>
            <w:tcW w:w="1302"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21%</w:t>
            </w:r>
          </w:p>
        </w:tc>
        <w:tc>
          <w:tcPr>
            <w:tcW w:w="1303"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22%</w:t>
            </w:r>
          </w:p>
        </w:tc>
        <w:tc>
          <w:tcPr>
            <w:tcW w:w="1225" w:type="dxa"/>
            <w:vAlign w:val="center"/>
          </w:tcPr>
          <w:p w:rsidR="00397B31" w:rsidRPr="00666BAC" w:rsidRDefault="00397B31" w:rsidP="00AD120E">
            <w:pPr>
              <w:jc w:val="center"/>
              <w:rPr>
                <w:rFonts w:cs="Calibri"/>
                <w:b/>
                <w:color w:val="000000"/>
                <w:szCs w:val="22"/>
              </w:rPr>
            </w:pPr>
            <w:r w:rsidRPr="00666BAC">
              <w:rPr>
                <w:rFonts w:cs="Calibri"/>
                <w:b/>
                <w:color w:val="000000"/>
                <w:szCs w:val="22"/>
              </w:rPr>
              <w:t>24%</w:t>
            </w:r>
          </w:p>
        </w:tc>
        <w:tc>
          <w:tcPr>
            <w:tcW w:w="1169" w:type="dxa"/>
            <w:vAlign w:val="center"/>
          </w:tcPr>
          <w:p w:rsidR="00397B31" w:rsidRPr="00666BAC" w:rsidRDefault="00397B31" w:rsidP="00AD120E">
            <w:pPr>
              <w:jc w:val="center"/>
              <w:rPr>
                <w:rFonts w:cs="Calibri"/>
                <w:b/>
                <w:color w:val="000000"/>
                <w:szCs w:val="22"/>
              </w:rPr>
            </w:pPr>
            <w:r>
              <w:rPr>
                <w:rFonts w:cs="Calibri"/>
                <w:b/>
                <w:color w:val="000000"/>
                <w:szCs w:val="22"/>
              </w:rPr>
              <w:t>22%</w:t>
            </w:r>
          </w:p>
        </w:tc>
        <w:tc>
          <w:tcPr>
            <w:tcW w:w="980" w:type="dxa"/>
            <w:vAlign w:val="center"/>
          </w:tcPr>
          <w:p w:rsidR="00397B31" w:rsidRDefault="00A84223" w:rsidP="00397B31">
            <w:pPr>
              <w:jc w:val="center"/>
              <w:rPr>
                <w:rFonts w:cs="Calibri"/>
                <w:b/>
                <w:color w:val="000000"/>
                <w:szCs w:val="22"/>
              </w:rPr>
            </w:pPr>
            <w:r>
              <w:rPr>
                <w:rFonts w:cs="Calibri"/>
                <w:b/>
                <w:color w:val="000000"/>
                <w:szCs w:val="22"/>
              </w:rPr>
              <w:t>20%</w:t>
            </w:r>
          </w:p>
        </w:tc>
      </w:tr>
      <w:tr w:rsidR="00397B31" w:rsidRPr="00666BAC" w:rsidTr="00BC6E86">
        <w:trPr>
          <w:trHeight w:val="278"/>
        </w:trPr>
        <w:tc>
          <w:tcPr>
            <w:tcW w:w="3211" w:type="dxa"/>
          </w:tcPr>
          <w:p w:rsidR="00397B31" w:rsidRPr="00666BAC" w:rsidRDefault="00397B31" w:rsidP="0092752E">
            <w:pPr>
              <w:jc w:val="left"/>
              <w:rPr>
                <w:rFonts w:cs="Calibri"/>
                <w:b/>
                <w:color w:val="000000"/>
                <w:szCs w:val="22"/>
              </w:rPr>
            </w:pPr>
            <w:r>
              <w:rPr>
                <w:rFonts w:cs="Calibri"/>
                <w:b/>
                <w:color w:val="000000"/>
                <w:szCs w:val="22"/>
              </w:rPr>
              <w:t>Delay in treatment</w:t>
            </w:r>
          </w:p>
        </w:tc>
        <w:tc>
          <w:tcPr>
            <w:tcW w:w="1302" w:type="dxa"/>
            <w:vAlign w:val="center"/>
          </w:tcPr>
          <w:p w:rsidR="00397B31" w:rsidRPr="00666BAC" w:rsidRDefault="00397B31" w:rsidP="00440222">
            <w:pPr>
              <w:jc w:val="center"/>
              <w:rPr>
                <w:rFonts w:cs="Calibri"/>
                <w:b/>
                <w:color w:val="000000"/>
                <w:szCs w:val="22"/>
              </w:rPr>
            </w:pPr>
            <w:r>
              <w:rPr>
                <w:rFonts w:cs="Calibri"/>
                <w:b/>
                <w:color w:val="000000"/>
                <w:szCs w:val="22"/>
              </w:rPr>
              <w:t>15%</w:t>
            </w:r>
          </w:p>
        </w:tc>
        <w:tc>
          <w:tcPr>
            <w:tcW w:w="1303" w:type="dxa"/>
            <w:vAlign w:val="center"/>
          </w:tcPr>
          <w:p w:rsidR="00397B31" w:rsidRPr="00666BAC" w:rsidRDefault="00397B31" w:rsidP="00440222">
            <w:pPr>
              <w:jc w:val="center"/>
              <w:rPr>
                <w:rFonts w:cs="Calibri"/>
                <w:b/>
                <w:color w:val="000000"/>
                <w:szCs w:val="22"/>
              </w:rPr>
            </w:pPr>
            <w:r>
              <w:rPr>
                <w:rFonts w:cs="Calibri"/>
                <w:b/>
                <w:color w:val="000000"/>
                <w:szCs w:val="22"/>
              </w:rPr>
              <w:t>14%</w:t>
            </w:r>
          </w:p>
        </w:tc>
        <w:tc>
          <w:tcPr>
            <w:tcW w:w="1225" w:type="dxa"/>
            <w:vAlign w:val="center"/>
          </w:tcPr>
          <w:p w:rsidR="00397B31" w:rsidRPr="00666BAC" w:rsidRDefault="00397B31" w:rsidP="00440222">
            <w:pPr>
              <w:jc w:val="center"/>
              <w:rPr>
                <w:rFonts w:cs="Calibri"/>
                <w:b/>
                <w:color w:val="000000"/>
                <w:szCs w:val="22"/>
              </w:rPr>
            </w:pPr>
            <w:r>
              <w:rPr>
                <w:rFonts w:cs="Calibri"/>
                <w:b/>
                <w:color w:val="000000"/>
                <w:szCs w:val="22"/>
              </w:rPr>
              <w:t>18%</w:t>
            </w:r>
          </w:p>
        </w:tc>
        <w:tc>
          <w:tcPr>
            <w:tcW w:w="1169" w:type="dxa"/>
            <w:vAlign w:val="center"/>
          </w:tcPr>
          <w:p w:rsidR="00397B31" w:rsidRPr="00666BAC" w:rsidRDefault="00397B31" w:rsidP="00AD120E">
            <w:pPr>
              <w:jc w:val="center"/>
              <w:rPr>
                <w:rFonts w:cs="Calibri"/>
                <w:b/>
                <w:color w:val="000000"/>
                <w:szCs w:val="22"/>
              </w:rPr>
            </w:pPr>
            <w:r>
              <w:rPr>
                <w:rFonts w:cs="Calibri"/>
                <w:b/>
                <w:color w:val="000000"/>
                <w:szCs w:val="22"/>
              </w:rPr>
              <w:t>21%</w:t>
            </w:r>
          </w:p>
        </w:tc>
        <w:tc>
          <w:tcPr>
            <w:tcW w:w="980" w:type="dxa"/>
            <w:vAlign w:val="center"/>
          </w:tcPr>
          <w:p w:rsidR="00397B31" w:rsidRDefault="00A84223" w:rsidP="00397B31">
            <w:pPr>
              <w:jc w:val="center"/>
              <w:rPr>
                <w:rFonts w:cs="Calibri"/>
                <w:b/>
                <w:color w:val="000000"/>
                <w:szCs w:val="22"/>
              </w:rPr>
            </w:pPr>
            <w:r>
              <w:rPr>
                <w:rFonts w:cs="Calibri"/>
                <w:b/>
                <w:color w:val="000000"/>
                <w:szCs w:val="22"/>
              </w:rPr>
              <w:t>20%</w:t>
            </w:r>
          </w:p>
        </w:tc>
      </w:tr>
      <w:tr w:rsidR="00A84223" w:rsidRPr="00666BAC" w:rsidTr="00BC6E86">
        <w:trPr>
          <w:trHeight w:val="278"/>
        </w:trPr>
        <w:tc>
          <w:tcPr>
            <w:tcW w:w="3211" w:type="dxa"/>
          </w:tcPr>
          <w:p w:rsidR="00A84223" w:rsidRPr="00666BAC" w:rsidRDefault="00A84223" w:rsidP="000055C3">
            <w:pPr>
              <w:jc w:val="left"/>
              <w:rPr>
                <w:rFonts w:cs="Calibri"/>
                <w:b/>
                <w:color w:val="000000"/>
                <w:szCs w:val="22"/>
              </w:rPr>
            </w:pPr>
            <w:r w:rsidRPr="00666BAC">
              <w:rPr>
                <w:rFonts w:cs="Calibri"/>
                <w:b/>
                <w:color w:val="000000"/>
                <w:szCs w:val="22"/>
              </w:rPr>
              <w:t>Disrespectful manner/attitude</w:t>
            </w:r>
          </w:p>
        </w:tc>
        <w:tc>
          <w:tcPr>
            <w:tcW w:w="1302" w:type="dxa"/>
            <w:vAlign w:val="center"/>
          </w:tcPr>
          <w:p w:rsidR="00A84223" w:rsidRPr="00666BAC" w:rsidRDefault="00A84223" w:rsidP="000055C3">
            <w:pPr>
              <w:jc w:val="center"/>
              <w:rPr>
                <w:rFonts w:cs="Calibri"/>
                <w:b/>
                <w:color w:val="000000"/>
                <w:szCs w:val="22"/>
              </w:rPr>
            </w:pPr>
            <w:r w:rsidRPr="00666BAC">
              <w:rPr>
                <w:rFonts w:cs="Calibri"/>
                <w:b/>
                <w:color w:val="000000"/>
                <w:szCs w:val="22"/>
              </w:rPr>
              <w:t>20%</w:t>
            </w:r>
          </w:p>
        </w:tc>
        <w:tc>
          <w:tcPr>
            <w:tcW w:w="1303" w:type="dxa"/>
            <w:vAlign w:val="center"/>
          </w:tcPr>
          <w:p w:rsidR="00A84223" w:rsidRPr="00666BAC" w:rsidRDefault="00A84223" w:rsidP="000055C3">
            <w:pPr>
              <w:jc w:val="center"/>
              <w:rPr>
                <w:rFonts w:cs="Calibri"/>
                <w:b/>
                <w:color w:val="000000"/>
                <w:szCs w:val="22"/>
              </w:rPr>
            </w:pPr>
            <w:r w:rsidRPr="00666BAC">
              <w:rPr>
                <w:rFonts w:cs="Calibri"/>
                <w:b/>
                <w:color w:val="000000"/>
                <w:szCs w:val="22"/>
              </w:rPr>
              <w:t>24%</w:t>
            </w:r>
          </w:p>
        </w:tc>
        <w:tc>
          <w:tcPr>
            <w:tcW w:w="1225" w:type="dxa"/>
            <w:vAlign w:val="center"/>
          </w:tcPr>
          <w:p w:rsidR="00A84223" w:rsidRPr="00666BAC" w:rsidRDefault="00A84223" w:rsidP="000055C3">
            <w:pPr>
              <w:jc w:val="center"/>
              <w:rPr>
                <w:rFonts w:cs="Calibri"/>
                <w:b/>
                <w:color w:val="000000"/>
                <w:szCs w:val="22"/>
              </w:rPr>
            </w:pPr>
            <w:r w:rsidRPr="00666BAC">
              <w:rPr>
                <w:rFonts w:cs="Calibri"/>
                <w:b/>
                <w:color w:val="000000"/>
                <w:szCs w:val="22"/>
              </w:rPr>
              <w:t>25%</w:t>
            </w:r>
          </w:p>
        </w:tc>
        <w:tc>
          <w:tcPr>
            <w:tcW w:w="1169" w:type="dxa"/>
            <w:vAlign w:val="center"/>
          </w:tcPr>
          <w:p w:rsidR="00A84223" w:rsidRPr="00666BAC" w:rsidRDefault="00A84223" w:rsidP="000055C3">
            <w:pPr>
              <w:jc w:val="center"/>
              <w:rPr>
                <w:rFonts w:cs="Calibri"/>
                <w:b/>
                <w:color w:val="000000"/>
                <w:szCs w:val="22"/>
              </w:rPr>
            </w:pPr>
            <w:r>
              <w:rPr>
                <w:rFonts w:cs="Calibri"/>
                <w:b/>
                <w:color w:val="000000"/>
                <w:szCs w:val="22"/>
              </w:rPr>
              <w:t>20%</w:t>
            </w:r>
          </w:p>
        </w:tc>
        <w:tc>
          <w:tcPr>
            <w:tcW w:w="980" w:type="dxa"/>
            <w:vAlign w:val="center"/>
          </w:tcPr>
          <w:p w:rsidR="00A84223" w:rsidRDefault="00A84223" w:rsidP="000055C3">
            <w:pPr>
              <w:jc w:val="center"/>
              <w:rPr>
                <w:rFonts w:cs="Calibri"/>
                <w:b/>
                <w:color w:val="000000"/>
                <w:szCs w:val="22"/>
              </w:rPr>
            </w:pPr>
            <w:r>
              <w:rPr>
                <w:rFonts w:cs="Calibri"/>
                <w:b/>
                <w:color w:val="000000"/>
                <w:szCs w:val="22"/>
              </w:rPr>
              <w:t>16%</w:t>
            </w:r>
          </w:p>
        </w:tc>
      </w:tr>
      <w:tr w:rsidR="00A84223" w:rsidRPr="00666BAC" w:rsidTr="00BC6E86">
        <w:trPr>
          <w:trHeight w:val="278"/>
        </w:trPr>
        <w:tc>
          <w:tcPr>
            <w:tcW w:w="3211" w:type="dxa"/>
          </w:tcPr>
          <w:p w:rsidR="00A84223" w:rsidRPr="00666BAC" w:rsidRDefault="00A84223" w:rsidP="00AD120E">
            <w:pPr>
              <w:jc w:val="left"/>
              <w:rPr>
                <w:rFonts w:cs="Calibri"/>
                <w:b/>
                <w:color w:val="000000"/>
                <w:szCs w:val="22"/>
              </w:rPr>
            </w:pPr>
            <w:r>
              <w:rPr>
                <w:rFonts w:cs="Calibri"/>
                <w:b/>
                <w:color w:val="000000"/>
                <w:szCs w:val="22"/>
              </w:rPr>
              <w:t>Inadequate response to complaint</w:t>
            </w:r>
          </w:p>
        </w:tc>
        <w:tc>
          <w:tcPr>
            <w:tcW w:w="1302" w:type="dxa"/>
            <w:vAlign w:val="center"/>
          </w:tcPr>
          <w:p w:rsidR="00A84223" w:rsidRPr="00666BAC" w:rsidRDefault="00A84223" w:rsidP="00AD120E">
            <w:pPr>
              <w:jc w:val="center"/>
              <w:rPr>
                <w:rFonts w:cs="Calibri"/>
                <w:b/>
                <w:color w:val="000000"/>
                <w:szCs w:val="22"/>
              </w:rPr>
            </w:pPr>
            <w:r>
              <w:rPr>
                <w:rFonts w:cs="Calibri"/>
                <w:b/>
                <w:color w:val="000000"/>
                <w:szCs w:val="22"/>
              </w:rPr>
              <w:t>20%</w:t>
            </w:r>
          </w:p>
        </w:tc>
        <w:tc>
          <w:tcPr>
            <w:tcW w:w="1303" w:type="dxa"/>
            <w:vAlign w:val="center"/>
          </w:tcPr>
          <w:p w:rsidR="00A84223" w:rsidRPr="00666BAC" w:rsidRDefault="00A84223" w:rsidP="00AD120E">
            <w:pPr>
              <w:jc w:val="center"/>
              <w:rPr>
                <w:rFonts w:cs="Calibri"/>
                <w:b/>
                <w:color w:val="000000"/>
                <w:szCs w:val="22"/>
              </w:rPr>
            </w:pPr>
            <w:r>
              <w:rPr>
                <w:rFonts w:cs="Calibri"/>
                <w:b/>
                <w:color w:val="000000"/>
                <w:szCs w:val="22"/>
              </w:rPr>
              <w:t>24%</w:t>
            </w:r>
          </w:p>
        </w:tc>
        <w:tc>
          <w:tcPr>
            <w:tcW w:w="1225" w:type="dxa"/>
            <w:vAlign w:val="center"/>
          </w:tcPr>
          <w:p w:rsidR="00A84223" w:rsidRPr="00666BAC" w:rsidRDefault="00A84223" w:rsidP="00AD120E">
            <w:pPr>
              <w:jc w:val="center"/>
              <w:rPr>
                <w:rFonts w:cs="Calibri"/>
                <w:b/>
                <w:color w:val="000000"/>
                <w:szCs w:val="22"/>
              </w:rPr>
            </w:pPr>
            <w:r>
              <w:rPr>
                <w:rFonts w:cs="Calibri"/>
                <w:b/>
                <w:color w:val="000000"/>
                <w:szCs w:val="22"/>
              </w:rPr>
              <w:t>22%</w:t>
            </w:r>
          </w:p>
        </w:tc>
        <w:tc>
          <w:tcPr>
            <w:tcW w:w="1169" w:type="dxa"/>
            <w:vAlign w:val="center"/>
          </w:tcPr>
          <w:p w:rsidR="00A84223" w:rsidRDefault="00A84223" w:rsidP="00DF0147">
            <w:pPr>
              <w:jc w:val="center"/>
              <w:rPr>
                <w:rFonts w:cs="Calibri"/>
                <w:b/>
                <w:color w:val="000000"/>
                <w:szCs w:val="22"/>
              </w:rPr>
            </w:pPr>
            <w:r>
              <w:rPr>
                <w:rFonts w:cs="Calibri"/>
                <w:b/>
                <w:color w:val="000000"/>
                <w:szCs w:val="22"/>
              </w:rPr>
              <w:t>17%</w:t>
            </w:r>
          </w:p>
        </w:tc>
        <w:tc>
          <w:tcPr>
            <w:tcW w:w="980" w:type="dxa"/>
            <w:vAlign w:val="center"/>
          </w:tcPr>
          <w:p w:rsidR="00A84223" w:rsidRDefault="00A84223" w:rsidP="00397B31">
            <w:pPr>
              <w:jc w:val="center"/>
              <w:rPr>
                <w:rFonts w:cs="Calibri"/>
                <w:b/>
                <w:color w:val="000000"/>
                <w:szCs w:val="22"/>
              </w:rPr>
            </w:pPr>
            <w:r>
              <w:rPr>
                <w:rFonts w:cs="Calibri"/>
                <w:b/>
                <w:color w:val="000000"/>
                <w:szCs w:val="22"/>
              </w:rPr>
              <w:t>16%</w:t>
            </w:r>
          </w:p>
        </w:tc>
      </w:tr>
      <w:tr w:rsidR="00A84223" w:rsidRPr="00666BAC" w:rsidTr="00BC6E86">
        <w:trPr>
          <w:trHeight w:val="278"/>
        </w:trPr>
        <w:tc>
          <w:tcPr>
            <w:tcW w:w="3211" w:type="dxa"/>
          </w:tcPr>
          <w:p w:rsidR="00A84223" w:rsidRPr="00666BAC" w:rsidRDefault="00A84223" w:rsidP="00AD120E">
            <w:pPr>
              <w:jc w:val="left"/>
              <w:rPr>
                <w:rFonts w:cs="Calibri"/>
                <w:b/>
                <w:color w:val="000000"/>
                <w:szCs w:val="22"/>
              </w:rPr>
            </w:pPr>
            <w:r>
              <w:rPr>
                <w:rFonts w:cs="Calibri"/>
                <w:b/>
                <w:color w:val="000000"/>
                <w:szCs w:val="22"/>
              </w:rPr>
              <w:t>Unexpected treatment outcome</w:t>
            </w:r>
          </w:p>
        </w:tc>
        <w:tc>
          <w:tcPr>
            <w:tcW w:w="1302" w:type="dxa"/>
            <w:vAlign w:val="center"/>
          </w:tcPr>
          <w:p w:rsidR="00A84223" w:rsidRPr="00666BAC" w:rsidRDefault="00A84223" w:rsidP="00AD120E">
            <w:pPr>
              <w:jc w:val="center"/>
              <w:rPr>
                <w:rFonts w:cs="Calibri"/>
                <w:b/>
                <w:color w:val="000000"/>
                <w:szCs w:val="22"/>
              </w:rPr>
            </w:pPr>
            <w:r>
              <w:rPr>
                <w:rFonts w:cs="Calibri"/>
                <w:b/>
                <w:color w:val="000000"/>
                <w:szCs w:val="22"/>
              </w:rPr>
              <w:t>15%</w:t>
            </w:r>
          </w:p>
        </w:tc>
        <w:tc>
          <w:tcPr>
            <w:tcW w:w="1303" w:type="dxa"/>
            <w:vAlign w:val="center"/>
          </w:tcPr>
          <w:p w:rsidR="00A84223" w:rsidRPr="00666BAC" w:rsidRDefault="00A84223" w:rsidP="00AD120E">
            <w:pPr>
              <w:jc w:val="center"/>
              <w:rPr>
                <w:rFonts w:cs="Calibri"/>
                <w:b/>
                <w:color w:val="000000"/>
                <w:szCs w:val="22"/>
              </w:rPr>
            </w:pPr>
            <w:r>
              <w:rPr>
                <w:rFonts w:cs="Calibri"/>
                <w:b/>
                <w:color w:val="000000"/>
                <w:szCs w:val="22"/>
              </w:rPr>
              <w:t>17%</w:t>
            </w:r>
          </w:p>
        </w:tc>
        <w:tc>
          <w:tcPr>
            <w:tcW w:w="1225" w:type="dxa"/>
            <w:vAlign w:val="center"/>
          </w:tcPr>
          <w:p w:rsidR="00A84223" w:rsidRPr="00666BAC" w:rsidRDefault="00A84223" w:rsidP="00AD120E">
            <w:pPr>
              <w:jc w:val="center"/>
              <w:rPr>
                <w:rFonts w:cs="Calibri"/>
                <w:b/>
                <w:color w:val="000000"/>
                <w:szCs w:val="22"/>
              </w:rPr>
            </w:pPr>
            <w:r>
              <w:rPr>
                <w:rFonts w:cs="Calibri"/>
                <w:b/>
                <w:color w:val="000000"/>
                <w:szCs w:val="22"/>
              </w:rPr>
              <w:t>19%</w:t>
            </w:r>
          </w:p>
        </w:tc>
        <w:tc>
          <w:tcPr>
            <w:tcW w:w="1169" w:type="dxa"/>
            <w:vAlign w:val="center"/>
          </w:tcPr>
          <w:p w:rsidR="00A84223" w:rsidRPr="00666BAC" w:rsidRDefault="00A84223" w:rsidP="00DF0147">
            <w:pPr>
              <w:jc w:val="center"/>
              <w:rPr>
                <w:rFonts w:cs="Calibri"/>
                <w:b/>
                <w:color w:val="000000"/>
                <w:szCs w:val="22"/>
              </w:rPr>
            </w:pPr>
            <w:r>
              <w:rPr>
                <w:rFonts w:cs="Calibri"/>
                <w:b/>
                <w:color w:val="000000"/>
                <w:szCs w:val="22"/>
              </w:rPr>
              <w:t>14%</w:t>
            </w:r>
          </w:p>
        </w:tc>
        <w:tc>
          <w:tcPr>
            <w:tcW w:w="980" w:type="dxa"/>
            <w:vAlign w:val="center"/>
          </w:tcPr>
          <w:p w:rsidR="00A84223" w:rsidRDefault="00A84223" w:rsidP="00397B31">
            <w:pPr>
              <w:jc w:val="center"/>
              <w:rPr>
                <w:rFonts w:cs="Calibri"/>
                <w:b/>
                <w:color w:val="000000"/>
                <w:szCs w:val="22"/>
              </w:rPr>
            </w:pPr>
            <w:r>
              <w:rPr>
                <w:rFonts w:cs="Calibri"/>
                <w:b/>
                <w:color w:val="000000"/>
                <w:szCs w:val="22"/>
              </w:rPr>
              <w:t>16%</w:t>
            </w:r>
          </w:p>
        </w:tc>
      </w:tr>
      <w:tr w:rsidR="00A84223" w:rsidRPr="00666BAC" w:rsidTr="00BC6E86">
        <w:trPr>
          <w:trHeight w:val="286"/>
        </w:trPr>
        <w:tc>
          <w:tcPr>
            <w:tcW w:w="3211" w:type="dxa"/>
          </w:tcPr>
          <w:p w:rsidR="00A84223" w:rsidRPr="00666BAC" w:rsidRDefault="00A84223" w:rsidP="000055C3">
            <w:pPr>
              <w:jc w:val="left"/>
              <w:rPr>
                <w:rFonts w:cs="Calibri"/>
                <w:b/>
                <w:color w:val="000000"/>
                <w:szCs w:val="22"/>
              </w:rPr>
            </w:pPr>
            <w:r w:rsidRPr="00666BAC">
              <w:rPr>
                <w:rFonts w:cs="Calibri"/>
                <w:b/>
                <w:color w:val="000000"/>
                <w:szCs w:val="22"/>
              </w:rPr>
              <w:t>Inadequate coordination of care/treatment</w:t>
            </w:r>
          </w:p>
        </w:tc>
        <w:tc>
          <w:tcPr>
            <w:tcW w:w="1302" w:type="dxa"/>
            <w:vAlign w:val="center"/>
          </w:tcPr>
          <w:p w:rsidR="00A84223" w:rsidRPr="00666BAC" w:rsidRDefault="00A84223" w:rsidP="000055C3">
            <w:pPr>
              <w:jc w:val="center"/>
              <w:rPr>
                <w:rFonts w:cs="Calibri"/>
                <w:b/>
                <w:color w:val="000000"/>
                <w:szCs w:val="22"/>
              </w:rPr>
            </w:pPr>
            <w:r w:rsidRPr="00666BAC">
              <w:rPr>
                <w:rFonts w:cs="Calibri"/>
                <w:b/>
                <w:color w:val="000000"/>
                <w:szCs w:val="22"/>
              </w:rPr>
              <w:t>14%</w:t>
            </w:r>
          </w:p>
        </w:tc>
        <w:tc>
          <w:tcPr>
            <w:tcW w:w="1303" w:type="dxa"/>
            <w:vAlign w:val="center"/>
          </w:tcPr>
          <w:p w:rsidR="00A84223" w:rsidRPr="00666BAC" w:rsidRDefault="00A84223" w:rsidP="000055C3">
            <w:pPr>
              <w:jc w:val="center"/>
              <w:rPr>
                <w:rFonts w:cs="Calibri"/>
                <w:b/>
                <w:color w:val="000000"/>
                <w:szCs w:val="22"/>
              </w:rPr>
            </w:pPr>
            <w:r w:rsidRPr="00666BAC">
              <w:rPr>
                <w:rFonts w:cs="Calibri"/>
                <w:b/>
                <w:color w:val="000000"/>
                <w:szCs w:val="22"/>
              </w:rPr>
              <w:t>19%</w:t>
            </w:r>
          </w:p>
        </w:tc>
        <w:tc>
          <w:tcPr>
            <w:tcW w:w="1225" w:type="dxa"/>
            <w:vAlign w:val="center"/>
          </w:tcPr>
          <w:p w:rsidR="00A84223" w:rsidRPr="00666BAC" w:rsidRDefault="00A84223" w:rsidP="000055C3">
            <w:pPr>
              <w:jc w:val="center"/>
              <w:rPr>
                <w:rFonts w:cs="Calibri"/>
                <w:b/>
                <w:color w:val="000000"/>
                <w:szCs w:val="22"/>
              </w:rPr>
            </w:pPr>
            <w:r w:rsidRPr="00666BAC">
              <w:rPr>
                <w:rFonts w:cs="Calibri"/>
                <w:b/>
                <w:color w:val="000000"/>
                <w:szCs w:val="22"/>
              </w:rPr>
              <w:t>24%</w:t>
            </w:r>
          </w:p>
        </w:tc>
        <w:tc>
          <w:tcPr>
            <w:tcW w:w="1169" w:type="dxa"/>
            <w:vAlign w:val="center"/>
          </w:tcPr>
          <w:p w:rsidR="00A84223" w:rsidRPr="00666BAC" w:rsidRDefault="00A84223" w:rsidP="000055C3">
            <w:pPr>
              <w:jc w:val="center"/>
              <w:rPr>
                <w:rFonts w:cs="Calibri"/>
                <w:b/>
                <w:color w:val="000000"/>
                <w:szCs w:val="22"/>
              </w:rPr>
            </w:pPr>
            <w:r>
              <w:rPr>
                <w:rFonts w:cs="Calibri"/>
                <w:b/>
                <w:color w:val="000000"/>
                <w:szCs w:val="22"/>
              </w:rPr>
              <w:t>21%</w:t>
            </w:r>
          </w:p>
        </w:tc>
        <w:tc>
          <w:tcPr>
            <w:tcW w:w="980" w:type="dxa"/>
            <w:vAlign w:val="center"/>
          </w:tcPr>
          <w:p w:rsidR="00A84223" w:rsidRDefault="00A84223" w:rsidP="000055C3">
            <w:pPr>
              <w:jc w:val="center"/>
              <w:rPr>
                <w:rFonts w:cs="Calibri"/>
                <w:b/>
                <w:color w:val="000000"/>
                <w:szCs w:val="22"/>
              </w:rPr>
            </w:pPr>
            <w:r>
              <w:rPr>
                <w:rFonts w:cs="Calibri"/>
                <w:b/>
                <w:color w:val="000000"/>
                <w:szCs w:val="22"/>
              </w:rPr>
              <w:t>16%</w:t>
            </w:r>
          </w:p>
        </w:tc>
      </w:tr>
    </w:tbl>
    <w:p w:rsidR="007A59AB" w:rsidRDefault="007A59AB" w:rsidP="000801BA"/>
    <w:p w:rsidR="007A59AB" w:rsidRDefault="007A59AB"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Default="00BC6E86" w:rsidP="000801BA"/>
    <w:p w:rsidR="00BC6E86" w:rsidRPr="00666BAC" w:rsidRDefault="00BC6E86" w:rsidP="000801BA"/>
    <w:tbl>
      <w:tblPr>
        <w:tblStyle w:val="TableGrid"/>
        <w:tblW w:w="0" w:type="auto"/>
        <w:tblLook w:val="04A0" w:firstRow="1" w:lastRow="0" w:firstColumn="1" w:lastColumn="0" w:noHBand="0" w:noVBand="1"/>
      </w:tblPr>
      <w:tblGrid>
        <w:gridCol w:w="9298"/>
      </w:tblGrid>
      <w:tr w:rsidR="000801BA" w:rsidRPr="00666BAC" w:rsidTr="000801BA">
        <w:trPr>
          <w:hidden/>
        </w:trPr>
        <w:tc>
          <w:tcPr>
            <w:tcW w:w="9298" w:type="dxa"/>
            <w:tcBorders>
              <w:bottom w:val="single" w:sz="24" w:space="0" w:color="C00000"/>
            </w:tcBorders>
          </w:tcPr>
          <w:p w:rsidR="000801BA" w:rsidRPr="00666BAC" w:rsidRDefault="000801BA" w:rsidP="000801BA">
            <w:pPr>
              <w:spacing w:before="120" w:after="120"/>
              <w:rPr>
                <w:b/>
                <w:vanish/>
                <w:sz w:val="28"/>
                <w:szCs w:val="28"/>
              </w:rPr>
            </w:pPr>
            <w:r w:rsidRPr="00666BAC">
              <w:rPr>
                <w:b/>
                <w:vanish/>
                <w:sz w:val="28"/>
                <w:szCs w:val="28"/>
              </w:rPr>
              <w:t>Disrespectful manner/attitude case example</w:t>
            </w:r>
          </w:p>
          <w:p w:rsidR="000801BA" w:rsidRPr="00666BAC" w:rsidRDefault="000801BA" w:rsidP="000801BA">
            <w:pPr>
              <w:spacing w:before="120" w:after="120"/>
              <w:rPr>
                <w:vanish/>
                <w:szCs w:val="22"/>
              </w:rPr>
            </w:pPr>
          </w:p>
          <w:p w:rsidR="000801BA" w:rsidRPr="00666BAC" w:rsidRDefault="000801BA" w:rsidP="000801BA">
            <w:pPr>
              <w:spacing w:before="120" w:after="120"/>
              <w:rPr>
                <w:vanish/>
                <w:szCs w:val="22"/>
              </w:rPr>
            </w:pPr>
          </w:p>
        </w:tc>
      </w:tr>
      <w:tr w:rsidR="000801BA" w:rsidRPr="00666BAC" w:rsidTr="000801BA">
        <w:tc>
          <w:tcPr>
            <w:tcW w:w="9298" w:type="dxa"/>
            <w:tcBorders>
              <w:top w:val="single" w:sz="24" w:space="0" w:color="C00000"/>
              <w:left w:val="single" w:sz="24" w:space="0" w:color="C00000"/>
              <w:bottom w:val="single" w:sz="24" w:space="0" w:color="C00000"/>
              <w:right w:val="single" w:sz="24" w:space="0" w:color="C00000"/>
            </w:tcBorders>
          </w:tcPr>
          <w:p w:rsidR="00C365C0" w:rsidRDefault="00AF239A" w:rsidP="00A84223">
            <w:pPr>
              <w:tabs>
                <w:tab w:val="left" w:pos="1440"/>
                <w:tab w:val="left" w:pos="2610"/>
              </w:tabs>
              <w:spacing w:before="120"/>
              <w:jc w:val="center"/>
              <w:outlineLvl w:val="0"/>
              <w:rPr>
                <w:b/>
                <w:szCs w:val="22"/>
              </w:rPr>
            </w:pPr>
            <w:r w:rsidRPr="00666BAC">
              <w:rPr>
                <w:b/>
                <w:sz w:val="28"/>
                <w:szCs w:val="28"/>
              </w:rPr>
              <w:lastRenderedPageBreak/>
              <w:t xml:space="preserve">Case study: </w:t>
            </w:r>
            <w:r w:rsidR="00DE6DBA">
              <w:rPr>
                <w:b/>
                <w:sz w:val="28"/>
                <w:szCs w:val="28"/>
              </w:rPr>
              <w:t xml:space="preserve">Coordination of care/treatment </w:t>
            </w:r>
            <w:r w:rsidR="00DE6DBA" w:rsidRPr="009A672F">
              <w:rPr>
                <w:b/>
                <w:szCs w:val="22"/>
              </w:rPr>
              <w:t>(16HDC00460)</w:t>
            </w:r>
          </w:p>
          <w:p w:rsidR="009A672F" w:rsidRDefault="009A672F" w:rsidP="007A59AB">
            <w:pPr>
              <w:spacing w:before="120" w:after="120"/>
              <w:jc w:val="center"/>
              <w:rPr>
                <w:b/>
                <w:sz w:val="24"/>
              </w:rPr>
            </w:pPr>
            <w:r>
              <w:rPr>
                <w:b/>
                <w:sz w:val="24"/>
              </w:rPr>
              <w:t>Opioid treatment while on Methadone</w:t>
            </w:r>
          </w:p>
          <w:p w:rsidR="009A672F" w:rsidRPr="007A59AB" w:rsidRDefault="009A672F" w:rsidP="009A672F">
            <w:pPr>
              <w:spacing w:after="240"/>
              <w:rPr>
                <w:szCs w:val="22"/>
              </w:rPr>
            </w:pPr>
            <w:r w:rsidRPr="007A59AB">
              <w:rPr>
                <w:szCs w:val="22"/>
              </w:rPr>
              <w:t xml:space="preserve">A woman with a complex medical history including chronic pain and substance dependence attended a methadone programme and also enrolled at a medical practice where she was prescribed </w:t>
            </w:r>
            <w:proofErr w:type="spellStart"/>
            <w:r w:rsidRPr="007A59AB">
              <w:rPr>
                <w:szCs w:val="22"/>
              </w:rPr>
              <w:t>dihydrocodeine</w:t>
            </w:r>
            <w:proofErr w:type="spellEnd"/>
            <w:r w:rsidRPr="007A59AB">
              <w:rPr>
                <w:szCs w:val="22"/>
              </w:rPr>
              <w:t xml:space="preserve"> (DHC) for her chronic pain. She failed to inform the GP that she was on the methadone programme for 16 months.</w:t>
            </w:r>
          </w:p>
          <w:p w:rsidR="009A672F" w:rsidRPr="007A59AB" w:rsidRDefault="009A672F" w:rsidP="009A672F">
            <w:pPr>
              <w:spacing w:after="240"/>
              <w:rPr>
                <w:szCs w:val="22"/>
              </w:rPr>
            </w:pPr>
            <w:r w:rsidRPr="007A59AB">
              <w:rPr>
                <w:szCs w:val="22"/>
              </w:rPr>
              <w:t>The GP contacted the methadone treatment service to discuss the woman’s ongoing treatment, however although the service confirmed the woman was on the programme, no further advice about her treatment was provided. The GP continued to prescribe DHC regularly.</w:t>
            </w:r>
          </w:p>
          <w:p w:rsidR="00791871" w:rsidRPr="007A59AB" w:rsidRDefault="00791871" w:rsidP="007A59AB">
            <w:pPr>
              <w:pStyle w:val="Paranumbered"/>
              <w:ind w:firstLine="0"/>
              <w:rPr>
                <w:rFonts w:asciiTheme="minorHAnsi" w:hAnsiTheme="minorHAnsi"/>
                <w:sz w:val="22"/>
                <w:szCs w:val="22"/>
              </w:rPr>
            </w:pPr>
            <w:r w:rsidRPr="007A59AB">
              <w:rPr>
                <w:rFonts w:asciiTheme="minorHAnsi" w:hAnsiTheme="minorHAnsi"/>
                <w:sz w:val="22"/>
                <w:szCs w:val="22"/>
              </w:rPr>
              <w:t>The methadone treatment service referred the woman to the pain clinic. However, the methadone treatment service stated that because the woman was an ACC client, the referral would have be</w:t>
            </w:r>
            <w:r w:rsidR="00BC6E86">
              <w:rPr>
                <w:rFonts w:asciiTheme="minorHAnsi" w:hAnsiTheme="minorHAnsi"/>
                <w:sz w:val="22"/>
                <w:szCs w:val="22"/>
              </w:rPr>
              <w:t>en sent to ACC for approval. I</w:t>
            </w:r>
            <w:r w:rsidRPr="007A59AB">
              <w:rPr>
                <w:rFonts w:asciiTheme="minorHAnsi" w:hAnsiTheme="minorHAnsi"/>
                <w:sz w:val="22"/>
                <w:szCs w:val="22"/>
              </w:rPr>
              <w:t>t appears that this was not granted by ACC or followed up by the methadone treatment service.</w:t>
            </w:r>
          </w:p>
          <w:p w:rsidR="009A672F" w:rsidRPr="007A59AB" w:rsidRDefault="009A672F" w:rsidP="009A672F">
            <w:pPr>
              <w:spacing w:after="240"/>
              <w:rPr>
                <w:szCs w:val="22"/>
              </w:rPr>
            </w:pPr>
            <w:r w:rsidRPr="007A59AB">
              <w:rPr>
                <w:szCs w:val="22"/>
              </w:rPr>
              <w:t>The practice was contacted by Medicines Control who advised that a Restriction Notice in the woman’s name had been issued and asked if the practice wished to be included as a prescriber on the Notice in conjunction with the methadone service.</w:t>
            </w:r>
          </w:p>
          <w:p w:rsidR="009A672F" w:rsidRDefault="009A672F" w:rsidP="009A672F">
            <w:pPr>
              <w:spacing w:after="240"/>
              <w:rPr>
                <w:szCs w:val="22"/>
              </w:rPr>
            </w:pPr>
            <w:r w:rsidRPr="007A59AB">
              <w:rPr>
                <w:szCs w:val="22"/>
              </w:rPr>
              <w:t>There was confusion over extending the Restriction Notice. The practice thought it was authorised to prescribe DHC and that a plan to reduce the prescription would be forthcoming from the service. The practice continued to prescribe DHC to the woman until the service instructed the practice that all prescribing of DHC was to cease and any reduction would be managed by the service.</w:t>
            </w:r>
          </w:p>
          <w:p w:rsidR="001A6F7E" w:rsidRPr="001A6F7E" w:rsidRDefault="001A6F7E" w:rsidP="009A672F">
            <w:pPr>
              <w:spacing w:after="240"/>
              <w:rPr>
                <w:szCs w:val="22"/>
                <w:u w:val="single"/>
              </w:rPr>
            </w:pPr>
            <w:r>
              <w:rPr>
                <w:szCs w:val="22"/>
                <w:u w:val="single"/>
              </w:rPr>
              <w:t>Findings</w:t>
            </w:r>
          </w:p>
          <w:p w:rsidR="00791871" w:rsidRPr="007A59AB" w:rsidRDefault="00791871" w:rsidP="007A59AB">
            <w:pPr>
              <w:pStyle w:val="Paranumbered"/>
              <w:ind w:firstLine="0"/>
              <w:rPr>
                <w:rFonts w:asciiTheme="minorHAnsi" w:hAnsiTheme="minorHAnsi"/>
                <w:sz w:val="22"/>
                <w:szCs w:val="22"/>
              </w:rPr>
            </w:pPr>
            <w:r w:rsidRPr="007A59AB">
              <w:rPr>
                <w:rFonts w:asciiTheme="minorHAnsi" w:hAnsiTheme="minorHAnsi"/>
                <w:sz w:val="22"/>
                <w:szCs w:val="22"/>
              </w:rPr>
              <w:t xml:space="preserve">The Mental Health Commissioner was concerned that the standard of communication by the methadone treatment service with the medical practice was </w:t>
            </w:r>
            <w:r w:rsidR="00F72D35" w:rsidRPr="007A59AB">
              <w:rPr>
                <w:rFonts w:asciiTheme="minorHAnsi" w:hAnsiTheme="minorHAnsi"/>
                <w:sz w:val="22"/>
                <w:szCs w:val="22"/>
              </w:rPr>
              <w:t xml:space="preserve">frequently </w:t>
            </w:r>
            <w:r w:rsidRPr="007A59AB">
              <w:rPr>
                <w:rFonts w:asciiTheme="minorHAnsi" w:hAnsiTheme="minorHAnsi"/>
                <w:sz w:val="22"/>
                <w:szCs w:val="22"/>
              </w:rPr>
              <w:t xml:space="preserve">ambiguous and inconsistent. He was critical of the methadone treatment service’s failure to provide the medical practice with regular updates or to </w:t>
            </w:r>
            <w:r w:rsidR="00F72D35" w:rsidRPr="007A59AB">
              <w:rPr>
                <w:rFonts w:asciiTheme="minorHAnsi" w:hAnsiTheme="minorHAnsi"/>
                <w:sz w:val="22"/>
                <w:szCs w:val="22"/>
              </w:rPr>
              <w:t xml:space="preserve">adequately </w:t>
            </w:r>
            <w:r w:rsidRPr="007A59AB">
              <w:rPr>
                <w:rFonts w:asciiTheme="minorHAnsi" w:hAnsiTheme="minorHAnsi"/>
                <w:sz w:val="22"/>
                <w:szCs w:val="22"/>
              </w:rPr>
              <w:t xml:space="preserve">discuss a treatment plan for the woman with the GP. Furthermore, he was critical that once the methadone treatment service became aware of the dual prescribing, there was not a timely, clear instruction from a senior member of the methadone treatment service team to the medical practice for an immediate cessation of prescribing. The Mental Health Commissioner also considered that the methadone treatment service’s failure to follow up on the woman’s referral to the pain clinic meant that she was unable to access the care she should have received. </w:t>
            </w:r>
          </w:p>
          <w:p w:rsidR="00791871" w:rsidRPr="007A59AB" w:rsidRDefault="00E14181" w:rsidP="009A672F">
            <w:pPr>
              <w:spacing w:after="240"/>
              <w:rPr>
                <w:szCs w:val="22"/>
              </w:rPr>
            </w:pPr>
            <w:r w:rsidRPr="007A59AB">
              <w:rPr>
                <w:szCs w:val="22"/>
              </w:rPr>
              <w:t xml:space="preserve">As outlined above, the Mental Health Commissioner found there were a number of inadequacies in the coordination of the </w:t>
            </w:r>
            <w:r w:rsidR="00F72D35">
              <w:rPr>
                <w:szCs w:val="22"/>
              </w:rPr>
              <w:t>woman’s</w:t>
            </w:r>
            <w:r w:rsidR="00F72D35" w:rsidRPr="007A59AB">
              <w:rPr>
                <w:szCs w:val="22"/>
              </w:rPr>
              <w:t xml:space="preserve"> </w:t>
            </w:r>
            <w:r w:rsidRPr="007A59AB">
              <w:rPr>
                <w:szCs w:val="22"/>
              </w:rPr>
              <w:t xml:space="preserve">care which were attributable to the DHB. </w:t>
            </w:r>
            <w:r w:rsidR="001A6F7E">
              <w:rPr>
                <w:rFonts w:eastAsia="Arial"/>
                <w:szCs w:val="22"/>
              </w:rPr>
              <w:t xml:space="preserve">Accordingly, he found the </w:t>
            </w:r>
            <w:r w:rsidRPr="007A59AB">
              <w:rPr>
                <w:rFonts w:eastAsia="Arial"/>
                <w:szCs w:val="22"/>
              </w:rPr>
              <w:t>DHB in breach of Right 4(5) of the Code</w:t>
            </w:r>
            <w:r w:rsidR="00F72D35">
              <w:rPr>
                <w:rFonts w:eastAsia="Arial"/>
                <w:szCs w:val="22"/>
              </w:rPr>
              <w:t>.</w:t>
            </w:r>
          </w:p>
          <w:p w:rsidR="00E14181" w:rsidRPr="007A59AB" w:rsidRDefault="00E14181" w:rsidP="00E14181">
            <w:pPr>
              <w:spacing w:after="240"/>
              <w:rPr>
                <w:szCs w:val="22"/>
              </w:rPr>
            </w:pPr>
            <w:r w:rsidRPr="007A59AB">
              <w:rPr>
                <w:szCs w:val="22"/>
              </w:rPr>
              <w:t>The Mental Health Commissioner also made adverse comment about the failure of the GP to determine beyond doubt if the medical practice could continue to prescribe the DHC and to clarify the reduction plan. Adverse comment was also made about a second GP at the medical practice prescribing 3 months supply of DHC for the woman when a smaller amount could have been prescribed due to the uncertainty of the prescribing responsibility.</w:t>
            </w:r>
          </w:p>
          <w:p w:rsidR="00E14181" w:rsidRPr="007A59AB" w:rsidRDefault="00E14181" w:rsidP="00E14181">
            <w:pPr>
              <w:pStyle w:val="Paranumbered"/>
              <w:ind w:firstLine="0"/>
              <w:rPr>
                <w:rFonts w:asciiTheme="minorHAnsi" w:hAnsiTheme="minorHAnsi"/>
                <w:sz w:val="22"/>
                <w:szCs w:val="22"/>
              </w:rPr>
            </w:pPr>
            <w:r w:rsidRPr="007A59AB">
              <w:rPr>
                <w:rFonts w:asciiTheme="minorHAnsi" w:hAnsiTheme="minorHAnsi"/>
                <w:sz w:val="22"/>
                <w:szCs w:val="22"/>
              </w:rPr>
              <w:t xml:space="preserve">The Mental Health Commissioner noted that the DHB had undertaken an external review of the methadone programme, and that the recommendations proposed as a result of this review have largely been implemented and continue to be reviewed, with the aim of providing a service that focuses on patient well-being, recovery, and harm minimisation. In light of these changes he </w:t>
            </w:r>
            <w:r w:rsidRPr="007A59AB">
              <w:rPr>
                <w:rFonts w:asciiTheme="minorHAnsi" w:hAnsiTheme="minorHAnsi"/>
                <w:sz w:val="22"/>
                <w:szCs w:val="22"/>
              </w:rPr>
              <w:lastRenderedPageBreak/>
              <w:t>recommended that the DHB:</w:t>
            </w:r>
          </w:p>
          <w:p w:rsidR="00E14181" w:rsidRPr="007A59AB" w:rsidRDefault="00E14181" w:rsidP="001916DC">
            <w:pPr>
              <w:pStyle w:val="Bulletindent"/>
              <w:numPr>
                <w:ilvl w:val="0"/>
                <w:numId w:val="1"/>
              </w:numPr>
              <w:tabs>
                <w:tab w:val="clear" w:pos="1134"/>
                <w:tab w:val="left" w:pos="851"/>
                <w:tab w:val="left" w:pos="4111"/>
              </w:tabs>
              <w:spacing w:after="120"/>
              <w:rPr>
                <w:szCs w:val="22"/>
              </w:rPr>
            </w:pPr>
            <w:r w:rsidRPr="007A59AB">
              <w:rPr>
                <w:color w:val="000000"/>
                <w:szCs w:val="22"/>
                <w:lang w:eastAsia="en-NZ"/>
              </w:rPr>
              <w:t xml:space="preserve">Conduct a random audit of clients covering the past 12 months to ensure that a copy of the opioid substitution treatment assessment </w:t>
            </w:r>
            <w:r w:rsidR="00F72D35" w:rsidRPr="007A59AB">
              <w:rPr>
                <w:color w:val="000000"/>
                <w:szCs w:val="22"/>
                <w:lang w:eastAsia="en-NZ"/>
              </w:rPr>
              <w:t>ha</w:t>
            </w:r>
            <w:r w:rsidR="00F72D35">
              <w:rPr>
                <w:color w:val="000000"/>
                <w:szCs w:val="22"/>
                <w:lang w:eastAsia="en-NZ"/>
              </w:rPr>
              <w:t>d</w:t>
            </w:r>
            <w:r w:rsidR="00F72D35" w:rsidRPr="007A59AB">
              <w:rPr>
                <w:color w:val="000000"/>
                <w:szCs w:val="22"/>
                <w:lang w:eastAsia="en-NZ"/>
              </w:rPr>
              <w:t xml:space="preserve"> </w:t>
            </w:r>
            <w:r w:rsidRPr="007A59AB">
              <w:rPr>
                <w:color w:val="000000"/>
                <w:szCs w:val="22"/>
                <w:lang w:eastAsia="en-NZ"/>
              </w:rPr>
              <w:t>been sent to the client’s GP, along with an update following the three-month and six-month review, and report back on the results of the audit, including any actions taken or planned to address any issues identified by the audit.</w:t>
            </w:r>
          </w:p>
          <w:p w:rsidR="00E14181" w:rsidRPr="007A59AB" w:rsidRDefault="00E14181" w:rsidP="001916DC">
            <w:pPr>
              <w:numPr>
                <w:ilvl w:val="0"/>
                <w:numId w:val="1"/>
              </w:numPr>
              <w:tabs>
                <w:tab w:val="left" w:pos="851"/>
              </w:tabs>
              <w:spacing w:after="240"/>
              <w:rPr>
                <w:szCs w:val="22"/>
              </w:rPr>
            </w:pPr>
            <w:r w:rsidRPr="007A59AB">
              <w:rPr>
                <w:szCs w:val="22"/>
              </w:rPr>
              <w:t>Consider, in consultation with the Director of Mental Health and the Ministry of Health Medicines Control, the introduction of an alert to GPs on the clinical records system, and report back on its consideration.</w:t>
            </w:r>
          </w:p>
          <w:p w:rsidR="009A672F" w:rsidRPr="007A59AB" w:rsidRDefault="007A59AB" w:rsidP="007A59AB">
            <w:pPr>
              <w:pStyle w:val="Paranumbered"/>
              <w:ind w:firstLine="0"/>
              <w:rPr>
                <w:rFonts w:asciiTheme="minorHAnsi" w:hAnsiTheme="minorHAnsi"/>
                <w:sz w:val="22"/>
                <w:szCs w:val="22"/>
              </w:rPr>
            </w:pPr>
            <w:r w:rsidRPr="007A59AB">
              <w:rPr>
                <w:rFonts w:asciiTheme="minorHAnsi" w:hAnsiTheme="minorHAnsi"/>
                <w:sz w:val="22"/>
                <w:szCs w:val="22"/>
              </w:rPr>
              <w:t>These recommendations have been met.</w:t>
            </w:r>
          </w:p>
        </w:tc>
      </w:tr>
    </w:tbl>
    <w:p w:rsidR="007A59AB" w:rsidRPr="00666BAC" w:rsidRDefault="007A59AB" w:rsidP="00094A1C"/>
    <w:p w:rsidR="003E75BB" w:rsidRPr="00666BAC" w:rsidRDefault="003E75BB" w:rsidP="00FC4241">
      <w:pPr>
        <w:pStyle w:val="Heading3"/>
        <w:spacing w:after="120"/>
        <w:rPr>
          <w:b/>
          <w:i w:val="0"/>
          <w:sz w:val="28"/>
          <w:szCs w:val="28"/>
        </w:rPr>
      </w:pPr>
      <w:bookmarkStart w:id="31" w:name="_Toc506278072"/>
      <w:r w:rsidRPr="00666BAC">
        <w:rPr>
          <w:b/>
          <w:i w:val="0"/>
          <w:sz w:val="28"/>
          <w:szCs w:val="28"/>
        </w:rPr>
        <w:t>3.2</w:t>
      </w:r>
      <w:r w:rsidRPr="00666BAC">
        <w:rPr>
          <w:b/>
          <w:i w:val="0"/>
          <w:sz w:val="28"/>
          <w:szCs w:val="28"/>
        </w:rPr>
        <w:tab/>
        <w:t>Complaint issues by service type</w:t>
      </w:r>
      <w:bookmarkEnd w:id="31"/>
      <w:r w:rsidRPr="00666BAC">
        <w:rPr>
          <w:b/>
          <w:i w:val="0"/>
          <w:sz w:val="28"/>
          <w:szCs w:val="28"/>
        </w:rPr>
        <w:t xml:space="preserve"> </w:t>
      </w:r>
    </w:p>
    <w:p w:rsidR="003E75BB" w:rsidRPr="00666BAC" w:rsidRDefault="003E75BB" w:rsidP="003E75BB">
      <w:pPr>
        <w:spacing w:after="120"/>
      </w:pPr>
      <w:r w:rsidRPr="00666BAC">
        <w:t>Issues raised in complaints vary, at least to some degree, according to the DHB service type</w:t>
      </w:r>
      <w:r w:rsidR="00D5364B">
        <w:t xml:space="preserve"> concerned.  As shown in Table 6</w:t>
      </w:r>
      <w:r w:rsidRPr="00666BAC">
        <w:t xml:space="preserve"> below, diagnostic issues were most prevalent in complaints about services with high diagnostic workl</w:t>
      </w:r>
      <w:r w:rsidR="00663E04">
        <w:t>oads, with 40</w:t>
      </w:r>
      <w:r w:rsidRPr="00666BAC">
        <w:t xml:space="preserve">% of </w:t>
      </w:r>
      <w:r w:rsidR="00F01B8D" w:rsidRPr="00666BAC">
        <w:t>emergency department</w:t>
      </w:r>
      <w:r w:rsidRPr="00666BAC">
        <w:t xml:space="preserve"> complaints</w:t>
      </w:r>
      <w:r w:rsidR="00663E04">
        <w:t xml:space="preserve"> and 14</w:t>
      </w:r>
      <w:r w:rsidR="00AB0229" w:rsidRPr="00666BAC">
        <w:t>% of general medicine complaints</w:t>
      </w:r>
      <w:r w:rsidRPr="00666BAC">
        <w:t xml:space="preserve"> being primarily about </w:t>
      </w:r>
      <w:r w:rsidR="00F01B8D" w:rsidRPr="00666BAC">
        <w:t xml:space="preserve">a </w:t>
      </w:r>
      <w:r w:rsidRPr="00666BAC">
        <w:t>miss</w:t>
      </w:r>
      <w:r w:rsidR="00860E78" w:rsidRPr="00666BAC">
        <w:t>ed/incorrect/delayed diagnosis. U</w:t>
      </w:r>
      <w:r w:rsidR="00BA036B" w:rsidRPr="00666BAC">
        <w:t>nexpected treatment outcome was prominent for surgical ser</w:t>
      </w:r>
      <w:r w:rsidR="00860E78" w:rsidRPr="00666BAC">
        <w:t>vices, as this issue most often</w:t>
      </w:r>
      <w:r w:rsidR="00BA036B" w:rsidRPr="00666BAC">
        <w:t xml:space="preserve"> relates to post-surgical </w:t>
      </w:r>
      <w:r w:rsidR="00860E78" w:rsidRPr="00666BAC">
        <w:t>complications</w:t>
      </w:r>
      <w:r w:rsidR="00F72D35">
        <w:t>.</w:t>
      </w:r>
    </w:p>
    <w:p w:rsidR="00AB0229" w:rsidRPr="00666BAC" w:rsidRDefault="00860E78" w:rsidP="003E75BB">
      <w:pPr>
        <w:spacing w:after="120"/>
      </w:pPr>
      <w:r w:rsidRPr="00666BAC">
        <w:t>These issues are</w:t>
      </w:r>
      <w:r w:rsidR="00AB0229" w:rsidRPr="00666BAC">
        <w:t xml:space="preserve"> broadly simi</w:t>
      </w:r>
      <w:r w:rsidR="00DA7903">
        <w:t xml:space="preserve">lar to what was seen last year. However, </w:t>
      </w:r>
      <w:r w:rsidR="00663E04">
        <w:t xml:space="preserve">waiting list/prioritisation issues became more prominent for surgical and general medicine services and lack of access to services became more prominent for mental health services. </w:t>
      </w:r>
    </w:p>
    <w:p w:rsidR="00BC6E86" w:rsidRDefault="003E75BB" w:rsidP="003E75BB">
      <w:pPr>
        <w:spacing w:after="120"/>
      </w:pPr>
      <w:r w:rsidRPr="00666BAC">
        <w:t xml:space="preserve">Primary issues in complaints about mental health services were quite distinct, with issues relating to </w:t>
      </w:r>
      <w:r w:rsidR="00663E04">
        <w:t>involuntary admission/treatment and</w:t>
      </w:r>
      <w:r w:rsidR="00DA7903">
        <w:t xml:space="preserve"> </w:t>
      </w:r>
      <w:r w:rsidR="00663E04">
        <w:t xml:space="preserve">safety issues for consumers in inpatient units </w:t>
      </w:r>
      <w:r w:rsidR="00DA7903">
        <w:t>being common for this service.</w:t>
      </w:r>
      <w:r w:rsidR="00663E04">
        <w:t xml:space="preserve"> ‘General safety issue for consumer in facility’ became more prominent for mental health services in 2017/18 than has been seen in previous years.</w:t>
      </w:r>
    </w:p>
    <w:p w:rsidR="00982427" w:rsidRPr="00666BAC" w:rsidRDefault="00982427" w:rsidP="003E75BB">
      <w:pPr>
        <w:spacing w:after="120"/>
      </w:pPr>
    </w:p>
    <w:p w:rsidR="003E75BB" w:rsidRPr="00666BAC" w:rsidRDefault="00D5364B" w:rsidP="003E75BB">
      <w:pPr>
        <w:spacing w:after="120"/>
        <w:rPr>
          <w:i/>
        </w:rPr>
      </w:pPr>
      <w:r>
        <w:rPr>
          <w:b/>
          <w:szCs w:val="22"/>
        </w:rPr>
        <w:t>Table 6</w:t>
      </w:r>
      <w:r w:rsidR="003E75BB" w:rsidRPr="00666BAC">
        <w:rPr>
          <w:b/>
          <w:szCs w:val="22"/>
        </w:rPr>
        <w:t xml:space="preserve">. </w:t>
      </w:r>
      <w:r w:rsidR="00094A1C" w:rsidRPr="00666BAC">
        <w:rPr>
          <w:szCs w:val="22"/>
        </w:rPr>
        <w:t>M</w:t>
      </w:r>
      <w:r w:rsidR="003E75BB" w:rsidRPr="00666BAC">
        <w:rPr>
          <w:szCs w:val="22"/>
        </w:rPr>
        <w:t xml:space="preserve">ost common </w:t>
      </w:r>
      <w:r w:rsidR="00094A1C" w:rsidRPr="00666BAC">
        <w:rPr>
          <w:szCs w:val="22"/>
        </w:rPr>
        <w:t xml:space="preserve">primary </w:t>
      </w:r>
      <w:r w:rsidR="003E75BB" w:rsidRPr="00666BAC">
        <w:rPr>
          <w:szCs w:val="22"/>
        </w:rPr>
        <w:t>issues in complaints by service type</w:t>
      </w:r>
    </w:p>
    <w:tbl>
      <w:tblPr>
        <w:tblStyle w:val="TableGrid"/>
        <w:tblW w:w="0" w:type="auto"/>
        <w:tblLook w:val="04A0" w:firstRow="1" w:lastRow="0" w:firstColumn="1" w:lastColumn="0" w:noHBand="0" w:noVBand="1"/>
      </w:tblPr>
      <w:tblGrid>
        <w:gridCol w:w="9298"/>
      </w:tblGrid>
      <w:tr w:rsidR="003E75BB" w:rsidRPr="00666BAC" w:rsidTr="003E75BB">
        <w:trPr>
          <w:hidden/>
        </w:trPr>
        <w:tc>
          <w:tcPr>
            <w:tcW w:w="9298" w:type="dxa"/>
          </w:tcPr>
          <w:p w:rsidR="003E75BB" w:rsidRPr="00666BAC" w:rsidRDefault="003E75BB" w:rsidP="003E75BB">
            <w:pPr>
              <w:spacing w:before="120" w:after="120"/>
              <w:rPr>
                <w:b/>
                <w:vanish/>
                <w:sz w:val="28"/>
                <w:szCs w:val="28"/>
              </w:rPr>
            </w:pPr>
            <w:r w:rsidRPr="00666BAC">
              <w:rPr>
                <w:b/>
                <w:vanish/>
                <w:sz w:val="28"/>
                <w:szCs w:val="28"/>
              </w:rPr>
              <w:t>What does this tell us?</w:t>
            </w:r>
          </w:p>
          <w:p w:rsidR="003E75BB" w:rsidRPr="00666BAC" w:rsidRDefault="003E75BB" w:rsidP="003E75BB">
            <w:pPr>
              <w:spacing w:before="120" w:after="120"/>
              <w:rPr>
                <w:vanish/>
                <w:szCs w:val="22"/>
              </w:rPr>
            </w:pPr>
          </w:p>
        </w:tc>
      </w:tr>
    </w:tbl>
    <w:tbl>
      <w:tblPr>
        <w:tblpPr w:leftFromText="180" w:rightFromText="180" w:vertAnchor="text" w:horzAnchor="margin" w:tblpY="99"/>
        <w:tblW w:w="547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571"/>
        <w:gridCol w:w="1559"/>
        <w:gridCol w:w="568"/>
        <w:gridCol w:w="1418"/>
        <w:gridCol w:w="566"/>
        <w:gridCol w:w="1561"/>
        <w:gridCol w:w="568"/>
        <w:gridCol w:w="1418"/>
        <w:gridCol w:w="568"/>
      </w:tblGrid>
      <w:tr w:rsidR="00BB68BB" w:rsidRPr="00666BAC" w:rsidTr="00BC6E86">
        <w:tc>
          <w:tcPr>
            <w:tcW w:w="957"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Surgery</w:t>
            </w:r>
          </w:p>
          <w:p w:rsidR="003E75BB" w:rsidRPr="00666BAC" w:rsidRDefault="00DD2400" w:rsidP="00AB0229">
            <w:pPr>
              <w:keepNext/>
              <w:keepLines/>
              <w:tabs>
                <w:tab w:val="left" w:pos="1440"/>
                <w:tab w:val="decimal" w:pos="4320"/>
              </w:tabs>
              <w:ind w:left="139" w:right="10" w:firstLine="13"/>
              <w:jc w:val="center"/>
              <w:outlineLvl w:val="0"/>
              <w:rPr>
                <w:b/>
                <w:sz w:val="20"/>
                <w:szCs w:val="20"/>
              </w:rPr>
            </w:pPr>
            <w:r>
              <w:rPr>
                <w:b/>
                <w:sz w:val="20"/>
                <w:szCs w:val="20"/>
              </w:rPr>
              <w:t>total</w:t>
            </w:r>
            <w:r w:rsidR="003E75BB" w:rsidRPr="00666BAC">
              <w:rPr>
                <w:b/>
                <w:sz w:val="20"/>
                <w:szCs w:val="20"/>
              </w:rPr>
              <w:t>=</w:t>
            </w:r>
            <w:r w:rsidR="00AB0229" w:rsidRPr="00666BAC">
              <w:rPr>
                <w:b/>
                <w:sz w:val="20"/>
                <w:szCs w:val="20"/>
              </w:rPr>
              <w:t>2</w:t>
            </w:r>
            <w:r w:rsidR="000055C3">
              <w:rPr>
                <w:b/>
                <w:sz w:val="20"/>
                <w:szCs w:val="20"/>
              </w:rPr>
              <w:t>91</w:t>
            </w:r>
          </w:p>
        </w:tc>
        <w:tc>
          <w:tcPr>
            <w:tcW w:w="1045"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Mental health</w:t>
            </w:r>
          </w:p>
          <w:p w:rsidR="003E75BB" w:rsidRPr="00666BAC" w:rsidRDefault="00DD2400" w:rsidP="003E75BB">
            <w:pPr>
              <w:keepNext/>
              <w:keepLines/>
              <w:tabs>
                <w:tab w:val="left" w:pos="1440"/>
                <w:tab w:val="decimal" w:pos="4320"/>
              </w:tabs>
              <w:ind w:left="139" w:right="10" w:firstLine="13"/>
              <w:jc w:val="center"/>
              <w:outlineLvl w:val="0"/>
              <w:rPr>
                <w:b/>
                <w:sz w:val="20"/>
                <w:szCs w:val="20"/>
              </w:rPr>
            </w:pPr>
            <w:r>
              <w:rPr>
                <w:b/>
                <w:sz w:val="20"/>
                <w:szCs w:val="20"/>
              </w:rPr>
              <w:t>total</w:t>
            </w:r>
            <w:r w:rsidR="00094A1C" w:rsidRPr="00666BAC">
              <w:rPr>
                <w:b/>
                <w:sz w:val="20"/>
                <w:szCs w:val="20"/>
              </w:rPr>
              <w:t>=18</w:t>
            </w:r>
            <w:r w:rsidR="00971F2F">
              <w:rPr>
                <w:b/>
                <w:sz w:val="20"/>
                <w:szCs w:val="20"/>
              </w:rPr>
              <w:t>8</w:t>
            </w:r>
          </w:p>
        </w:tc>
        <w:tc>
          <w:tcPr>
            <w:tcW w:w="975" w:type="pct"/>
            <w:gridSpan w:val="2"/>
            <w:shd w:val="clear" w:color="auto" w:fill="C00000"/>
            <w:vAlign w:val="center"/>
          </w:tcPr>
          <w:p w:rsidR="003E75BB" w:rsidRPr="00666BAC" w:rsidRDefault="003E75BB" w:rsidP="003E75BB">
            <w:pPr>
              <w:keepNext/>
              <w:keepLines/>
              <w:tabs>
                <w:tab w:val="left" w:pos="1440"/>
                <w:tab w:val="decimal" w:pos="4320"/>
              </w:tabs>
              <w:ind w:left="139" w:right="10" w:firstLine="13"/>
              <w:jc w:val="center"/>
              <w:outlineLvl w:val="0"/>
              <w:rPr>
                <w:b/>
                <w:sz w:val="20"/>
                <w:szCs w:val="20"/>
              </w:rPr>
            </w:pPr>
            <w:r w:rsidRPr="00666BAC">
              <w:rPr>
                <w:b/>
                <w:sz w:val="20"/>
                <w:szCs w:val="20"/>
              </w:rPr>
              <w:t>General medicine</w:t>
            </w:r>
          </w:p>
          <w:p w:rsidR="003E75BB" w:rsidRPr="00666BAC" w:rsidRDefault="00DD2400" w:rsidP="003E75BB">
            <w:pPr>
              <w:keepNext/>
              <w:keepLines/>
              <w:tabs>
                <w:tab w:val="left" w:pos="1440"/>
                <w:tab w:val="decimal" w:pos="4320"/>
              </w:tabs>
              <w:ind w:left="139" w:right="10" w:firstLine="13"/>
              <w:jc w:val="center"/>
              <w:outlineLvl w:val="0"/>
              <w:rPr>
                <w:b/>
                <w:sz w:val="20"/>
                <w:szCs w:val="20"/>
              </w:rPr>
            </w:pPr>
            <w:r>
              <w:rPr>
                <w:b/>
                <w:sz w:val="20"/>
                <w:szCs w:val="20"/>
              </w:rPr>
              <w:t>total</w:t>
            </w:r>
            <w:r w:rsidR="007D54CA" w:rsidRPr="00666BAC">
              <w:rPr>
                <w:b/>
                <w:sz w:val="20"/>
                <w:szCs w:val="20"/>
              </w:rPr>
              <w:t>=1</w:t>
            </w:r>
            <w:r w:rsidR="000055C3">
              <w:rPr>
                <w:b/>
                <w:sz w:val="20"/>
                <w:szCs w:val="20"/>
              </w:rPr>
              <w:t>52</w:t>
            </w:r>
          </w:p>
        </w:tc>
        <w:tc>
          <w:tcPr>
            <w:tcW w:w="1046" w:type="pct"/>
            <w:gridSpan w:val="2"/>
            <w:shd w:val="clear" w:color="auto" w:fill="C00000"/>
            <w:vAlign w:val="center"/>
          </w:tcPr>
          <w:p w:rsidR="003E75BB" w:rsidRPr="00971F2F" w:rsidRDefault="0017767C" w:rsidP="003E75BB">
            <w:pPr>
              <w:keepNext/>
              <w:keepLines/>
              <w:tabs>
                <w:tab w:val="left" w:pos="1440"/>
                <w:tab w:val="decimal" w:pos="4320"/>
              </w:tabs>
              <w:ind w:left="139" w:right="10" w:firstLine="13"/>
              <w:jc w:val="center"/>
              <w:outlineLvl w:val="0"/>
              <w:rPr>
                <w:b/>
                <w:sz w:val="20"/>
                <w:szCs w:val="20"/>
              </w:rPr>
            </w:pPr>
            <w:r w:rsidRPr="00971F2F">
              <w:rPr>
                <w:b/>
                <w:sz w:val="20"/>
                <w:szCs w:val="20"/>
              </w:rPr>
              <w:t>Emergency department</w:t>
            </w:r>
          </w:p>
          <w:p w:rsidR="003E75BB" w:rsidRPr="00971F2F" w:rsidRDefault="00DD2400" w:rsidP="003E75BB">
            <w:pPr>
              <w:keepNext/>
              <w:keepLines/>
              <w:tabs>
                <w:tab w:val="left" w:pos="1440"/>
                <w:tab w:val="decimal" w:pos="4320"/>
              </w:tabs>
              <w:ind w:left="139" w:right="10" w:firstLine="13"/>
              <w:jc w:val="center"/>
              <w:outlineLvl w:val="0"/>
              <w:rPr>
                <w:b/>
                <w:sz w:val="20"/>
                <w:szCs w:val="20"/>
              </w:rPr>
            </w:pPr>
            <w:r>
              <w:rPr>
                <w:b/>
                <w:sz w:val="20"/>
                <w:szCs w:val="20"/>
              </w:rPr>
              <w:t>total</w:t>
            </w:r>
            <w:r w:rsidR="003E75BB" w:rsidRPr="00971F2F">
              <w:rPr>
                <w:b/>
                <w:sz w:val="20"/>
                <w:szCs w:val="20"/>
              </w:rPr>
              <w:t>=</w:t>
            </w:r>
            <w:r w:rsidR="007D54CA" w:rsidRPr="00971F2F">
              <w:rPr>
                <w:b/>
                <w:sz w:val="20"/>
                <w:szCs w:val="20"/>
              </w:rPr>
              <w:t>1</w:t>
            </w:r>
            <w:r w:rsidR="000055C3">
              <w:rPr>
                <w:b/>
                <w:sz w:val="20"/>
                <w:szCs w:val="20"/>
              </w:rPr>
              <w:t>04</w:t>
            </w:r>
          </w:p>
        </w:tc>
        <w:tc>
          <w:tcPr>
            <w:tcW w:w="976" w:type="pct"/>
            <w:gridSpan w:val="2"/>
            <w:shd w:val="clear" w:color="auto" w:fill="C00000"/>
            <w:vAlign w:val="center"/>
          </w:tcPr>
          <w:p w:rsidR="003E75BB" w:rsidRPr="00666BAC" w:rsidRDefault="003E75BB" w:rsidP="003E75BB">
            <w:pPr>
              <w:keepNext/>
              <w:keepLines/>
              <w:jc w:val="center"/>
              <w:rPr>
                <w:b/>
                <w:sz w:val="20"/>
                <w:szCs w:val="20"/>
              </w:rPr>
            </w:pPr>
            <w:r w:rsidRPr="00666BAC">
              <w:rPr>
                <w:b/>
                <w:sz w:val="20"/>
                <w:szCs w:val="20"/>
              </w:rPr>
              <w:t>Maternity</w:t>
            </w:r>
          </w:p>
          <w:p w:rsidR="003E75BB" w:rsidRPr="00666BAC" w:rsidRDefault="00DD2400" w:rsidP="003E75BB">
            <w:pPr>
              <w:keepNext/>
              <w:keepLines/>
              <w:jc w:val="center"/>
              <w:rPr>
                <w:b/>
                <w:sz w:val="20"/>
                <w:szCs w:val="20"/>
              </w:rPr>
            </w:pPr>
            <w:r>
              <w:rPr>
                <w:b/>
                <w:sz w:val="20"/>
                <w:szCs w:val="20"/>
              </w:rPr>
              <w:t>total</w:t>
            </w:r>
            <w:r w:rsidR="000055C3">
              <w:rPr>
                <w:b/>
                <w:sz w:val="20"/>
                <w:szCs w:val="20"/>
              </w:rPr>
              <w:t>=69</w:t>
            </w:r>
          </w:p>
        </w:tc>
      </w:tr>
      <w:tr w:rsidR="00BB68BB" w:rsidRPr="00666BAC" w:rsidTr="00BC6E86">
        <w:tc>
          <w:tcPr>
            <w:tcW w:w="677" w:type="pct"/>
            <w:vAlign w:val="center"/>
          </w:tcPr>
          <w:p w:rsidR="003E75BB" w:rsidRPr="00666BAC" w:rsidRDefault="00BA036B" w:rsidP="00AB0229">
            <w:pPr>
              <w:keepNext/>
              <w:keepLines/>
              <w:tabs>
                <w:tab w:val="left" w:pos="1440"/>
                <w:tab w:val="decimal" w:pos="4320"/>
              </w:tabs>
              <w:jc w:val="left"/>
              <w:outlineLvl w:val="0"/>
              <w:rPr>
                <w:sz w:val="20"/>
                <w:szCs w:val="20"/>
              </w:rPr>
            </w:pPr>
            <w:r w:rsidRPr="00666BAC">
              <w:rPr>
                <w:sz w:val="20"/>
                <w:szCs w:val="20"/>
              </w:rPr>
              <w:t>Unexpected treatment outcome</w:t>
            </w:r>
          </w:p>
        </w:tc>
        <w:tc>
          <w:tcPr>
            <w:tcW w:w="281" w:type="pct"/>
            <w:vAlign w:val="center"/>
          </w:tcPr>
          <w:p w:rsidR="003E75BB" w:rsidRPr="00666BAC" w:rsidRDefault="000055C3" w:rsidP="003E75BB">
            <w:pPr>
              <w:keepNext/>
              <w:keepLines/>
              <w:tabs>
                <w:tab w:val="left" w:pos="1440"/>
                <w:tab w:val="decimal" w:pos="4320"/>
              </w:tabs>
              <w:jc w:val="center"/>
              <w:outlineLvl w:val="0"/>
              <w:rPr>
                <w:sz w:val="20"/>
                <w:szCs w:val="20"/>
              </w:rPr>
            </w:pPr>
            <w:r>
              <w:rPr>
                <w:sz w:val="20"/>
                <w:szCs w:val="20"/>
              </w:rPr>
              <w:t>22</w:t>
            </w:r>
            <w:r w:rsidR="003E75BB" w:rsidRPr="00666BAC">
              <w:rPr>
                <w:sz w:val="20"/>
                <w:szCs w:val="20"/>
              </w:rPr>
              <w:t>%</w:t>
            </w:r>
          </w:p>
        </w:tc>
        <w:tc>
          <w:tcPr>
            <w:tcW w:w="766" w:type="pct"/>
            <w:vAlign w:val="center"/>
          </w:tcPr>
          <w:p w:rsidR="00BA036B" w:rsidRPr="00971F2F" w:rsidRDefault="00BA036B" w:rsidP="00BA036B">
            <w:pPr>
              <w:keepNext/>
              <w:keepLines/>
              <w:tabs>
                <w:tab w:val="left" w:pos="1440"/>
                <w:tab w:val="decimal" w:pos="4320"/>
              </w:tabs>
              <w:jc w:val="left"/>
              <w:outlineLvl w:val="0"/>
              <w:rPr>
                <w:sz w:val="20"/>
                <w:szCs w:val="20"/>
              </w:rPr>
            </w:pPr>
            <w:r w:rsidRPr="00971F2F">
              <w:rPr>
                <w:sz w:val="20"/>
                <w:szCs w:val="20"/>
              </w:rPr>
              <w:t>Issues with involuntary admission/</w:t>
            </w:r>
          </w:p>
          <w:p w:rsidR="003E75BB" w:rsidRPr="00971F2F" w:rsidRDefault="00D5364B" w:rsidP="00BA036B">
            <w:pPr>
              <w:keepNext/>
              <w:keepLines/>
              <w:tabs>
                <w:tab w:val="left" w:pos="1440"/>
                <w:tab w:val="decimal" w:pos="4320"/>
              </w:tabs>
              <w:jc w:val="left"/>
              <w:outlineLvl w:val="0"/>
              <w:rPr>
                <w:sz w:val="20"/>
                <w:szCs w:val="20"/>
              </w:rPr>
            </w:pPr>
            <w:r w:rsidRPr="00971F2F">
              <w:rPr>
                <w:sz w:val="20"/>
                <w:szCs w:val="20"/>
              </w:rPr>
              <w:t>T</w:t>
            </w:r>
            <w:r w:rsidR="00BA036B" w:rsidRPr="00971F2F">
              <w:rPr>
                <w:sz w:val="20"/>
                <w:szCs w:val="20"/>
              </w:rPr>
              <w:t>reatment</w:t>
            </w:r>
          </w:p>
        </w:tc>
        <w:tc>
          <w:tcPr>
            <w:tcW w:w="279" w:type="pct"/>
            <w:vAlign w:val="center"/>
          </w:tcPr>
          <w:p w:rsidR="003E75BB" w:rsidRPr="00971F2F" w:rsidRDefault="00BB68BB" w:rsidP="003E75BB">
            <w:pPr>
              <w:keepNext/>
              <w:keepLines/>
              <w:tabs>
                <w:tab w:val="left" w:pos="1440"/>
                <w:tab w:val="decimal" w:pos="4320"/>
              </w:tabs>
              <w:jc w:val="center"/>
              <w:outlineLvl w:val="0"/>
              <w:rPr>
                <w:sz w:val="20"/>
                <w:szCs w:val="20"/>
              </w:rPr>
            </w:pPr>
            <w:r>
              <w:rPr>
                <w:sz w:val="20"/>
                <w:szCs w:val="20"/>
              </w:rPr>
              <w:t>19</w:t>
            </w:r>
            <w:r w:rsidR="003E75BB" w:rsidRPr="00971F2F">
              <w:rPr>
                <w:sz w:val="20"/>
                <w:szCs w:val="20"/>
              </w:rPr>
              <w:t>%</w:t>
            </w:r>
          </w:p>
        </w:tc>
        <w:tc>
          <w:tcPr>
            <w:tcW w:w="697" w:type="pct"/>
            <w:vAlign w:val="center"/>
          </w:tcPr>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Missed/</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incorrect/</w:t>
            </w:r>
          </w:p>
          <w:p w:rsidR="003E75BB" w:rsidRPr="00666BAC" w:rsidRDefault="003E75BB" w:rsidP="003E75BB">
            <w:pPr>
              <w:keepNext/>
              <w:keepLines/>
              <w:tabs>
                <w:tab w:val="left" w:pos="1440"/>
                <w:tab w:val="decimal" w:pos="4320"/>
              </w:tabs>
              <w:jc w:val="left"/>
              <w:outlineLvl w:val="0"/>
              <w:rPr>
                <w:sz w:val="20"/>
                <w:szCs w:val="20"/>
              </w:rPr>
            </w:pPr>
            <w:r w:rsidRPr="00666BAC">
              <w:rPr>
                <w:sz w:val="20"/>
                <w:szCs w:val="20"/>
              </w:rPr>
              <w:t>delayed diagnosis</w:t>
            </w:r>
          </w:p>
        </w:tc>
        <w:tc>
          <w:tcPr>
            <w:tcW w:w="278" w:type="pct"/>
            <w:vAlign w:val="center"/>
          </w:tcPr>
          <w:p w:rsidR="003E75BB" w:rsidRPr="00666BAC" w:rsidRDefault="00BB68BB" w:rsidP="003E75BB">
            <w:pPr>
              <w:keepNext/>
              <w:keepLines/>
              <w:tabs>
                <w:tab w:val="left" w:pos="1440"/>
                <w:tab w:val="decimal" w:pos="4320"/>
              </w:tabs>
              <w:jc w:val="center"/>
              <w:outlineLvl w:val="0"/>
              <w:rPr>
                <w:sz w:val="20"/>
                <w:szCs w:val="20"/>
              </w:rPr>
            </w:pPr>
            <w:r>
              <w:rPr>
                <w:sz w:val="20"/>
                <w:szCs w:val="20"/>
              </w:rPr>
              <w:t>14</w:t>
            </w:r>
            <w:r w:rsidR="003E75BB" w:rsidRPr="00666BAC">
              <w:rPr>
                <w:sz w:val="20"/>
                <w:szCs w:val="20"/>
              </w:rPr>
              <w:t>%</w:t>
            </w:r>
          </w:p>
        </w:tc>
        <w:tc>
          <w:tcPr>
            <w:tcW w:w="767" w:type="pct"/>
            <w:vAlign w:val="center"/>
          </w:tcPr>
          <w:p w:rsidR="003E75BB" w:rsidRPr="00971F2F" w:rsidRDefault="003E75BB" w:rsidP="003E75BB">
            <w:pPr>
              <w:keepNext/>
              <w:keepLines/>
              <w:tabs>
                <w:tab w:val="left" w:pos="1440"/>
                <w:tab w:val="decimal" w:pos="4320"/>
              </w:tabs>
              <w:jc w:val="left"/>
              <w:outlineLvl w:val="0"/>
              <w:rPr>
                <w:sz w:val="20"/>
                <w:szCs w:val="20"/>
              </w:rPr>
            </w:pPr>
            <w:r w:rsidRPr="00971F2F">
              <w:rPr>
                <w:sz w:val="20"/>
                <w:szCs w:val="20"/>
              </w:rPr>
              <w:t>Missed/</w:t>
            </w:r>
          </w:p>
          <w:p w:rsidR="003E75BB" w:rsidRPr="00971F2F" w:rsidRDefault="003E75BB" w:rsidP="003E75BB">
            <w:pPr>
              <w:keepNext/>
              <w:keepLines/>
              <w:tabs>
                <w:tab w:val="left" w:pos="1440"/>
                <w:tab w:val="decimal" w:pos="4320"/>
              </w:tabs>
              <w:jc w:val="left"/>
              <w:outlineLvl w:val="0"/>
              <w:rPr>
                <w:sz w:val="20"/>
                <w:szCs w:val="20"/>
              </w:rPr>
            </w:pPr>
            <w:r w:rsidRPr="00971F2F">
              <w:rPr>
                <w:sz w:val="20"/>
                <w:szCs w:val="20"/>
              </w:rPr>
              <w:t>incorrect/</w:t>
            </w:r>
          </w:p>
          <w:p w:rsidR="003E75BB" w:rsidRPr="00971F2F" w:rsidRDefault="003E75BB" w:rsidP="003E75BB">
            <w:pPr>
              <w:keepNext/>
              <w:keepLines/>
              <w:tabs>
                <w:tab w:val="left" w:pos="1440"/>
                <w:tab w:val="decimal" w:pos="4320"/>
              </w:tabs>
              <w:jc w:val="left"/>
              <w:outlineLvl w:val="0"/>
              <w:rPr>
                <w:sz w:val="20"/>
                <w:szCs w:val="20"/>
              </w:rPr>
            </w:pPr>
            <w:r w:rsidRPr="00971F2F">
              <w:rPr>
                <w:sz w:val="20"/>
                <w:szCs w:val="20"/>
              </w:rPr>
              <w:t>delayed diagnosis</w:t>
            </w:r>
          </w:p>
        </w:tc>
        <w:tc>
          <w:tcPr>
            <w:tcW w:w="279" w:type="pct"/>
            <w:vAlign w:val="center"/>
          </w:tcPr>
          <w:p w:rsidR="003E75BB" w:rsidRPr="00971F2F" w:rsidRDefault="00BB68BB" w:rsidP="003E75BB">
            <w:pPr>
              <w:keepNext/>
              <w:keepLines/>
              <w:tabs>
                <w:tab w:val="left" w:pos="1440"/>
                <w:tab w:val="decimal" w:pos="4320"/>
              </w:tabs>
              <w:jc w:val="center"/>
              <w:outlineLvl w:val="0"/>
              <w:rPr>
                <w:sz w:val="20"/>
                <w:szCs w:val="20"/>
              </w:rPr>
            </w:pPr>
            <w:r>
              <w:rPr>
                <w:sz w:val="20"/>
                <w:szCs w:val="20"/>
              </w:rPr>
              <w:t>40</w:t>
            </w:r>
            <w:r w:rsidR="003E75BB" w:rsidRPr="00971F2F">
              <w:rPr>
                <w:sz w:val="20"/>
                <w:szCs w:val="20"/>
              </w:rPr>
              <w:t>%</w:t>
            </w:r>
          </w:p>
        </w:tc>
        <w:tc>
          <w:tcPr>
            <w:tcW w:w="697" w:type="pct"/>
            <w:shd w:val="clear" w:color="auto" w:fill="auto"/>
            <w:vAlign w:val="center"/>
          </w:tcPr>
          <w:p w:rsidR="00DA7903" w:rsidRPr="00DA7903" w:rsidRDefault="00DA7903" w:rsidP="00DA7903">
            <w:pPr>
              <w:keepNext/>
              <w:keepLines/>
              <w:tabs>
                <w:tab w:val="left" w:pos="1440"/>
                <w:tab w:val="decimal" w:pos="4320"/>
              </w:tabs>
              <w:jc w:val="left"/>
              <w:outlineLvl w:val="0"/>
              <w:rPr>
                <w:sz w:val="20"/>
                <w:szCs w:val="20"/>
              </w:rPr>
            </w:pPr>
            <w:r w:rsidRPr="00DA7903">
              <w:rPr>
                <w:sz w:val="20"/>
                <w:szCs w:val="20"/>
              </w:rPr>
              <w:t>Inadequate/</w:t>
            </w:r>
          </w:p>
          <w:p w:rsidR="006C3F34" w:rsidRPr="00DA7903" w:rsidRDefault="00DA7903" w:rsidP="00DA7903">
            <w:pPr>
              <w:keepNext/>
              <w:keepLines/>
              <w:jc w:val="left"/>
              <w:rPr>
                <w:sz w:val="20"/>
                <w:szCs w:val="20"/>
              </w:rPr>
            </w:pPr>
            <w:r w:rsidRPr="00DA7903">
              <w:rPr>
                <w:sz w:val="20"/>
                <w:szCs w:val="20"/>
              </w:rPr>
              <w:t>inappropriate treatment</w:t>
            </w:r>
          </w:p>
        </w:tc>
        <w:tc>
          <w:tcPr>
            <w:tcW w:w="279" w:type="pct"/>
            <w:shd w:val="clear" w:color="auto" w:fill="auto"/>
            <w:vAlign w:val="center"/>
          </w:tcPr>
          <w:p w:rsidR="003E75BB" w:rsidRPr="00DA7903" w:rsidRDefault="00BB68BB" w:rsidP="00BA036B">
            <w:pPr>
              <w:keepNext/>
              <w:keepLines/>
              <w:rPr>
                <w:sz w:val="20"/>
                <w:szCs w:val="20"/>
              </w:rPr>
            </w:pPr>
            <w:r>
              <w:rPr>
                <w:sz w:val="20"/>
                <w:szCs w:val="20"/>
              </w:rPr>
              <w:t>17</w:t>
            </w:r>
            <w:r w:rsidR="003E75BB" w:rsidRPr="00DA7903">
              <w:rPr>
                <w:sz w:val="20"/>
                <w:szCs w:val="20"/>
              </w:rPr>
              <w:t>%</w:t>
            </w:r>
          </w:p>
        </w:tc>
      </w:tr>
      <w:tr w:rsidR="00BB68BB" w:rsidRPr="00666BAC" w:rsidTr="00BC6E86">
        <w:tc>
          <w:tcPr>
            <w:tcW w:w="677" w:type="pct"/>
            <w:vAlign w:val="center"/>
          </w:tcPr>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Waiting list/</w:t>
            </w:r>
          </w:p>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prioritisation</w:t>
            </w:r>
          </w:p>
          <w:p w:rsidR="00AB0229" w:rsidRPr="00666BAC" w:rsidRDefault="00722516" w:rsidP="00722516">
            <w:pPr>
              <w:keepNext/>
              <w:keepLines/>
              <w:tabs>
                <w:tab w:val="left" w:pos="1440"/>
                <w:tab w:val="decimal" w:pos="4320"/>
              </w:tabs>
              <w:jc w:val="left"/>
              <w:outlineLvl w:val="0"/>
              <w:rPr>
                <w:sz w:val="20"/>
                <w:szCs w:val="20"/>
              </w:rPr>
            </w:pPr>
            <w:r w:rsidRPr="00666BAC">
              <w:rPr>
                <w:sz w:val="20"/>
                <w:szCs w:val="20"/>
              </w:rPr>
              <w:t>issue</w:t>
            </w:r>
          </w:p>
        </w:tc>
        <w:tc>
          <w:tcPr>
            <w:tcW w:w="281" w:type="pct"/>
            <w:vAlign w:val="center"/>
          </w:tcPr>
          <w:p w:rsidR="003E75BB" w:rsidRPr="00666BAC" w:rsidRDefault="000055C3" w:rsidP="00722516">
            <w:pPr>
              <w:keepNext/>
              <w:keepLines/>
              <w:tabs>
                <w:tab w:val="left" w:pos="1440"/>
                <w:tab w:val="decimal" w:pos="4320"/>
              </w:tabs>
              <w:jc w:val="center"/>
              <w:outlineLvl w:val="0"/>
              <w:rPr>
                <w:sz w:val="20"/>
                <w:szCs w:val="20"/>
              </w:rPr>
            </w:pPr>
            <w:r>
              <w:rPr>
                <w:sz w:val="20"/>
                <w:szCs w:val="20"/>
              </w:rPr>
              <w:t>20</w:t>
            </w:r>
            <w:r w:rsidR="003E75BB" w:rsidRPr="00666BAC">
              <w:rPr>
                <w:sz w:val="20"/>
                <w:szCs w:val="20"/>
              </w:rPr>
              <w:t>%</w:t>
            </w:r>
          </w:p>
        </w:tc>
        <w:tc>
          <w:tcPr>
            <w:tcW w:w="766" w:type="pct"/>
            <w:vAlign w:val="center"/>
          </w:tcPr>
          <w:p w:rsidR="00BA036B" w:rsidRPr="00971F2F" w:rsidRDefault="00BB68BB" w:rsidP="006C3F34">
            <w:pPr>
              <w:keepNext/>
              <w:keepLines/>
              <w:tabs>
                <w:tab w:val="left" w:pos="1440"/>
                <w:tab w:val="decimal" w:pos="4320"/>
              </w:tabs>
              <w:jc w:val="left"/>
              <w:outlineLvl w:val="0"/>
              <w:rPr>
                <w:sz w:val="20"/>
                <w:szCs w:val="20"/>
              </w:rPr>
            </w:pPr>
            <w:r>
              <w:rPr>
                <w:sz w:val="20"/>
                <w:szCs w:val="20"/>
              </w:rPr>
              <w:t>General safety issue for consumer in facility</w:t>
            </w:r>
          </w:p>
        </w:tc>
        <w:tc>
          <w:tcPr>
            <w:tcW w:w="279" w:type="pct"/>
            <w:vAlign w:val="center"/>
          </w:tcPr>
          <w:p w:rsidR="003E75BB" w:rsidRPr="00971F2F" w:rsidRDefault="00BA036B" w:rsidP="003E75BB">
            <w:pPr>
              <w:keepNext/>
              <w:keepLines/>
              <w:tabs>
                <w:tab w:val="left" w:pos="1440"/>
                <w:tab w:val="decimal" w:pos="4320"/>
              </w:tabs>
              <w:jc w:val="center"/>
              <w:outlineLvl w:val="0"/>
              <w:rPr>
                <w:sz w:val="20"/>
                <w:szCs w:val="20"/>
              </w:rPr>
            </w:pPr>
            <w:r w:rsidRPr="00971F2F">
              <w:rPr>
                <w:sz w:val="20"/>
                <w:szCs w:val="20"/>
              </w:rPr>
              <w:t>9</w:t>
            </w:r>
            <w:r w:rsidR="003E75BB" w:rsidRPr="00971F2F">
              <w:rPr>
                <w:sz w:val="20"/>
                <w:szCs w:val="20"/>
              </w:rPr>
              <w:t>%</w:t>
            </w:r>
          </w:p>
        </w:tc>
        <w:tc>
          <w:tcPr>
            <w:tcW w:w="697" w:type="pct"/>
            <w:vAlign w:val="center"/>
          </w:tcPr>
          <w:p w:rsidR="00BB68BB" w:rsidRPr="00666BAC" w:rsidRDefault="00BB68BB" w:rsidP="00BB68BB">
            <w:pPr>
              <w:keepNext/>
              <w:keepLines/>
              <w:tabs>
                <w:tab w:val="left" w:pos="1440"/>
                <w:tab w:val="decimal" w:pos="4320"/>
              </w:tabs>
              <w:jc w:val="left"/>
              <w:outlineLvl w:val="0"/>
              <w:rPr>
                <w:sz w:val="20"/>
                <w:szCs w:val="20"/>
              </w:rPr>
            </w:pPr>
            <w:r w:rsidRPr="00666BAC">
              <w:rPr>
                <w:sz w:val="20"/>
                <w:szCs w:val="20"/>
              </w:rPr>
              <w:t>Waiting list/</w:t>
            </w:r>
          </w:p>
          <w:p w:rsidR="00BB68BB" w:rsidRPr="00666BAC" w:rsidRDefault="00BB68BB" w:rsidP="00BB68BB">
            <w:pPr>
              <w:keepNext/>
              <w:keepLines/>
              <w:tabs>
                <w:tab w:val="left" w:pos="1440"/>
                <w:tab w:val="decimal" w:pos="4320"/>
              </w:tabs>
              <w:jc w:val="left"/>
              <w:outlineLvl w:val="0"/>
              <w:rPr>
                <w:sz w:val="20"/>
                <w:szCs w:val="20"/>
              </w:rPr>
            </w:pPr>
            <w:r w:rsidRPr="00666BAC">
              <w:rPr>
                <w:sz w:val="20"/>
                <w:szCs w:val="20"/>
              </w:rPr>
              <w:t>prioritisation</w:t>
            </w:r>
          </w:p>
          <w:p w:rsidR="003E75BB" w:rsidRPr="00666BAC" w:rsidRDefault="00BB68BB" w:rsidP="00BB68BB">
            <w:pPr>
              <w:keepNext/>
              <w:keepLines/>
              <w:tabs>
                <w:tab w:val="left" w:pos="1440"/>
                <w:tab w:val="decimal" w:pos="4320"/>
              </w:tabs>
              <w:jc w:val="left"/>
              <w:outlineLvl w:val="0"/>
              <w:rPr>
                <w:sz w:val="20"/>
                <w:szCs w:val="20"/>
              </w:rPr>
            </w:pPr>
            <w:r w:rsidRPr="00666BAC">
              <w:rPr>
                <w:sz w:val="20"/>
                <w:szCs w:val="20"/>
              </w:rPr>
              <w:t>issue</w:t>
            </w:r>
          </w:p>
        </w:tc>
        <w:tc>
          <w:tcPr>
            <w:tcW w:w="278" w:type="pct"/>
            <w:vAlign w:val="center"/>
          </w:tcPr>
          <w:p w:rsidR="003E75BB" w:rsidRPr="00666BAC" w:rsidRDefault="00722516" w:rsidP="003E75BB">
            <w:pPr>
              <w:keepNext/>
              <w:keepLines/>
              <w:tabs>
                <w:tab w:val="left" w:pos="1440"/>
                <w:tab w:val="decimal" w:pos="4320"/>
              </w:tabs>
              <w:jc w:val="center"/>
              <w:outlineLvl w:val="0"/>
              <w:rPr>
                <w:sz w:val="20"/>
                <w:szCs w:val="20"/>
              </w:rPr>
            </w:pPr>
            <w:r>
              <w:rPr>
                <w:sz w:val="20"/>
                <w:szCs w:val="20"/>
              </w:rPr>
              <w:t>9</w:t>
            </w:r>
            <w:r w:rsidR="003E75BB" w:rsidRPr="00666BAC">
              <w:rPr>
                <w:sz w:val="20"/>
                <w:szCs w:val="20"/>
              </w:rPr>
              <w:t>%</w:t>
            </w:r>
          </w:p>
        </w:tc>
        <w:tc>
          <w:tcPr>
            <w:tcW w:w="767" w:type="pct"/>
            <w:vAlign w:val="center"/>
          </w:tcPr>
          <w:p w:rsidR="003E75BB" w:rsidRPr="00971F2F" w:rsidRDefault="00BB68BB" w:rsidP="003E75BB">
            <w:pPr>
              <w:keepNext/>
              <w:keepLines/>
              <w:tabs>
                <w:tab w:val="left" w:pos="1440"/>
                <w:tab w:val="decimal" w:pos="4320"/>
              </w:tabs>
              <w:jc w:val="left"/>
              <w:outlineLvl w:val="0"/>
              <w:rPr>
                <w:sz w:val="20"/>
                <w:szCs w:val="20"/>
              </w:rPr>
            </w:pPr>
            <w:r>
              <w:rPr>
                <w:sz w:val="20"/>
                <w:szCs w:val="20"/>
              </w:rPr>
              <w:t>Refusal to treat</w:t>
            </w:r>
          </w:p>
        </w:tc>
        <w:tc>
          <w:tcPr>
            <w:tcW w:w="279" w:type="pct"/>
            <w:vAlign w:val="center"/>
          </w:tcPr>
          <w:p w:rsidR="003E75BB" w:rsidRPr="00971F2F" w:rsidRDefault="00BB68BB" w:rsidP="003E75BB">
            <w:pPr>
              <w:keepNext/>
              <w:keepLines/>
              <w:tabs>
                <w:tab w:val="left" w:pos="1440"/>
                <w:tab w:val="decimal" w:pos="4320"/>
              </w:tabs>
              <w:jc w:val="center"/>
              <w:outlineLvl w:val="0"/>
              <w:rPr>
                <w:sz w:val="20"/>
                <w:szCs w:val="20"/>
              </w:rPr>
            </w:pPr>
            <w:r>
              <w:rPr>
                <w:sz w:val="20"/>
                <w:szCs w:val="20"/>
              </w:rPr>
              <w:t>13</w:t>
            </w:r>
            <w:r w:rsidR="003E75BB" w:rsidRPr="00971F2F">
              <w:rPr>
                <w:sz w:val="20"/>
                <w:szCs w:val="20"/>
              </w:rPr>
              <w:t>%</w:t>
            </w:r>
          </w:p>
        </w:tc>
        <w:tc>
          <w:tcPr>
            <w:tcW w:w="697" w:type="pct"/>
            <w:shd w:val="clear" w:color="auto" w:fill="auto"/>
            <w:vAlign w:val="center"/>
          </w:tcPr>
          <w:p w:rsidR="006C3F34" w:rsidRPr="00DA7903" w:rsidRDefault="00BB68BB" w:rsidP="00DA7903">
            <w:pPr>
              <w:keepNext/>
              <w:keepLines/>
              <w:jc w:val="left"/>
            </w:pPr>
            <w:r>
              <w:rPr>
                <w:sz w:val="20"/>
                <w:szCs w:val="20"/>
              </w:rPr>
              <w:t>Unexpected treatment outcome</w:t>
            </w:r>
          </w:p>
        </w:tc>
        <w:tc>
          <w:tcPr>
            <w:tcW w:w="279" w:type="pct"/>
            <w:shd w:val="clear" w:color="auto" w:fill="auto"/>
            <w:vAlign w:val="center"/>
          </w:tcPr>
          <w:p w:rsidR="003E75BB" w:rsidRPr="00DA7903" w:rsidRDefault="00BB68BB" w:rsidP="003E75BB">
            <w:pPr>
              <w:keepNext/>
              <w:keepLines/>
              <w:rPr>
                <w:sz w:val="20"/>
                <w:szCs w:val="20"/>
              </w:rPr>
            </w:pPr>
            <w:r>
              <w:rPr>
                <w:sz w:val="20"/>
                <w:szCs w:val="20"/>
              </w:rPr>
              <w:t>16</w:t>
            </w:r>
            <w:r w:rsidR="003E75BB" w:rsidRPr="00DA7903">
              <w:rPr>
                <w:sz w:val="20"/>
                <w:szCs w:val="20"/>
              </w:rPr>
              <w:t>%</w:t>
            </w:r>
          </w:p>
        </w:tc>
      </w:tr>
      <w:tr w:rsidR="00BB68BB" w:rsidRPr="00666BAC" w:rsidTr="00BC6E86">
        <w:trPr>
          <w:trHeight w:val="958"/>
        </w:trPr>
        <w:tc>
          <w:tcPr>
            <w:tcW w:w="677" w:type="pct"/>
            <w:vAlign w:val="center"/>
          </w:tcPr>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Missed/</w:t>
            </w:r>
          </w:p>
          <w:p w:rsidR="00722516" w:rsidRPr="00666BAC" w:rsidRDefault="00722516" w:rsidP="00722516">
            <w:pPr>
              <w:keepNext/>
              <w:keepLines/>
              <w:tabs>
                <w:tab w:val="left" w:pos="1440"/>
                <w:tab w:val="decimal" w:pos="4320"/>
              </w:tabs>
              <w:jc w:val="left"/>
              <w:outlineLvl w:val="0"/>
              <w:rPr>
                <w:sz w:val="20"/>
                <w:szCs w:val="20"/>
              </w:rPr>
            </w:pPr>
            <w:r w:rsidRPr="00666BAC">
              <w:rPr>
                <w:sz w:val="20"/>
                <w:szCs w:val="20"/>
              </w:rPr>
              <w:t>incorrect/</w:t>
            </w:r>
          </w:p>
          <w:p w:rsidR="003E75BB" w:rsidRPr="00666BAC" w:rsidRDefault="00722516" w:rsidP="00722516">
            <w:pPr>
              <w:keepNext/>
              <w:keepLines/>
              <w:tabs>
                <w:tab w:val="left" w:pos="1440"/>
                <w:tab w:val="decimal" w:pos="4320"/>
              </w:tabs>
              <w:jc w:val="left"/>
              <w:outlineLvl w:val="0"/>
              <w:rPr>
                <w:sz w:val="20"/>
                <w:szCs w:val="20"/>
              </w:rPr>
            </w:pPr>
            <w:r w:rsidRPr="00666BAC">
              <w:rPr>
                <w:sz w:val="20"/>
                <w:szCs w:val="20"/>
              </w:rPr>
              <w:t>delayed diagnosis</w:t>
            </w:r>
          </w:p>
        </w:tc>
        <w:tc>
          <w:tcPr>
            <w:tcW w:w="281" w:type="pct"/>
            <w:vAlign w:val="center"/>
          </w:tcPr>
          <w:p w:rsidR="003E75BB" w:rsidRPr="00666BAC" w:rsidRDefault="00BB68BB" w:rsidP="00AB0229">
            <w:pPr>
              <w:keepNext/>
              <w:keepLines/>
              <w:tabs>
                <w:tab w:val="left" w:pos="1440"/>
                <w:tab w:val="decimal" w:pos="4320"/>
              </w:tabs>
              <w:jc w:val="center"/>
              <w:outlineLvl w:val="0"/>
              <w:rPr>
                <w:sz w:val="20"/>
                <w:szCs w:val="20"/>
              </w:rPr>
            </w:pPr>
            <w:r>
              <w:rPr>
                <w:sz w:val="20"/>
                <w:szCs w:val="20"/>
              </w:rPr>
              <w:t>9</w:t>
            </w:r>
            <w:r w:rsidR="003E75BB" w:rsidRPr="00666BAC">
              <w:rPr>
                <w:sz w:val="20"/>
                <w:szCs w:val="20"/>
              </w:rPr>
              <w:t>%</w:t>
            </w:r>
          </w:p>
        </w:tc>
        <w:tc>
          <w:tcPr>
            <w:tcW w:w="766" w:type="pct"/>
            <w:vAlign w:val="center"/>
          </w:tcPr>
          <w:p w:rsidR="003E75BB" w:rsidRPr="00971F2F" w:rsidRDefault="00BB68BB" w:rsidP="003E75BB">
            <w:pPr>
              <w:keepNext/>
              <w:keepLines/>
              <w:tabs>
                <w:tab w:val="left" w:pos="1440"/>
                <w:tab w:val="decimal" w:pos="4320"/>
              </w:tabs>
              <w:jc w:val="left"/>
              <w:outlineLvl w:val="0"/>
              <w:rPr>
                <w:sz w:val="20"/>
                <w:szCs w:val="20"/>
              </w:rPr>
            </w:pPr>
            <w:r>
              <w:rPr>
                <w:sz w:val="20"/>
                <w:szCs w:val="20"/>
              </w:rPr>
              <w:t xml:space="preserve">Lack of access to services </w:t>
            </w:r>
          </w:p>
        </w:tc>
        <w:tc>
          <w:tcPr>
            <w:tcW w:w="279" w:type="pct"/>
            <w:vAlign w:val="center"/>
          </w:tcPr>
          <w:p w:rsidR="003E75BB" w:rsidRPr="00971F2F" w:rsidRDefault="00BB68BB" w:rsidP="003E75BB">
            <w:pPr>
              <w:keepNext/>
              <w:keepLines/>
              <w:tabs>
                <w:tab w:val="left" w:pos="1440"/>
                <w:tab w:val="decimal" w:pos="4320"/>
              </w:tabs>
              <w:jc w:val="center"/>
              <w:outlineLvl w:val="0"/>
              <w:rPr>
                <w:sz w:val="20"/>
                <w:szCs w:val="20"/>
              </w:rPr>
            </w:pPr>
            <w:r>
              <w:rPr>
                <w:sz w:val="20"/>
                <w:szCs w:val="20"/>
              </w:rPr>
              <w:t>8</w:t>
            </w:r>
            <w:r w:rsidR="00BA036B" w:rsidRPr="00971F2F">
              <w:rPr>
                <w:sz w:val="20"/>
                <w:szCs w:val="20"/>
              </w:rPr>
              <w:t>%</w:t>
            </w:r>
          </w:p>
        </w:tc>
        <w:tc>
          <w:tcPr>
            <w:tcW w:w="697" w:type="pct"/>
            <w:vAlign w:val="center"/>
          </w:tcPr>
          <w:p w:rsidR="003E75BB" w:rsidRPr="00666BAC" w:rsidRDefault="00BB68BB" w:rsidP="003E75BB">
            <w:pPr>
              <w:keepNext/>
              <w:keepLines/>
              <w:tabs>
                <w:tab w:val="left" w:pos="1440"/>
                <w:tab w:val="decimal" w:pos="4320"/>
              </w:tabs>
              <w:jc w:val="left"/>
              <w:outlineLvl w:val="0"/>
              <w:rPr>
                <w:sz w:val="20"/>
                <w:szCs w:val="20"/>
              </w:rPr>
            </w:pPr>
            <w:r>
              <w:rPr>
                <w:sz w:val="20"/>
                <w:szCs w:val="20"/>
              </w:rPr>
              <w:t>Unexpected treatment outcome</w:t>
            </w:r>
          </w:p>
        </w:tc>
        <w:tc>
          <w:tcPr>
            <w:tcW w:w="278" w:type="pct"/>
            <w:vAlign w:val="center"/>
          </w:tcPr>
          <w:p w:rsidR="003E75BB" w:rsidRPr="00666BAC" w:rsidRDefault="00BB68BB" w:rsidP="003E75BB">
            <w:pPr>
              <w:keepNext/>
              <w:keepLines/>
              <w:tabs>
                <w:tab w:val="left" w:pos="1440"/>
                <w:tab w:val="decimal" w:pos="4320"/>
              </w:tabs>
              <w:jc w:val="center"/>
              <w:outlineLvl w:val="0"/>
              <w:rPr>
                <w:sz w:val="20"/>
                <w:szCs w:val="20"/>
              </w:rPr>
            </w:pPr>
            <w:r>
              <w:rPr>
                <w:sz w:val="20"/>
                <w:szCs w:val="20"/>
              </w:rPr>
              <w:t>7</w:t>
            </w:r>
            <w:r w:rsidR="00A16253" w:rsidRPr="00666BAC">
              <w:rPr>
                <w:sz w:val="20"/>
                <w:szCs w:val="20"/>
              </w:rPr>
              <w:t>%</w:t>
            </w:r>
          </w:p>
        </w:tc>
        <w:tc>
          <w:tcPr>
            <w:tcW w:w="767" w:type="pct"/>
            <w:vAlign w:val="center"/>
          </w:tcPr>
          <w:p w:rsidR="00DA7903" w:rsidRDefault="00DA7903" w:rsidP="007D54CA">
            <w:pPr>
              <w:keepNext/>
              <w:keepLines/>
              <w:tabs>
                <w:tab w:val="left" w:pos="1440"/>
                <w:tab w:val="decimal" w:pos="4320"/>
              </w:tabs>
              <w:jc w:val="left"/>
              <w:outlineLvl w:val="0"/>
              <w:rPr>
                <w:sz w:val="20"/>
                <w:szCs w:val="20"/>
              </w:rPr>
            </w:pPr>
            <w:r>
              <w:rPr>
                <w:sz w:val="20"/>
                <w:szCs w:val="20"/>
              </w:rPr>
              <w:t>Waiting list/</w:t>
            </w:r>
          </w:p>
          <w:p w:rsidR="003E75BB" w:rsidRPr="00971F2F" w:rsidRDefault="00DA7903" w:rsidP="007D54CA">
            <w:pPr>
              <w:keepNext/>
              <w:keepLines/>
              <w:tabs>
                <w:tab w:val="left" w:pos="1440"/>
                <w:tab w:val="decimal" w:pos="4320"/>
              </w:tabs>
              <w:jc w:val="left"/>
              <w:outlineLvl w:val="0"/>
              <w:rPr>
                <w:sz w:val="20"/>
                <w:szCs w:val="20"/>
              </w:rPr>
            </w:pPr>
            <w:r>
              <w:rPr>
                <w:sz w:val="20"/>
                <w:szCs w:val="20"/>
              </w:rPr>
              <w:t>prioritisation issue</w:t>
            </w:r>
          </w:p>
        </w:tc>
        <w:tc>
          <w:tcPr>
            <w:tcW w:w="279" w:type="pct"/>
            <w:vAlign w:val="center"/>
          </w:tcPr>
          <w:p w:rsidR="003E75BB" w:rsidRPr="00971F2F" w:rsidRDefault="00BB68BB" w:rsidP="003E75BB">
            <w:pPr>
              <w:keepNext/>
              <w:keepLines/>
              <w:tabs>
                <w:tab w:val="left" w:pos="1440"/>
                <w:tab w:val="decimal" w:pos="4320"/>
              </w:tabs>
              <w:jc w:val="center"/>
              <w:outlineLvl w:val="0"/>
              <w:rPr>
                <w:sz w:val="20"/>
                <w:szCs w:val="20"/>
              </w:rPr>
            </w:pPr>
            <w:r>
              <w:rPr>
                <w:sz w:val="20"/>
                <w:szCs w:val="20"/>
              </w:rPr>
              <w:t>8</w:t>
            </w:r>
            <w:r w:rsidR="003E75BB" w:rsidRPr="00971F2F">
              <w:rPr>
                <w:sz w:val="20"/>
                <w:szCs w:val="20"/>
              </w:rPr>
              <w:t>%</w:t>
            </w:r>
          </w:p>
        </w:tc>
        <w:tc>
          <w:tcPr>
            <w:tcW w:w="697" w:type="pct"/>
            <w:shd w:val="clear" w:color="auto" w:fill="auto"/>
            <w:vAlign w:val="center"/>
          </w:tcPr>
          <w:p w:rsidR="003E75BB" w:rsidRDefault="00BB68BB" w:rsidP="003E75BB">
            <w:pPr>
              <w:keepNext/>
              <w:keepLines/>
              <w:jc w:val="left"/>
              <w:rPr>
                <w:sz w:val="20"/>
                <w:szCs w:val="20"/>
              </w:rPr>
            </w:pPr>
            <w:r>
              <w:rPr>
                <w:sz w:val="20"/>
                <w:szCs w:val="20"/>
              </w:rPr>
              <w:t>Inadequate/</w:t>
            </w:r>
          </w:p>
          <w:p w:rsidR="00BB68BB" w:rsidRDefault="00BB68BB" w:rsidP="003E75BB">
            <w:pPr>
              <w:keepNext/>
              <w:keepLines/>
              <w:jc w:val="left"/>
              <w:rPr>
                <w:sz w:val="20"/>
                <w:szCs w:val="20"/>
              </w:rPr>
            </w:pPr>
            <w:r>
              <w:rPr>
                <w:sz w:val="20"/>
                <w:szCs w:val="20"/>
              </w:rPr>
              <w:t>inappropriate</w:t>
            </w:r>
          </w:p>
          <w:p w:rsidR="00BB68BB" w:rsidRPr="00DA7903" w:rsidRDefault="00BB68BB" w:rsidP="003E75BB">
            <w:pPr>
              <w:keepNext/>
              <w:keepLines/>
              <w:jc w:val="left"/>
            </w:pPr>
            <w:r>
              <w:rPr>
                <w:sz w:val="20"/>
                <w:szCs w:val="20"/>
              </w:rPr>
              <w:t>monitoring</w:t>
            </w:r>
          </w:p>
        </w:tc>
        <w:tc>
          <w:tcPr>
            <w:tcW w:w="279" w:type="pct"/>
            <w:shd w:val="clear" w:color="auto" w:fill="auto"/>
            <w:vAlign w:val="center"/>
          </w:tcPr>
          <w:p w:rsidR="003E75BB" w:rsidRPr="00DA7903" w:rsidRDefault="00BB68BB" w:rsidP="003E75BB">
            <w:pPr>
              <w:keepNext/>
              <w:keepLines/>
              <w:rPr>
                <w:sz w:val="20"/>
                <w:szCs w:val="20"/>
              </w:rPr>
            </w:pPr>
            <w:r>
              <w:rPr>
                <w:sz w:val="20"/>
                <w:szCs w:val="20"/>
              </w:rPr>
              <w:t>10%</w:t>
            </w:r>
          </w:p>
        </w:tc>
      </w:tr>
    </w:tbl>
    <w:p w:rsidR="00C31C5D" w:rsidRDefault="00C31C5D"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931B08" w:rsidRPr="00666BAC" w:rsidRDefault="00931B08" w:rsidP="00931B08"/>
    <w:tbl>
      <w:tblPr>
        <w:tblStyle w:val="TableGrid"/>
        <w:tblW w:w="0" w:type="auto"/>
        <w:tblLook w:val="04A0" w:firstRow="1" w:lastRow="0" w:firstColumn="1" w:lastColumn="0" w:noHBand="0" w:noVBand="1"/>
      </w:tblPr>
      <w:tblGrid>
        <w:gridCol w:w="9298"/>
      </w:tblGrid>
      <w:tr w:rsidR="00931B08" w:rsidRPr="00666BAC" w:rsidTr="00507D41">
        <w:tc>
          <w:tcPr>
            <w:tcW w:w="9298" w:type="dxa"/>
            <w:tcBorders>
              <w:top w:val="single" w:sz="24" w:space="0" w:color="C00000"/>
              <w:left w:val="single" w:sz="24" w:space="0" w:color="C00000"/>
              <w:bottom w:val="single" w:sz="24" w:space="0" w:color="C00000"/>
              <w:right w:val="single" w:sz="24" w:space="0" w:color="C00000"/>
            </w:tcBorders>
          </w:tcPr>
          <w:p w:rsidR="00931B08" w:rsidRDefault="00931B08" w:rsidP="00507D41">
            <w:pPr>
              <w:tabs>
                <w:tab w:val="left" w:pos="1440"/>
                <w:tab w:val="left" w:pos="2610"/>
              </w:tabs>
              <w:spacing w:before="120"/>
              <w:jc w:val="center"/>
              <w:outlineLvl w:val="0"/>
              <w:rPr>
                <w:b/>
                <w:szCs w:val="22"/>
              </w:rPr>
            </w:pPr>
            <w:r w:rsidRPr="00666BAC">
              <w:rPr>
                <w:b/>
                <w:sz w:val="28"/>
                <w:szCs w:val="28"/>
              </w:rPr>
              <w:t xml:space="preserve">Case study: </w:t>
            </w:r>
            <w:r w:rsidR="007A59AB">
              <w:rPr>
                <w:b/>
                <w:sz w:val="28"/>
                <w:szCs w:val="28"/>
              </w:rPr>
              <w:t>Emergency Department</w:t>
            </w:r>
            <w:r w:rsidR="007A4639">
              <w:rPr>
                <w:b/>
                <w:sz w:val="28"/>
                <w:szCs w:val="28"/>
              </w:rPr>
              <w:t xml:space="preserve"> and </w:t>
            </w:r>
            <w:r w:rsidR="001A6F7E">
              <w:rPr>
                <w:b/>
                <w:sz w:val="28"/>
                <w:szCs w:val="28"/>
              </w:rPr>
              <w:t xml:space="preserve"> a m</w:t>
            </w:r>
            <w:r w:rsidR="007A59AB">
              <w:rPr>
                <w:b/>
                <w:sz w:val="28"/>
                <w:szCs w:val="28"/>
              </w:rPr>
              <w:t xml:space="preserve">issed/incorrect/delayed diagnosis </w:t>
            </w:r>
            <w:r w:rsidR="007A59AB" w:rsidRPr="007A59AB">
              <w:rPr>
                <w:b/>
                <w:szCs w:val="22"/>
              </w:rPr>
              <w:t>(</w:t>
            </w:r>
            <w:r w:rsidR="0065108F" w:rsidRPr="007A59AB">
              <w:rPr>
                <w:b/>
                <w:szCs w:val="22"/>
              </w:rPr>
              <w:t>17HDC00316</w:t>
            </w:r>
            <w:r w:rsidR="007A59AB" w:rsidRPr="007A59AB">
              <w:rPr>
                <w:b/>
                <w:szCs w:val="22"/>
              </w:rPr>
              <w:t>)</w:t>
            </w:r>
          </w:p>
          <w:p w:rsidR="007A59AB" w:rsidRDefault="007A59AB" w:rsidP="007A59AB">
            <w:pPr>
              <w:tabs>
                <w:tab w:val="left" w:pos="1440"/>
                <w:tab w:val="left" w:pos="2610"/>
              </w:tabs>
              <w:spacing w:before="120" w:after="120"/>
              <w:jc w:val="center"/>
              <w:outlineLvl w:val="0"/>
              <w:rPr>
                <w:b/>
                <w:szCs w:val="22"/>
              </w:rPr>
            </w:pPr>
            <w:r>
              <w:rPr>
                <w:b/>
                <w:szCs w:val="22"/>
              </w:rPr>
              <w:t>Management of incidental finding of rectal lymph nodes</w:t>
            </w:r>
          </w:p>
          <w:p w:rsidR="007A59AB" w:rsidRPr="007A59AB" w:rsidRDefault="007A59AB" w:rsidP="007A59AB">
            <w:pPr>
              <w:spacing w:after="240"/>
              <w:rPr>
                <w:szCs w:val="22"/>
                <w:lang w:val="en-US"/>
              </w:rPr>
            </w:pPr>
            <w:r w:rsidRPr="007A59AB">
              <w:rPr>
                <w:szCs w:val="22"/>
              </w:rPr>
              <w:t xml:space="preserve">A 72-year-old man presented to the </w:t>
            </w:r>
            <w:r w:rsidRPr="007A59AB">
              <w:rPr>
                <w:szCs w:val="22"/>
                <w:lang w:val="en-US"/>
              </w:rPr>
              <w:t>Emergency Department</w:t>
            </w:r>
            <w:r w:rsidRPr="007A59AB">
              <w:rPr>
                <w:szCs w:val="22"/>
              </w:rPr>
              <w:t xml:space="preserve"> (ED) of a public hospital after falling approximately three metres. He sustained injuries to his left hip and left side of his chest.</w:t>
            </w:r>
            <w:r w:rsidRPr="007A59AB">
              <w:rPr>
                <w:szCs w:val="22"/>
                <w:lang w:val="en-US"/>
              </w:rPr>
              <w:t xml:space="preserve"> A senior ED consultant ordered an urgent CT scan of the chest, abdomen, and pelvis. </w:t>
            </w:r>
          </w:p>
          <w:p w:rsidR="007A59AB" w:rsidRPr="007A59AB" w:rsidRDefault="007A59AB" w:rsidP="007A59AB">
            <w:pPr>
              <w:spacing w:after="240"/>
              <w:rPr>
                <w:szCs w:val="22"/>
              </w:rPr>
            </w:pPr>
            <w:r w:rsidRPr="007A59AB">
              <w:rPr>
                <w:szCs w:val="22"/>
                <w:lang w:val="en-US"/>
              </w:rPr>
              <w:t xml:space="preserve">When reporting on urgent CT scans, a preliminary acute report was issued to help determine the immediate care of the patient (a “sticky note”). The sticky note mechanism is an immediate, rough tool to assist clinicians to proceed with treatment of the patient and to answer the immediate clinical questions. The case is then fully reported – usually within 24 hours. The ED acted on the reporting radiologist’s sticky note, which did not mention an incidental finding of rectal lymph nodes. The man was treated with pain relief and transferred to the surgical ward for ongoing care. </w:t>
            </w:r>
          </w:p>
          <w:p w:rsidR="007A59AB" w:rsidRPr="007A59AB" w:rsidRDefault="007A59AB" w:rsidP="007A59AB">
            <w:pPr>
              <w:spacing w:after="240"/>
              <w:rPr>
                <w:szCs w:val="22"/>
              </w:rPr>
            </w:pPr>
            <w:r w:rsidRPr="007A59AB">
              <w:rPr>
                <w:szCs w:val="22"/>
                <w:lang w:val="en-US"/>
              </w:rPr>
              <w:t xml:space="preserve">The following day, full reporting of the CT scan was entered into the information technology (IT) system at the hospital. </w:t>
            </w:r>
            <w:r w:rsidRPr="007A59AB">
              <w:rPr>
                <w:szCs w:val="22"/>
              </w:rPr>
              <w:t xml:space="preserve">This final report noted numerous enlarged </w:t>
            </w:r>
            <w:proofErr w:type="spellStart"/>
            <w:r w:rsidRPr="007A59AB">
              <w:rPr>
                <w:szCs w:val="22"/>
              </w:rPr>
              <w:t>meso</w:t>
            </w:r>
            <w:proofErr w:type="spellEnd"/>
            <w:r w:rsidRPr="007A59AB">
              <w:rPr>
                <w:szCs w:val="22"/>
              </w:rPr>
              <w:t>-rectal lymph nodes and suggested endoscopic examination to rule out a rectal tumour.</w:t>
            </w:r>
            <w:r w:rsidRPr="007A59AB">
              <w:rPr>
                <w:szCs w:val="22"/>
                <w:lang w:val="en-US"/>
              </w:rPr>
              <w:t xml:space="preserve"> Several days later, the man was discharged from hospital. However, the final CT scan report was not sighted until eight months after discharge, when further investigation was initiated. The man was diagnosed with Stage </w:t>
            </w:r>
            <w:proofErr w:type="spellStart"/>
            <w:r w:rsidRPr="007A59AB">
              <w:rPr>
                <w:szCs w:val="22"/>
                <w:lang w:val="en-US"/>
              </w:rPr>
              <w:t>IIIa</w:t>
            </w:r>
            <w:proofErr w:type="spellEnd"/>
            <w:r w:rsidRPr="007A59AB">
              <w:rPr>
                <w:szCs w:val="22"/>
                <w:lang w:val="en-US"/>
              </w:rPr>
              <w:t xml:space="preserve"> squamous cell carcinoma of the anus, </w:t>
            </w:r>
            <w:r w:rsidRPr="007A59AB">
              <w:rPr>
                <w:color w:val="000000"/>
                <w:szCs w:val="22"/>
                <w:lang w:val="en-US"/>
              </w:rPr>
              <w:t xml:space="preserve">and </w:t>
            </w:r>
            <w:r w:rsidRPr="007A59AB">
              <w:rPr>
                <w:szCs w:val="22"/>
                <w:lang w:val="en-US"/>
              </w:rPr>
              <w:t>underwent</w:t>
            </w:r>
            <w:r w:rsidRPr="007A59AB">
              <w:rPr>
                <w:color w:val="000000"/>
                <w:szCs w:val="22"/>
                <w:lang w:val="en-US"/>
              </w:rPr>
              <w:t xml:space="preserve"> chemo-radiotherapy treatment and surgery.</w:t>
            </w:r>
          </w:p>
          <w:p w:rsidR="007A59AB" w:rsidRPr="007A59AB" w:rsidRDefault="007A59AB" w:rsidP="007A59AB">
            <w:pPr>
              <w:spacing w:after="240"/>
              <w:rPr>
                <w:szCs w:val="22"/>
                <w:lang w:val="en-US"/>
              </w:rPr>
            </w:pPr>
            <w:r w:rsidRPr="007A59AB">
              <w:rPr>
                <w:szCs w:val="22"/>
                <w:lang w:val="en-US"/>
              </w:rPr>
              <w:t xml:space="preserve">At the time of these events, the IT system did not allow for electronic sign-off of test results. There </w:t>
            </w:r>
            <w:r w:rsidRPr="007A59AB">
              <w:rPr>
                <w:szCs w:val="22"/>
              </w:rPr>
              <w:t>was</w:t>
            </w:r>
            <w:r w:rsidRPr="007A59AB">
              <w:rPr>
                <w:szCs w:val="22"/>
                <w:lang w:val="en-US"/>
              </w:rPr>
              <w:t xml:space="preserve"> no alert system to notify a doctor that a result had arrived, nor was there a doctor-specific list of results to review. This meant that doctors could not look up all the results of tests or procedures they had ordered that day apart from proactively on an individual patient basis</w:t>
            </w:r>
            <w:r w:rsidRPr="007A59AB">
              <w:rPr>
                <w:szCs w:val="22"/>
              </w:rPr>
              <w:t>.</w:t>
            </w:r>
            <w:r w:rsidRPr="007A59AB">
              <w:rPr>
                <w:szCs w:val="22"/>
                <w:lang w:val="en-US"/>
              </w:rPr>
              <w:t xml:space="preserve"> The hospital acknowledged that this was a significant weakness in its system and, until this could be improved, there was no protection from recurrence. </w:t>
            </w:r>
          </w:p>
          <w:p w:rsidR="007A59AB" w:rsidRPr="007A59AB" w:rsidRDefault="007A59AB" w:rsidP="007A59AB">
            <w:pPr>
              <w:spacing w:after="240"/>
              <w:rPr>
                <w:szCs w:val="22"/>
                <w:lang w:val="en-US"/>
              </w:rPr>
            </w:pPr>
            <w:r w:rsidRPr="007A59AB">
              <w:rPr>
                <w:szCs w:val="22"/>
              </w:rPr>
              <w:t>A further complicating factor in this case was that there appeared to be a lack of clarity around who was responsible for following up and acting on the results of the CT scan once it was reported on. The ED consultant considered that clinical responsibility for the final CT report was handed over when the man was transferred to the surgical ward. However, the surgeon advised that as he was not the practitioner who ordered the CT scan, he did not receive a paper copy of the report and therefore, did not and would not have viewed the final CT scan report. There were no internal policies or procedures at the DHB relating to this issue.</w:t>
            </w:r>
          </w:p>
          <w:p w:rsidR="007A59AB" w:rsidRPr="007A59AB" w:rsidRDefault="007A59AB" w:rsidP="007A59AB">
            <w:pPr>
              <w:spacing w:after="120"/>
              <w:rPr>
                <w:szCs w:val="22"/>
                <w:u w:val="single"/>
              </w:rPr>
            </w:pPr>
            <w:r w:rsidRPr="007A59AB">
              <w:rPr>
                <w:szCs w:val="22"/>
                <w:u w:val="single"/>
              </w:rPr>
              <w:t>Findings</w:t>
            </w:r>
          </w:p>
          <w:p w:rsidR="007A59AB" w:rsidRPr="007A59AB" w:rsidRDefault="007A59AB" w:rsidP="007A59AB">
            <w:pPr>
              <w:spacing w:after="240"/>
              <w:rPr>
                <w:szCs w:val="22"/>
              </w:rPr>
            </w:pPr>
            <w:r w:rsidRPr="007A59AB">
              <w:rPr>
                <w:szCs w:val="22"/>
              </w:rPr>
              <w:t xml:space="preserve">The DHB had a weak IT system that did not allow for </w:t>
            </w:r>
            <w:r w:rsidRPr="007A59AB">
              <w:rPr>
                <w:szCs w:val="22"/>
                <w:lang w:val="en-US"/>
              </w:rPr>
              <w:t>electronic</w:t>
            </w:r>
            <w:r w:rsidRPr="007A59AB">
              <w:rPr>
                <w:szCs w:val="22"/>
              </w:rPr>
              <w:t xml:space="preserve"> sign-off, and it did not have a clear, effective, and formalised system in place for the reporting and following up of test results. This systems failure resulted in a number of opportunities being missed by clinicians to review and action the man’s final CT scan report, and a delayed diagnosis of squamous cell carcinoma. </w:t>
            </w:r>
          </w:p>
          <w:p w:rsidR="007A59AB" w:rsidRPr="007A59AB" w:rsidRDefault="007A59AB" w:rsidP="007A59AB">
            <w:pPr>
              <w:rPr>
                <w:szCs w:val="22"/>
              </w:rPr>
            </w:pPr>
            <w:r w:rsidRPr="007A59AB">
              <w:rPr>
                <w:szCs w:val="22"/>
              </w:rPr>
              <w:t>In respect of this case the Commissioner commented that the basic system principle with respect to the follow-up of test results is clear — the person who orders the test must follow up, or know by whom and how in the system it will be. The Commissioner was concerned about   the inconsistencies in clinicians’ understanding of how this principle applied at their hospital, stating that it was not acceptable that systems and clinicians lacked clarity on this.</w:t>
            </w:r>
          </w:p>
          <w:p w:rsidR="007A59AB" w:rsidRPr="007A59AB" w:rsidRDefault="007A59AB" w:rsidP="007A59AB">
            <w:pPr>
              <w:rPr>
                <w:szCs w:val="22"/>
              </w:rPr>
            </w:pPr>
          </w:p>
          <w:p w:rsidR="007A59AB" w:rsidRPr="007A59AB" w:rsidRDefault="007A59AB" w:rsidP="007A59AB">
            <w:pPr>
              <w:rPr>
                <w:szCs w:val="22"/>
              </w:rPr>
            </w:pPr>
            <w:r w:rsidRPr="007A59AB">
              <w:rPr>
                <w:szCs w:val="22"/>
              </w:rPr>
              <w:t>The Commissioner found that the DHB did not provide services to the man with reasonable care and skill, and breached Right 4(1) of the Code.</w:t>
            </w:r>
          </w:p>
          <w:p w:rsidR="007A59AB" w:rsidRPr="007A59AB" w:rsidRDefault="007A59AB" w:rsidP="007A59AB">
            <w:pPr>
              <w:rPr>
                <w:szCs w:val="22"/>
              </w:rPr>
            </w:pPr>
          </w:p>
          <w:p w:rsidR="007A59AB" w:rsidRPr="007A59AB" w:rsidRDefault="007A59AB" w:rsidP="007A59AB">
            <w:pPr>
              <w:spacing w:after="240"/>
              <w:rPr>
                <w:szCs w:val="22"/>
                <w:lang w:val="en-US"/>
              </w:rPr>
            </w:pPr>
            <w:r w:rsidRPr="007A59AB">
              <w:rPr>
                <w:szCs w:val="22"/>
              </w:rPr>
              <w:lastRenderedPageBreak/>
              <w:t xml:space="preserve">The Commissioner was </w:t>
            </w:r>
            <w:r w:rsidRPr="007A59AB">
              <w:rPr>
                <w:szCs w:val="22"/>
                <w:lang w:val="en-US"/>
              </w:rPr>
              <w:t xml:space="preserve">thoughtful about the use of the “sticky note” function in this case. He </w:t>
            </w:r>
            <w:proofErr w:type="spellStart"/>
            <w:r w:rsidRPr="007A59AB">
              <w:rPr>
                <w:szCs w:val="22"/>
                <w:lang w:val="en-US"/>
              </w:rPr>
              <w:t>emphasised</w:t>
            </w:r>
            <w:proofErr w:type="spellEnd"/>
            <w:r w:rsidRPr="007A59AB">
              <w:rPr>
                <w:szCs w:val="22"/>
                <w:lang w:val="en-US"/>
              </w:rPr>
              <w:t xml:space="preserve"> that this function is only a preliminary reporting tool that answers the immediate clinical question. It should not be relied on in place of the final report.</w:t>
            </w:r>
          </w:p>
          <w:p w:rsidR="007A59AB" w:rsidRPr="007A59AB" w:rsidRDefault="007A59AB" w:rsidP="007A59AB">
            <w:pPr>
              <w:pStyle w:val="abclist2"/>
              <w:rPr>
                <w:rStyle w:val="abclistChar"/>
                <w:rFonts w:cs="Times New Roman"/>
                <w:sz w:val="22"/>
              </w:rPr>
            </w:pPr>
            <w:r w:rsidRPr="007A59AB">
              <w:rPr>
                <w:rStyle w:val="abclistChar"/>
                <w:rFonts w:cs="Times New Roman"/>
                <w:sz w:val="22"/>
              </w:rPr>
              <w:t>The Commissioner made a number of recommendations to the DHB, including that it:</w:t>
            </w:r>
          </w:p>
          <w:p w:rsidR="007A59AB" w:rsidRPr="007A59AB" w:rsidRDefault="007A59AB" w:rsidP="001916DC">
            <w:pPr>
              <w:pStyle w:val="abclist2"/>
              <w:numPr>
                <w:ilvl w:val="0"/>
                <w:numId w:val="11"/>
              </w:numPr>
              <w:rPr>
                <w:rStyle w:val="abclistChar"/>
                <w:rFonts w:cs="Times New Roman"/>
                <w:sz w:val="22"/>
              </w:rPr>
            </w:pPr>
            <w:r w:rsidRPr="007A59AB">
              <w:rPr>
                <w:rStyle w:val="abclistChar"/>
                <w:rFonts w:cs="Times New Roman"/>
                <w:sz w:val="22"/>
              </w:rPr>
              <w:t>Update HDC on the progress and effectiveness of its IT system upgrade, including the development of policies and procedures with respect to electronic sign-off of test results and radiology reports. This update should include evidence that the new system reliably captures all relevant data.</w:t>
            </w:r>
          </w:p>
          <w:p w:rsidR="007A59AB" w:rsidRPr="007A59AB" w:rsidRDefault="007A59AB" w:rsidP="001916DC">
            <w:pPr>
              <w:pStyle w:val="abclist2"/>
              <w:numPr>
                <w:ilvl w:val="0"/>
                <w:numId w:val="11"/>
              </w:numPr>
              <w:rPr>
                <w:rFonts w:cs="Times New Roman"/>
                <w:sz w:val="22"/>
              </w:rPr>
            </w:pPr>
            <w:r w:rsidRPr="007A59AB">
              <w:rPr>
                <w:rFonts w:cs="Times New Roman"/>
                <w:sz w:val="22"/>
              </w:rPr>
              <w:t xml:space="preserve">Advise whether “sticky notes” are still being used under the new IT system, and what measures have been taken to ensure that they are used as a preliminary reporting tool only, and that the final reports are also reviewed. </w:t>
            </w:r>
          </w:p>
          <w:p w:rsidR="007A59AB" w:rsidRPr="007A59AB" w:rsidRDefault="007A59AB" w:rsidP="001916DC">
            <w:pPr>
              <w:pStyle w:val="abclist2"/>
              <w:numPr>
                <w:ilvl w:val="0"/>
                <w:numId w:val="11"/>
              </w:numPr>
              <w:rPr>
                <w:rFonts w:cs="Times New Roman"/>
                <w:sz w:val="22"/>
              </w:rPr>
            </w:pPr>
            <w:r w:rsidRPr="007A59AB">
              <w:rPr>
                <w:rFonts w:cs="Times New Roman"/>
                <w:sz w:val="22"/>
              </w:rPr>
              <w:t xml:space="preserve">Audit, over a period of three months, the management of test results ordered at ED where patients have been transferred to another ward. </w:t>
            </w:r>
          </w:p>
          <w:p w:rsidR="007A59AB" w:rsidRPr="007A59AB" w:rsidRDefault="007A59AB" w:rsidP="001916DC">
            <w:pPr>
              <w:pStyle w:val="abclist2"/>
              <w:numPr>
                <w:ilvl w:val="0"/>
                <w:numId w:val="11"/>
              </w:numPr>
              <w:rPr>
                <w:rStyle w:val="abclistChar"/>
                <w:rFonts w:cs="Times New Roman"/>
                <w:sz w:val="22"/>
              </w:rPr>
            </w:pPr>
            <w:r w:rsidRPr="007A59AB">
              <w:rPr>
                <w:rStyle w:val="abclistChar"/>
                <w:rFonts w:cs="Times New Roman"/>
                <w:sz w:val="22"/>
              </w:rPr>
              <w:t>Take steps to ensure that discharge summaries accurately reflect available final diagnostic reports, and report back to HDC on the steps that have been taken.</w:t>
            </w:r>
          </w:p>
          <w:p w:rsidR="00BC6E86" w:rsidRPr="00BC6E86" w:rsidRDefault="007A59AB" w:rsidP="00BC6E86">
            <w:pPr>
              <w:pStyle w:val="abclist2"/>
              <w:numPr>
                <w:ilvl w:val="0"/>
                <w:numId w:val="11"/>
              </w:numPr>
              <w:rPr>
                <w:rFonts w:cs="Times New Roman"/>
                <w:sz w:val="22"/>
              </w:rPr>
            </w:pPr>
            <w:r w:rsidRPr="007A59AB">
              <w:rPr>
                <w:rStyle w:val="abclistChar"/>
                <w:rFonts w:cs="Times New Roman"/>
                <w:sz w:val="22"/>
              </w:rPr>
              <w:t>Develop policies and procedures on the management of test results and radiology reports.</w:t>
            </w:r>
            <w:r w:rsidRPr="001A7030">
              <w:rPr>
                <w:rStyle w:val="abclistChar"/>
                <w:rFonts w:cs="Times New Roman"/>
              </w:rPr>
              <w:t xml:space="preserve"> </w:t>
            </w:r>
          </w:p>
        </w:tc>
      </w:tr>
    </w:tbl>
    <w:p w:rsidR="00931B08" w:rsidRPr="00666BAC" w:rsidRDefault="00931B08" w:rsidP="00931B08"/>
    <w:p w:rsidR="00C31C5D" w:rsidRPr="00B75FC5" w:rsidRDefault="00F370CD" w:rsidP="00B75FC5">
      <w:pPr>
        <w:rPr>
          <w:color w:val="C00000"/>
          <w:sz w:val="40"/>
          <w:szCs w:val="40"/>
        </w:rPr>
      </w:pPr>
      <w:r w:rsidRPr="00666BAC">
        <w:t>As mentioned above, many complaints to HDC contain multiple issues of con</w:t>
      </w:r>
      <w:r w:rsidR="00D5364B">
        <w:t>cern to the complainant. Table 7</w:t>
      </w:r>
      <w:r w:rsidRPr="00666BAC">
        <w:t xml:space="preserve"> below shows an analysis of the common complaint issues raised about each service type when all issues complained about are considered (rather than just the primary issue as in Table 7</w:t>
      </w:r>
      <w:r w:rsidR="00556009" w:rsidRPr="00666BAC">
        <w:t>)</w:t>
      </w:r>
      <w:r w:rsidRPr="00666BAC">
        <w:t>.</w:t>
      </w:r>
    </w:p>
    <w:p w:rsidR="00F370CD" w:rsidRPr="00666BAC" w:rsidRDefault="00F370CD" w:rsidP="00E905EF"/>
    <w:p w:rsidR="0073374F" w:rsidRDefault="00F370CD" w:rsidP="00E905EF">
      <w:r w:rsidRPr="00666BAC">
        <w:t>When all issues raised in complaints about each service type are analysed, it can be seen that communication issues feature prominently</w:t>
      </w:r>
      <w:r w:rsidR="00556009" w:rsidRPr="00666BAC">
        <w:t xml:space="preserve"> for all service types. However, again complaint issues do vary according to th</w:t>
      </w:r>
      <w:r w:rsidR="0073374F">
        <w:t>e service type complained about. G</w:t>
      </w:r>
      <w:r w:rsidR="00556009" w:rsidRPr="00666BAC">
        <w:t xml:space="preserve">eneral medicine and </w:t>
      </w:r>
      <w:r w:rsidR="00931B08">
        <w:t>m</w:t>
      </w:r>
      <w:r w:rsidR="00C82C6B">
        <w:t>ental health</w:t>
      </w:r>
      <w:r w:rsidR="0073374F">
        <w:t xml:space="preserve"> services received</w:t>
      </w:r>
      <w:r w:rsidR="00556009" w:rsidRPr="00666BAC">
        <w:t xml:space="preserve"> a greater proportion of complaints involving </w:t>
      </w:r>
      <w:r w:rsidR="00C82C6B">
        <w:t>communication with family</w:t>
      </w:r>
      <w:r w:rsidR="00556009" w:rsidRPr="00666BAC">
        <w:t xml:space="preserve"> than other service types, while </w:t>
      </w:r>
      <w:r w:rsidR="0017767C" w:rsidRPr="00666BAC">
        <w:t>emergency department services</w:t>
      </w:r>
      <w:r w:rsidR="00556009" w:rsidRPr="00666BAC">
        <w:t xml:space="preserve"> received a greater proportion of complain</w:t>
      </w:r>
      <w:r w:rsidR="00931B08">
        <w:t>t</w:t>
      </w:r>
      <w:r w:rsidR="00556009" w:rsidRPr="00666BAC">
        <w:t xml:space="preserve">s involving </w:t>
      </w:r>
      <w:r w:rsidR="00C82C6B">
        <w:t xml:space="preserve">inadequate examination/assessments, misdiagnosis and </w:t>
      </w:r>
      <w:r w:rsidR="00556009" w:rsidRPr="00666BAC">
        <w:t>inadequate testing</w:t>
      </w:r>
      <w:r w:rsidR="00C82C6B">
        <w:t xml:space="preserve"> than did other service types. Surgical services received a greater proportion of complaints about a waiting list/prioritisation issue </w:t>
      </w:r>
      <w:r w:rsidR="00556009" w:rsidRPr="00666BAC">
        <w:t>and maternity</w:t>
      </w:r>
      <w:r w:rsidR="00931B08">
        <w:t xml:space="preserve"> services</w:t>
      </w:r>
      <w:r w:rsidR="00556009" w:rsidRPr="00666BAC">
        <w:t xml:space="preserve"> received a greater proportion of complaints regarding a delay in treatment</w:t>
      </w:r>
      <w:r w:rsidR="00C82C6B">
        <w:t xml:space="preserve"> than other service types.</w:t>
      </w:r>
    </w:p>
    <w:p w:rsidR="00C82C6B" w:rsidRDefault="00C82C6B" w:rsidP="00E905EF"/>
    <w:p w:rsidR="0073374F" w:rsidRDefault="00C82C6B" w:rsidP="00E905EF">
      <w:r>
        <w:t>These issues are largely similar to what was seen last year for each service type, although complaints involving a waiting list/prioritisation issue became more prominent for surgical services in 2017/18</w:t>
      </w:r>
      <w:r w:rsidR="00236CC7">
        <w:t>.</w:t>
      </w:r>
    </w:p>
    <w:p w:rsidR="00C31C5D" w:rsidRDefault="00C31C5D"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Default="0027623F" w:rsidP="00E905EF"/>
    <w:p w:rsidR="0027623F" w:rsidRPr="00666BAC" w:rsidRDefault="0027623F" w:rsidP="00E905EF"/>
    <w:p w:rsidR="00860E78" w:rsidRPr="00666BAC" w:rsidRDefault="00D5364B" w:rsidP="00860E78">
      <w:pPr>
        <w:spacing w:after="120"/>
        <w:rPr>
          <w:i/>
        </w:rPr>
      </w:pPr>
      <w:r>
        <w:rPr>
          <w:b/>
          <w:szCs w:val="22"/>
        </w:rPr>
        <w:t>Table 7</w:t>
      </w:r>
      <w:r w:rsidR="00860E78" w:rsidRPr="00666BAC">
        <w:rPr>
          <w:b/>
          <w:szCs w:val="22"/>
        </w:rPr>
        <w:t xml:space="preserve">. </w:t>
      </w:r>
      <w:r w:rsidR="00860E78" w:rsidRPr="00666BAC">
        <w:rPr>
          <w:szCs w:val="22"/>
        </w:rPr>
        <w:t>Most common issues in complaints by service type</w:t>
      </w:r>
    </w:p>
    <w:tbl>
      <w:tblPr>
        <w:tblStyle w:val="TableGrid"/>
        <w:tblW w:w="0" w:type="auto"/>
        <w:tblLook w:val="04A0" w:firstRow="1" w:lastRow="0" w:firstColumn="1" w:lastColumn="0" w:noHBand="0" w:noVBand="1"/>
      </w:tblPr>
      <w:tblGrid>
        <w:gridCol w:w="9298"/>
      </w:tblGrid>
      <w:tr w:rsidR="00860E78" w:rsidRPr="00666BAC" w:rsidTr="00860E78">
        <w:trPr>
          <w:hidden/>
        </w:trPr>
        <w:tc>
          <w:tcPr>
            <w:tcW w:w="9298" w:type="dxa"/>
          </w:tcPr>
          <w:p w:rsidR="00860E78" w:rsidRPr="00666BAC" w:rsidRDefault="00860E78" w:rsidP="00860E78">
            <w:pPr>
              <w:spacing w:before="120" w:after="120"/>
              <w:rPr>
                <w:b/>
                <w:vanish/>
                <w:sz w:val="28"/>
                <w:szCs w:val="28"/>
              </w:rPr>
            </w:pPr>
            <w:r w:rsidRPr="00666BAC">
              <w:rPr>
                <w:b/>
                <w:vanish/>
                <w:sz w:val="28"/>
                <w:szCs w:val="28"/>
              </w:rPr>
              <w:t>What does this tell us?</w:t>
            </w:r>
          </w:p>
          <w:p w:rsidR="00860E78" w:rsidRPr="00666BAC" w:rsidRDefault="00860E78" w:rsidP="00860E78">
            <w:pPr>
              <w:spacing w:before="120" w:after="120"/>
              <w:rPr>
                <w:vanish/>
                <w:szCs w:val="22"/>
              </w:rPr>
            </w:pPr>
          </w:p>
        </w:tc>
      </w:tr>
    </w:tbl>
    <w:tbl>
      <w:tblPr>
        <w:tblpPr w:leftFromText="180" w:rightFromText="180" w:vertAnchor="text" w:horzAnchor="margin" w:tblpY="99"/>
        <w:tblW w:w="549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28"/>
        <w:gridCol w:w="605"/>
        <w:gridCol w:w="1427"/>
        <w:gridCol w:w="613"/>
        <w:gridCol w:w="1427"/>
        <w:gridCol w:w="607"/>
        <w:gridCol w:w="1427"/>
        <w:gridCol w:w="615"/>
        <w:gridCol w:w="1474"/>
        <w:gridCol w:w="601"/>
      </w:tblGrid>
      <w:tr w:rsidR="00FF6305" w:rsidRPr="00666BAC" w:rsidTr="00983F2F">
        <w:tc>
          <w:tcPr>
            <w:tcW w:w="994" w:type="pct"/>
            <w:gridSpan w:val="2"/>
            <w:shd w:val="clear" w:color="auto" w:fill="C00000"/>
            <w:vAlign w:val="center"/>
          </w:tcPr>
          <w:p w:rsidR="00FF6305" w:rsidRPr="00666BAC" w:rsidRDefault="00FF6305" w:rsidP="00FF6305">
            <w:pPr>
              <w:keepNext/>
              <w:keepLines/>
              <w:tabs>
                <w:tab w:val="left" w:pos="1440"/>
                <w:tab w:val="decimal" w:pos="4320"/>
              </w:tabs>
              <w:ind w:left="139" w:right="10" w:firstLine="13"/>
              <w:jc w:val="center"/>
              <w:outlineLvl w:val="0"/>
              <w:rPr>
                <w:b/>
                <w:sz w:val="20"/>
                <w:szCs w:val="20"/>
              </w:rPr>
            </w:pPr>
            <w:r w:rsidRPr="00666BAC">
              <w:rPr>
                <w:b/>
                <w:sz w:val="20"/>
                <w:szCs w:val="20"/>
              </w:rPr>
              <w:t>Surgery</w:t>
            </w:r>
          </w:p>
          <w:p w:rsidR="00FF6305" w:rsidRPr="00666BAC" w:rsidRDefault="00DD2400" w:rsidP="00FF6305">
            <w:pPr>
              <w:keepNext/>
              <w:keepLines/>
              <w:tabs>
                <w:tab w:val="left" w:pos="1440"/>
                <w:tab w:val="decimal" w:pos="4320"/>
              </w:tabs>
              <w:ind w:left="139" w:right="10" w:firstLine="13"/>
              <w:jc w:val="center"/>
              <w:outlineLvl w:val="0"/>
              <w:rPr>
                <w:b/>
                <w:sz w:val="20"/>
                <w:szCs w:val="20"/>
              </w:rPr>
            </w:pPr>
            <w:r>
              <w:rPr>
                <w:b/>
                <w:sz w:val="20"/>
                <w:szCs w:val="20"/>
              </w:rPr>
              <w:t>total</w:t>
            </w:r>
            <w:r w:rsidR="00FF6305" w:rsidRPr="00666BAC">
              <w:rPr>
                <w:b/>
                <w:sz w:val="20"/>
                <w:szCs w:val="20"/>
              </w:rPr>
              <w:t>=2</w:t>
            </w:r>
            <w:r w:rsidR="00FF6305">
              <w:rPr>
                <w:b/>
                <w:sz w:val="20"/>
                <w:szCs w:val="20"/>
              </w:rPr>
              <w:t>91</w:t>
            </w:r>
          </w:p>
        </w:tc>
        <w:tc>
          <w:tcPr>
            <w:tcW w:w="998" w:type="pct"/>
            <w:gridSpan w:val="2"/>
            <w:shd w:val="clear" w:color="auto" w:fill="C00000"/>
            <w:vAlign w:val="center"/>
          </w:tcPr>
          <w:p w:rsidR="00FF6305" w:rsidRPr="00666BAC" w:rsidRDefault="00FF6305" w:rsidP="00FF6305">
            <w:pPr>
              <w:keepNext/>
              <w:keepLines/>
              <w:tabs>
                <w:tab w:val="left" w:pos="1440"/>
                <w:tab w:val="decimal" w:pos="4320"/>
              </w:tabs>
              <w:ind w:left="139" w:right="10" w:firstLine="13"/>
              <w:jc w:val="center"/>
              <w:outlineLvl w:val="0"/>
              <w:rPr>
                <w:b/>
                <w:sz w:val="20"/>
                <w:szCs w:val="20"/>
              </w:rPr>
            </w:pPr>
            <w:r w:rsidRPr="00666BAC">
              <w:rPr>
                <w:b/>
                <w:sz w:val="20"/>
                <w:szCs w:val="20"/>
              </w:rPr>
              <w:t>Mental health</w:t>
            </w:r>
          </w:p>
          <w:p w:rsidR="00FF6305" w:rsidRPr="00666BAC" w:rsidRDefault="00DD2400" w:rsidP="00FF6305">
            <w:pPr>
              <w:keepNext/>
              <w:keepLines/>
              <w:tabs>
                <w:tab w:val="left" w:pos="1440"/>
                <w:tab w:val="decimal" w:pos="4320"/>
              </w:tabs>
              <w:ind w:left="139" w:right="10" w:firstLine="13"/>
              <w:jc w:val="center"/>
              <w:outlineLvl w:val="0"/>
              <w:rPr>
                <w:b/>
                <w:sz w:val="20"/>
                <w:szCs w:val="20"/>
              </w:rPr>
            </w:pPr>
            <w:r>
              <w:rPr>
                <w:b/>
                <w:sz w:val="20"/>
                <w:szCs w:val="20"/>
              </w:rPr>
              <w:t>total</w:t>
            </w:r>
            <w:r w:rsidR="00FF6305" w:rsidRPr="00666BAC">
              <w:rPr>
                <w:b/>
                <w:sz w:val="20"/>
                <w:szCs w:val="20"/>
              </w:rPr>
              <w:t>=18</w:t>
            </w:r>
            <w:r w:rsidR="00FF6305">
              <w:rPr>
                <w:b/>
                <w:sz w:val="20"/>
                <w:szCs w:val="20"/>
              </w:rPr>
              <w:t>8</w:t>
            </w:r>
          </w:p>
        </w:tc>
        <w:tc>
          <w:tcPr>
            <w:tcW w:w="995" w:type="pct"/>
            <w:gridSpan w:val="2"/>
            <w:shd w:val="clear" w:color="auto" w:fill="C00000"/>
            <w:vAlign w:val="center"/>
          </w:tcPr>
          <w:p w:rsidR="00FF6305" w:rsidRPr="00666BAC" w:rsidRDefault="00FF6305" w:rsidP="00FF6305">
            <w:pPr>
              <w:keepNext/>
              <w:keepLines/>
              <w:tabs>
                <w:tab w:val="left" w:pos="1440"/>
                <w:tab w:val="decimal" w:pos="4320"/>
              </w:tabs>
              <w:ind w:left="139" w:right="10" w:firstLine="13"/>
              <w:jc w:val="center"/>
              <w:outlineLvl w:val="0"/>
              <w:rPr>
                <w:b/>
                <w:sz w:val="20"/>
                <w:szCs w:val="20"/>
              </w:rPr>
            </w:pPr>
            <w:r w:rsidRPr="00666BAC">
              <w:rPr>
                <w:b/>
                <w:sz w:val="20"/>
                <w:szCs w:val="20"/>
              </w:rPr>
              <w:t>General medicine</w:t>
            </w:r>
          </w:p>
          <w:p w:rsidR="00FF6305" w:rsidRPr="00666BAC" w:rsidRDefault="00DD2400" w:rsidP="00FF6305">
            <w:pPr>
              <w:keepNext/>
              <w:keepLines/>
              <w:tabs>
                <w:tab w:val="left" w:pos="1440"/>
                <w:tab w:val="decimal" w:pos="4320"/>
              </w:tabs>
              <w:ind w:left="139" w:right="10" w:firstLine="13"/>
              <w:jc w:val="center"/>
              <w:outlineLvl w:val="0"/>
              <w:rPr>
                <w:b/>
                <w:sz w:val="20"/>
                <w:szCs w:val="20"/>
              </w:rPr>
            </w:pPr>
            <w:r>
              <w:rPr>
                <w:b/>
                <w:sz w:val="20"/>
                <w:szCs w:val="20"/>
              </w:rPr>
              <w:t>total</w:t>
            </w:r>
            <w:r w:rsidR="00FF6305" w:rsidRPr="00666BAC">
              <w:rPr>
                <w:b/>
                <w:sz w:val="20"/>
                <w:szCs w:val="20"/>
              </w:rPr>
              <w:t>=1</w:t>
            </w:r>
            <w:r w:rsidR="00FF6305">
              <w:rPr>
                <w:b/>
                <w:sz w:val="20"/>
                <w:szCs w:val="20"/>
              </w:rPr>
              <w:t>52</w:t>
            </w:r>
          </w:p>
        </w:tc>
        <w:tc>
          <w:tcPr>
            <w:tcW w:w="999" w:type="pct"/>
            <w:gridSpan w:val="2"/>
            <w:shd w:val="clear" w:color="auto" w:fill="C00000"/>
            <w:vAlign w:val="center"/>
          </w:tcPr>
          <w:p w:rsidR="00FF6305" w:rsidRPr="00971F2F" w:rsidRDefault="00FF6305" w:rsidP="00FF6305">
            <w:pPr>
              <w:keepNext/>
              <w:keepLines/>
              <w:tabs>
                <w:tab w:val="left" w:pos="1440"/>
                <w:tab w:val="decimal" w:pos="4320"/>
              </w:tabs>
              <w:ind w:left="139" w:right="10" w:firstLine="13"/>
              <w:jc w:val="center"/>
              <w:outlineLvl w:val="0"/>
              <w:rPr>
                <w:b/>
                <w:sz w:val="20"/>
                <w:szCs w:val="20"/>
              </w:rPr>
            </w:pPr>
            <w:r w:rsidRPr="00971F2F">
              <w:rPr>
                <w:b/>
                <w:sz w:val="20"/>
                <w:szCs w:val="20"/>
              </w:rPr>
              <w:t>Emergency department</w:t>
            </w:r>
          </w:p>
          <w:p w:rsidR="00FF6305" w:rsidRPr="00971F2F" w:rsidRDefault="00DD2400" w:rsidP="00FF6305">
            <w:pPr>
              <w:keepNext/>
              <w:keepLines/>
              <w:tabs>
                <w:tab w:val="left" w:pos="1440"/>
                <w:tab w:val="decimal" w:pos="4320"/>
              </w:tabs>
              <w:ind w:left="139" w:right="10" w:firstLine="13"/>
              <w:jc w:val="center"/>
              <w:outlineLvl w:val="0"/>
              <w:rPr>
                <w:b/>
                <w:sz w:val="20"/>
                <w:szCs w:val="20"/>
              </w:rPr>
            </w:pPr>
            <w:proofErr w:type="spellStart"/>
            <w:r>
              <w:rPr>
                <w:b/>
                <w:sz w:val="20"/>
                <w:szCs w:val="20"/>
              </w:rPr>
              <w:t>totaL</w:t>
            </w:r>
            <w:proofErr w:type="spellEnd"/>
            <w:r w:rsidR="00FF6305" w:rsidRPr="00971F2F">
              <w:rPr>
                <w:b/>
                <w:sz w:val="20"/>
                <w:szCs w:val="20"/>
              </w:rPr>
              <w:t>=1</w:t>
            </w:r>
            <w:r w:rsidR="00FF6305">
              <w:rPr>
                <w:b/>
                <w:sz w:val="20"/>
                <w:szCs w:val="20"/>
              </w:rPr>
              <w:t>04</w:t>
            </w:r>
          </w:p>
        </w:tc>
        <w:tc>
          <w:tcPr>
            <w:tcW w:w="1015" w:type="pct"/>
            <w:gridSpan w:val="2"/>
            <w:shd w:val="clear" w:color="auto" w:fill="C00000"/>
            <w:vAlign w:val="center"/>
          </w:tcPr>
          <w:p w:rsidR="00FF6305" w:rsidRPr="00666BAC" w:rsidRDefault="00FF6305" w:rsidP="00FF6305">
            <w:pPr>
              <w:keepNext/>
              <w:keepLines/>
              <w:jc w:val="center"/>
              <w:rPr>
                <w:b/>
                <w:sz w:val="20"/>
                <w:szCs w:val="20"/>
              </w:rPr>
            </w:pPr>
            <w:r w:rsidRPr="00666BAC">
              <w:rPr>
                <w:b/>
                <w:sz w:val="20"/>
                <w:szCs w:val="20"/>
              </w:rPr>
              <w:t>Maternity</w:t>
            </w:r>
          </w:p>
          <w:p w:rsidR="00FF6305" w:rsidRPr="00666BAC" w:rsidRDefault="00DD2400" w:rsidP="00FF6305">
            <w:pPr>
              <w:keepNext/>
              <w:keepLines/>
              <w:jc w:val="center"/>
              <w:rPr>
                <w:b/>
                <w:sz w:val="20"/>
                <w:szCs w:val="20"/>
              </w:rPr>
            </w:pPr>
            <w:r>
              <w:rPr>
                <w:b/>
                <w:sz w:val="20"/>
                <w:szCs w:val="20"/>
              </w:rPr>
              <w:t>total</w:t>
            </w:r>
            <w:r w:rsidR="00FF6305">
              <w:rPr>
                <w:b/>
                <w:sz w:val="20"/>
                <w:szCs w:val="20"/>
              </w:rPr>
              <w:t>=69</w:t>
            </w:r>
          </w:p>
        </w:tc>
      </w:tr>
      <w:tr w:rsidR="00414A58" w:rsidRPr="00666BAC" w:rsidTr="00983F2F">
        <w:tc>
          <w:tcPr>
            <w:tcW w:w="698" w:type="pct"/>
            <w:vAlign w:val="center"/>
          </w:tcPr>
          <w:p w:rsidR="00860E78" w:rsidRPr="00666BAC" w:rsidRDefault="00B4622C" w:rsidP="00CD60EB">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295" w:type="pct"/>
            <w:vAlign w:val="center"/>
          </w:tcPr>
          <w:p w:rsidR="00860E78" w:rsidRPr="00666BAC" w:rsidRDefault="004B16DF" w:rsidP="00860E78">
            <w:pPr>
              <w:keepNext/>
              <w:keepLines/>
              <w:tabs>
                <w:tab w:val="left" w:pos="1440"/>
                <w:tab w:val="decimal" w:pos="4320"/>
              </w:tabs>
              <w:jc w:val="center"/>
              <w:outlineLvl w:val="0"/>
              <w:rPr>
                <w:sz w:val="20"/>
                <w:szCs w:val="20"/>
              </w:rPr>
            </w:pPr>
            <w:r>
              <w:rPr>
                <w:sz w:val="20"/>
                <w:szCs w:val="20"/>
              </w:rPr>
              <w:t>46</w:t>
            </w:r>
            <w:r w:rsidR="00B4622C">
              <w:rPr>
                <w:sz w:val="20"/>
                <w:szCs w:val="20"/>
              </w:rPr>
              <w:t>%</w:t>
            </w:r>
          </w:p>
        </w:tc>
        <w:tc>
          <w:tcPr>
            <w:tcW w:w="698" w:type="pct"/>
            <w:vAlign w:val="center"/>
          </w:tcPr>
          <w:p w:rsidR="00860E78" w:rsidRPr="00666BAC" w:rsidRDefault="00665F86" w:rsidP="00665F86">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300" w:type="pct"/>
            <w:vAlign w:val="center"/>
          </w:tcPr>
          <w:p w:rsidR="00860E78" w:rsidRPr="00666BAC" w:rsidRDefault="00447B11" w:rsidP="00860E78">
            <w:pPr>
              <w:keepNext/>
              <w:keepLines/>
              <w:tabs>
                <w:tab w:val="left" w:pos="1440"/>
                <w:tab w:val="decimal" w:pos="4320"/>
              </w:tabs>
              <w:jc w:val="center"/>
              <w:outlineLvl w:val="0"/>
              <w:rPr>
                <w:sz w:val="20"/>
                <w:szCs w:val="20"/>
              </w:rPr>
            </w:pPr>
            <w:r>
              <w:rPr>
                <w:sz w:val="20"/>
                <w:szCs w:val="20"/>
              </w:rPr>
              <w:t>29</w:t>
            </w:r>
            <w:r w:rsidR="00667663">
              <w:rPr>
                <w:sz w:val="20"/>
                <w:szCs w:val="20"/>
              </w:rPr>
              <w:t>%</w:t>
            </w:r>
          </w:p>
        </w:tc>
        <w:tc>
          <w:tcPr>
            <w:tcW w:w="698" w:type="pct"/>
            <w:vAlign w:val="center"/>
          </w:tcPr>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Inadequate/</w:t>
            </w:r>
          </w:p>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inappropriate</w:t>
            </w:r>
          </w:p>
          <w:p w:rsidR="0000680B" w:rsidRPr="00666BAC" w:rsidRDefault="00FF017E" w:rsidP="00FF017E">
            <w:pPr>
              <w:keepNext/>
              <w:keepLines/>
              <w:tabs>
                <w:tab w:val="left" w:pos="1440"/>
                <w:tab w:val="decimal" w:pos="4320"/>
              </w:tabs>
              <w:jc w:val="left"/>
              <w:outlineLvl w:val="0"/>
              <w:rPr>
                <w:sz w:val="20"/>
                <w:szCs w:val="20"/>
              </w:rPr>
            </w:pPr>
            <w:r w:rsidRPr="00666BAC">
              <w:rPr>
                <w:sz w:val="20"/>
                <w:szCs w:val="20"/>
              </w:rPr>
              <w:t>treatment</w:t>
            </w:r>
          </w:p>
        </w:tc>
        <w:tc>
          <w:tcPr>
            <w:tcW w:w="296" w:type="pct"/>
            <w:vAlign w:val="center"/>
          </w:tcPr>
          <w:p w:rsidR="00860E78" w:rsidRPr="00666BAC" w:rsidRDefault="00FF017E" w:rsidP="00860E78">
            <w:pPr>
              <w:keepNext/>
              <w:keepLines/>
              <w:tabs>
                <w:tab w:val="left" w:pos="1440"/>
                <w:tab w:val="decimal" w:pos="4320"/>
              </w:tabs>
              <w:jc w:val="center"/>
              <w:outlineLvl w:val="0"/>
              <w:rPr>
                <w:sz w:val="20"/>
                <w:szCs w:val="20"/>
              </w:rPr>
            </w:pPr>
            <w:r>
              <w:rPr>
                <w:sz w:val="20"/>
                <w:szCs w:val="20"/>
              </w:rPr>
              <w:t>38</w:t>
            </w:r>
            <w:r w:rsidR="00070288">
              <w:rPr>
                <w:sz w:val="20"/>
                <w:szCs w:val="20"/>
              </w:rPr>
              <w:t>%</w:t>
            </w:r>
          </w:p>
        </w:tc>
        <w:tc>
          <w:tcPr>
            <w:tcW w:w="698" w:type="pct"/>
            <w:vAlign w:val="center"/>
          </w:tcPr>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Inadequate/</w:t>
            </w:r>
          </w:p>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 xml:space="preserve">inappropriate </w:t>
            </w:r>
          </w:p>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examination/</w:t>
            </w:r>
          </w:p>
          <w:p w:rsidR="00860E78" w:rsidRPr="00666BAC" w:rsidRDefault="00CE7217" w:rsidP="00CE7217">
            <w:pPr>
              <w:keepNext/>
              <w:keepLines/>
              <w:tabs>
                <w:tab w:val="left" w:pos="1440"/>
                <w:tab w:val="decimal" w:pos="4320"/>
              </w:tabs>
              <w:jc w:val="left"/>
              <w:outlineLvl w:val="0"/>
              <w:rPr>
                <w:sz w:val="20"/>
                <w:szCs w:val="20"/>
              </w:rPr>
            </w:pPr>
            <w:r w:rsidRPr="00666BAC">
              <w:rPr>
                <w:sz w:val="20"/>
                <w:szCs w:val="20"/>
              </w:rPr>
              <w:t>assessment</w:t>
            </w:r>
          </w:p>
        </w:tc>
        <w:tc>
          <w:tcPr>
            <w:tcW w:w="300" w:type="pct"/>
            <w:vAlign w:val="center"/>
          </w:tcPr>
          <w:p w:rsidR="00860E78" w:rsidRPr="00666BAC" w:rsidRDefault="00CE7217" w:rsidP="00860E78">
            <w:pPr>
              <w:keepNext/>
              <w:keepLines/>
              <w:tabs>
                <w:tab w:val="left" w:pos="1440"/>
                <w:tab w:val="decimal" w:pos="4320"/>
              </w:tabs>
              <w:jc w:val="center"/>
              <w:outlineLvl w:val="0"/>
              <w:rPr>
                <w:sz w:val="20"/>
                <w:szCs w:val="20"/>
              </w:rPr>
            </w:pPr>
            <w:r>
              <w:rPr>
                <w:sz w:val="20"/>
                <w:szCs w:val="20"/>
              </w:rPr>
              <w:t>52</w:t>
            </w:r>
            <w:r w:rsidR="00E804AB">
              <w:rPr>
                <w:sz w:val="20"/>
                <w:szCs w:val="20"/>
              </w:rPr>
              <w:t>%</w:t>
            </w:r>
          </w:p>
        </w:tc>
        <w:tc>
          <w:tcPr>
            <w:tcW w:w="721" w:type="pct"/>
            <w:shd w:val="clear" w:color="auto" w:fill="auto"/>
            <w:vAlign w:val="center"/>
          </w:tcPr>
          <w:p w:rsidR="000F128D" w:rsidRPr="00666BAC" w:rsidRDefault="000F128D" w:rsidP="000F128D">
            <w:pPr>
              <w:keepNext/>
              <w:keepLines/>
              <w:jc w:val="left"/>
              <w:rPr>
                <w:sz w:val="20"/>
                <w:szCs w:val="20"/>
              </w:rPr>
            </w:pPr>
            <w:r w:rsidRPr="00666BAC">
              <w:rPr>
                <w:sz w:val="20"/>
                <w:szCs w:val="20"/>
              </w:rPr>
              <w:t>Failure to communicate effectively with</w:t>
            </w:r>
          </w:p>
          <w:p w:rsidR="00860E78" w:rsidRPr="00666BAC" w:rsidRDefault="000F128D" w:rsidP="000F128D">
            <w:pPr>
              <w:keepNext/>
              <w:keepLines/>
              <w:jc w:val="left"/>
              <w:rPr>
                <w:sz w:val="20"/>
                <w:szCs w:val="20"/>
              </w:rPr>
            </w:pPr>
            <w:r>
              <w:rPr>
                <w:sz w:val="20"/>
                <w:szCs w:val="20"/>
              </w:rPr>
              <w:t>c</w:t>
            </w:r>
            <w:r w:rsidRPr="00666BAC">
              <w:rPr>
                <w:sz w:val="20"/>
                <w:szCs w:val="20"/>
              </w:rPr>
              <w:t>onsumer</w:t>
            </w:r>
          </w:p>
        </w:tc>
        <w:tc>
          <w:tcPr>
            <w:tcW w:w="294" w:type="pct"/>
            <w:shd w:val="clear" w:color="auto" w:fill="auto"/>
            <w:vAlign w:val="center"/>
          </w:tcPr>
          <w:p w:rsidR="00860E78" w:rsidRPr="00666BAC" w:rsidRDefault="000F128D" w:rsidP="00860E78">
            <w:pPr>
              <w:keepNext/>
              <w:keepLines/>
              <w:rPr>
                <w:sz w:val="20"/>
                <w:szCs w:val="20"/>
              </w:rPr>
            </w:pPr>
            <w:r>
              <w:rPr>
                <w:sz w:val="20"/>
                <w:szCs w:val="20"/>
              </w:rPr>
              <w:t>55</w:t>
            </w:r>
            <w:r w:rsidR="00A422C1">
              <w:rPr>
                <w:sz w:val="20"/>
                <w:szCs w:val="20"/>
              </w:rPr>
              <w:t>%</w:t>
            </w:r>
          </w:p>
        </w:tc>
      </w:tr>
      <w:tr w:rsidR="00414A58" w:rsidRPr="00666BAC" w:rsidTr="00983F2F">
        <w:tc>
          <w:tcPr>
            <w:tcW w:w="698" w:type="pct"/>
            <w:vAlign w:val="center"/>
          </w:tcPr>
          <w:p w:rsidR="00B4622C" w:rsidRPr="00666BAC" w:rsidRDefault="00B4622C" w:rsidP="00B4622C">
            <w:pPr>
              <w:keepNext/>
              <w:keepLines/>
              <w:tabs>
                <w:tab w:val="left" w:pos="1440"/>
                <w:tab w:val="decimal" w:pos="4320"/>
              </w:tabs>
              <w:jc w:val="left"/>
              <w:outlineLvl w:val="0"/>
              <w:rPr>
                <w:sz w:val="20"/>
                <w:szCs w:val="20"/>
              </w:rPr>
            </w:pPr>
            <w:r w:rsidRPr="00666BAC">
              <w:rPr>
                <w:sz w:val="20"/>
                <w:szCs w:val="20"/>
              </w:rPr>
              <w:t>Inadequate/</w:t>
            </w:r>
          </w:p>
          <w:p w:rsidR="00B4622C" w:rsidRPr="00666BAC" w:rsidRDefault="00B4622C" w:rsidP="00B4622C">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B4622C" w:rsidP="00B4622C">
            <w:pPr>
              <w:keepNext/>
              <w:keepLines/>
              <w:tabs>
                <w:tab w:val="left" w:pos="1440"/>
                <w:tab w:val="decimal" w:pos="4320"/>
              </w:tabs>
              <w:jc w:val="left"/>
              <w:outlineLvl w:val="0"/>
              <w:rPr>
                <w:sz w:val="20"/>
                <w:szCs w:val="20"/>
              </w:rPr>
            </w:pPr>
            <w:r>
              <w:rPr>
                <w:sz w:val="20"/>
                <w:szCs w:val="20"/>
              </w:rPr>
              <w:t>treatment</w:t>
            </w:r>
          </w:p>
        </w:tc>
        <w:tc>
          <w:tcPr>
            <w:tcW w:w="295" w:type="pct"/>
            <w:vAlign w:val="center"/>
          </w:tcPr>
          <w:p w:rsidR="00860E78" w:rsidRPr="00666BAC" w:rsidRDefault="004B16DF" w:rsidP="00860E78">
            <w:pPr>
              <w:keepNext/>
              <w:keepLines/>
              <w:tabs>
                <w:tab w:val="left" w:pos="1440"/>
                <w:tab w:val="decimal" w:pos="4320"/>
              </w:tabs>
              <w:jc w:val="center"/>
              <w:outlineLvl w:val="0"/>
              <w:rPr>
                <w:sz w:val="20"/>
                <w:szCs w:val="20"/>
              </w:rPr>
            </w:pPr>
            <w:r>
              <w:rPr>
                <w:sz w:val="20"/>
                <w:szCs w:val="20"/>
              </w:rPr>
              <w:t>44</w:t>
            </w:r>
            <w:r w:rsidR="00B4622C">
              <w:rPr>
                <w:sz w:val="20"/>
                <w:szCs w:val="20"/>
              </w:rPr>
              <w:t>%</w:t>
            </w:r>
          </w:p>
        </w:tc>
        <w:tc>
          <w:tcPr>
            <w:tcW w:w="698" w:type="pct"/>
            <w:vAlign w:val="center"/>
          </w:tcPr>
          <w:p w:rsidR="00860E78" w:rsidRPr="00666BAC" w:rsidRDefault="00447B11" w:rsidP="00667663">
            <w:pPr>
              <w:keepNext/>
              <w:keepLines/>
              <w:tabs>
                <w:tab w:val="left" w:pos="1440"/>
                <w:tab w:val="decimal" w:pos="4320"/>
              </w:tabs>
              <w:jc w:val="left"/>
              <w:outlineLvl w:val="0"/>
              <w:rPr>
                <w:sz w:val="20"/>
                <w:szCs w:val="20"/>
              </w:rPr>
            </w:pPr>
            <w:r w:rsidRPr="00666BAC">
              <w:rPr>
                <w:sz w:val="20"/>
                <w:szCs w:val="20"/>
              </w:rPr>
              <w:t>Failure to commu</w:t>
            </w:r>
            <w:r>
              <w:rPr>
                <w:sz w:val="20"/>
                <w:szCs w:val="20"/>
              </w:rPr>
              <w:t>nicate effectively with family</w:t>
            </w:r>
          </w:p>
        </w:tc>
        <w:tc>
          <w:tcPr>
            <w:tcW w:w="300" w:type="pct"/>
            <w:vAlign w:val="center"/>
          </w:tcPr>
          <w:p w:rsidR="00860E78" w:rsidRPr="00666BAC" w:rsidRDefault="00447B11" w:rsidP="00860E78">
            <w:pPr>
              <w:keepNext/>
              <w:keepLines/>
              <w:tabs>
                <w:tab w:val="left" w:pos="1440"/>
                <w:tab w:val="decimal" w:pos="4320"/>
              </w:tabs>
              <w:jc w:val="center"/>
              <w:outlineLvl w:val="0"/>
              <w:rPr>
                <w:sz w:val="20"/>
                <w:szCs w:val="20"/>
              </w:rPr>
            </w:pPr>
            <w:r>
              <w:rPr>
                <w:sz w:val="20"/>
                <w:szCs w:val="20"/>
              </w:rPr>
              <w:t>27</w:t>
            </w:r>
            <w:r w:rsidR="00667663">
              <w:rPr>
                <w:sz w:val="20"/>
                <w:szCs w:val="20"/>
              </w:rPr>
              <w:t>%</w:t>
            </w:r>
          </w:p>
        </w:tc>
        <w:tc>
          <w:tcPr>
            <w:tcW w:w="698" w:type="pct"/>
            <w:vAlign w:val="center"/>
          </w:tcPr>
          <w:p w:rsidR="00860E78" w:rsidRPr="00666BAC" w:rsidRDefault="00070288" w:rsidP="00070288">
            <w:pPr>
              <w:keepNext/>
              <w:keepLines/>
              <w:tabs>
                <w:tab w:val="left" w:pos="1440"/>
                <w:tab w:val="decimal" w:pos="4320"/>
              </w:tabs>
              <w:jc w:val="left"/>
              <w:outlineLvl w:val="0"/>
              <w:rPr>
                <w:sz w:val="20"/>
                <w:szCs w:val="20"/>
              </w:rPr>
            </w:pPr>
            <w:r w:rsidRPr="00666BAC">
              <w:rPr>
                <w:sz w:val="20"/>
                <w:szCs w:val="20"/>
              </w:rPr>
              <w:t>Failure to commu</w:t>
            </w:r>
            <w:r>
              <w:rPr>
                <w:sz w:val="20"/>
                <w:szCs w:val="20"/>
              </w:rPr>
              <w:t>nicate effectively with family</w:t>
            </w:r>
          </w:p>
        </w:tc>
        <w:tc>
          <w:tcPr>
            <w:tcW w:w="296" w:type="pct"/>
            <w:vAlign w:val="center"/>
          </w:tcPr>
          <w:p w:rsidR="00860E78" w:rsidRPr="00666BAC" w:rsidRDefault="00FF017E" w:rsidP="00860E78">
            <w:pPr>
              <w:keepNext/>
              <w:keepLines/>
              <w:tabs>
                <w:tab w:val="left" w:pos="1440"/>
                <w:tab w:val="decimal" w:pos="4320"/>
              </w:tabs>
              <w:jc w:val="center"/>
              <w:outlineLvl w:val="0"/>
              <w:rPr>
                <w:sz w:val="20"/>
                <w:szCs w:val="20"/>
              </w:rPr>
            </w:pPr>
            <w:r>
              <w:rPr>
                <w:sz w:val="20"/>
                <w:szCs w:val="20"/>
              </w:rPr>
              <w:t>35</w:t>
            </w:r>
            <w:r w:rsidR="00070288">
              <w:rPr>
                <w:sz w:val="20"/>
                <w:szCs w:val="20"/>
              </w:rPr>
              <w:t>%</w:t>
            </w:r>
          </w:p>
        </w:tc>
        <w:tc>
          <w:tcPr>
            <w:tcW w:w="698" w:type="pct"/>
            <w:vAlign w:val="center"/>
          </w:tcPr>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Missed/</w:t>
            </w:r>
          </w:p>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incorrect/</w:t>
            </w:r>
          </w:p>
          <w:p w:rsidR="00860E78" w:rsidRPr="00666BAC" w:rsidRDefault="00CE7217" w:rsidP="00CE7217">
            <w:pPr>
              <w:keepNext/>
              <w:keepLines/>
              <w:tabs>
                <w:tab w:val="left" w:pos="1440"/>
                <w:tab w:val="decimal" w:pos="4320"/>
              </w:tabs>
              <w:jc w:val="left"/>
              <w:outlineLvl w:val="0"/>
              <w:rPr>
                <w:sz w:val="20"/>
                <w:szCs w:val="20"/>
              </w:rPr>
            </w:pPr>
            <w:r w:rsidRPr="00666BAC">
              <w:rPr>
                <w:sz w:val="20"/>
                <w:szCs w:val="20"/>
              </w:rPr>
              <w:t>delayed diagnosis</w:t>
            </w:r>
          </w:p>
        </w:tc>
        <w:tc>
          <w:tcPr>
            <w:tcW w:w="300" w:type="pct"/>
            <w:vAlign w:val="center"/>
          </w:tcPr>
          <w:p w:rsidR="00860E78" w:rsidRPr="00666BAC" w:rsidRDefault="00CE7217" w:rsidP="00860E78">
            <w:pPr>
              <w:keepNext/>
              <w:keepLines/>
              <w:tabs>
                <w:tab w:val="left" w:pos="1440"/>
                <w:tab w:val="decimal" w:pos="4320"/>
              </w:tabs>
              <w:jc w:val="center"/>
              <w:outlineLvl w:val="0"/>
              <w:rPr>
                <w:sz w:val="20"/>
                <w:szCs w:val="20"/>
              </w:rPr>
            </w:pPr>
            <w:r>
              <w:rPr>
                <w:sz w:val="20"/>
                <w:szCs w:val="20"/>
              </w:rPr>
              <w:t>44</w:t>
            </w:r>
            <w:r w:rsidR="00E804AB">
              <w:rPr>
                <w:sz w:val="20"/>
                <w:szCs w:val="20"/>
              </w:rPr>
              <w:t>%</w:t>
            </w:r>
          </w:p>
        </w:tc>
        <w:tc>
          <w:tcPr>
            <w:tcW w:w="721" w:type="pct"/>
            <w:shd w:val="clear" w:color="auto" w:fill="auto"/>
            <w:vAlign w:val="center"/>
          </w:tcPr>
          <w:p w:rsidR="000F128D" w:rsidRPr="00666BAC" w:rsidRDefault="000F128D" w:rsidP="000F128D">
            <w:pPr>
              <w:keepNext/>
              <w:keepLines/>
              <w:tabs>
                <w:tab w:val="left" w:pos="1440"/>
                <w:tab w:val="decimal" w:pos="4320"/>
              </w:tabs>
              <w:jc w:val="left"/>
              <w:outlineLvl w:val="0"/>
              <w:rPr>
                <w:sz w:val="20"/>
                <w:szCs w:val="20"/>
              </w:rPr>
            </w:pPr>
            <w:r w:rsidRPr="00666BAC">
              <w:rPr>
                <w:sz w:val="20"/>
                <w:szCs w:val="20"/>
              </w:rPr>
              <w:t>Inadequate/</w:t>
            </w:r>
          </w:p>
          <w:p w:rsidR="000F128D" w:rsidRPr="00666BAC" w:rsidRDefault="000F128D" w:rsidP="000F128D">
            <w:pPr>
              <w:keepNext/>
              <w:keepLines/>
              <w:tabs>
                <w:tab w:val="left" w:pos="1440"/>
                <w:tab w:val="decimal" w:pos="4320"/>
              </w:tabs>
              <w:jc w:val="left"/>
              <w:outlineLvl w:val="0"/>
              <w:rPr>
                <w:sz w:val="20"/>
                <w:szCs w:val="20"/>
              </w:rPr>
            </w:pPr>
            <w:r w:rsidRPr="00666BAC">
              <w:rPr>
                <w:sz w:val="20"/>
                <w:szCs w:val="20"/>
              </w:rPr>
              <w:t>inappropriate</w:t>
            </w:r>
          </w:p>
          <w:p w:rsidR="00860E78" w:rsidRPr="00666BAC" w:rsidRDefault="000F128D" w:rsidP="000F128D">
            <w:pPr>
              <w:keepNext/>
              <w:keepLines/>
              <w:jc w:val="left"/>
            </w:pPr>
            <w:r>
              <w:rPr>
                <w:sz w:val="20"/>
                <w:szCs w:val="20"/>
              </w:rPr>
              <w:t>treatment</w:t>
            </w:r>
          </w:p>
        </w:tc>
        <w:tc>
          <w:tcPr>
            <w:tcW w:w="294" w:type="pct"/>
            <w:shd w:val="clear" w:color="auto" w:fill="auto"/>
            <w:vAlign w:val="center"/>
          </w:tcPr>
          <w:p w:rsidR="00860E78" w:rsidRPr="00666BAC" w:rsidRDefault="000F128D" w:rsidP="00860E78">
            <w:pPr>
              <w:keepNext/>
              <w:keepLines/>
              <w:rPr>
                <w:sz w:val="20"/>
                <w:szCs w:val="20"/>
              </w:rPr>
            </w:pPr>
            <w:r>
              <w:rPr>
                <w:sz w:val="20"/>
                <w:szCs w:val="20"/>
              </w:rPr>
              <w:t>54</w:t>
            </w:r>
            <w:r w:rsidR="00A422C1">
              <w:rPr>
                <w:sz w:val="20"/>
                <w:szCs w:val="20"/>
              </w:rPr>
              <w:t>%</w:t>
            </w:r>
          </w:p>
        </w:tc>
      </w:tr>
      <w:tr w:rsidR="00CD60EB" w:rsidRPr="00666BAC" w:rsidTr="00983F2F">
        <w:trPr>
          <w:trHeight w:val="958"/>
        </w:trPr>
        <w:tc>
          <w:tcPr>
            <w:tcW w:w="698"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Unexpected treatment outcome</w:t>
            </w:r>
          </w:p>
        </w:tc>
        <w:tc>
          <w:tcPr>
            <w:tcW w:w="295" w:type="pct"/>
            <w:vAlign w:val="center"/>
          </w:tcPr>
          <w:p w:rsidR="00CD60EB" w:rsidRPr="00666BAC" w:rsidRDefault="004B16DF" w:rsidP="00CD60EB">
            <w:pPr>
              <w:keepNext/>
              <w:keepLines/>
              <w:tabs>
                <w:tab w:val="left" w:pos="1440"/>
                <w:tab w:val="decimal" w:pos="4320"/>
              </w:tabs>
              <w:jc w:val="center"/>
              <w:outlineLvl w:val="0"/>
              <w:rPr>
                <w:sz w:val="20"/>
                <w:szCs w:val="20"/>
              </w:rPr>
            </w:pPr>
            <w:r>
              <w:rPr>
                <w:sz w:val="20"/>
                <w:szCs w:val="20"/>
              </w:rPr>
              <w:t>30</w:t>
            </w:r>
            <w:r w:rsidR="00B4622C">
              <w:rPr>
                <w:sz w:val="20"/>
                <w:szCs w:val="20"/>
              </w:rPr>
              <w:t>%</w:t>
            </w:r>
          </w:p>
        </w:tc>
        <w:tc>
          <w:tcPr>
            <w:tcW w:w="698" w:type="pct"/>
            <w:vAlign w:val="center"/>
          </w:tcPr>
          <w:p w:rsidR="00447B11" w:rsidRPr="00666BAC" w:rsidRDefault="00447B11" w:rsidP="00447B11">
            <w:pPr>
              <w:keepNext/>
              <w:keepLines/>
              <w:tabs>
                <w:tab w:val="left" w:pos="1440"/>
                <w:tab w:val="decimal" w:pos="4320"/>
              </w:tabs>
              <w:jc w:val="left"/>
              <w:outlineLvl w:val="0"/>
              <w:rPr>
                <w:sz w:val="20"/>
                <w:szCs w:val="20"/>
              </w:rPr>
            </w:pPr>
            <w:r w:rsidRPr="00666BAC">
              <w:rPr>
                <w:sz w:val="20"/>
                <w:szCs w:val="20"/>
              </w:rPr>
              <w:t>Inadequate/</w:t>
            </w:r>
          </w:p>
          <w:p w:rsidR="00447B11" w:rsidRPr="00666BAC" w:rsidRDefault="00447B11" w:rsidP="00447B11">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447B11" w:rsidP="00447B11">
            <w:pPr>
              <w:keepNext/>
              <w:keepLines/>
              <w:tabs>
                <w:tab w:val="left" w:pos="1440"/>
                <w:tab w:val="decimal" w:pos="4320"/>
              </w:tabs>
              <w:jc w:val="left"/>
              <w:outlineLvl w:val="0"/>
              <w:rPr>
                <w:sz w:val="20"/>
                <w:szCs w:val="20"/>
              </w:rPr>
            </w:pPr>
            <w:r>
              <w:rPr>
                <w:sz w:val="20"/>
                <w:szCs w:val="20"/>
              </w:rPr>
              <w:t>treatment</w:t>
            </w:r>
          </w:p>
        </w:tc>
        <w:tc>
          <w:tcPr>
            <w:tcW w:w="300" w:type="pct"/>
            <w:vAlign w:val="center"/>
          </w:tcPr>
          <w:p w:rsidR="00CD60EB" w:rsidRPr="00666BAC" w:rsidRDefault="00447B11" w:rsidP="00CD60EB">
            <w:pPr>
              <w:keepNext/>
              <w:keepLines/>
              <w:tabs>
                <w:tab w:val="left" w:pos="1440"/>
                <w:tab w:val="decimal" w:pos="4320"/>
              </w:tabs>
              <w:jc w:val="center"/>
              <w:outlineLvl w:val="0"/>
              <w:rPr>
                <w:sz w:val="20"/>
                <w:szCs w:val="20"/>
              </w:rPr>
            </w:pPr>
            <w:r>
              <w:rPr>
                <w:sz w:val="20"/>
                <w:szCs w:val="20"/>
              </w:rPr>
              <w:t>25</w:t>
            </w:r>
            <w:r w:rsidR="00667663">
              <w:rPr>
                <w:sz w:val="20"/>
                <w:szCs w:val="20"/>
              </w:rPr>
              <w:t>%</w:t>
            </w:r>
          </w:p>
        </w:tc>
        <w:tc>
          <w:tcPr>
            <w:tcW w:w="698" w:type="pct"/>
            <w:vAlign w:val="center"/>
          </w:tcPr>
          <w:p w:rsidR="00CD60EB" w:rsidRPr="00666BAC" w:rsidRDefault="00FF017E" w:rsidP="00070288">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296" w:type="pct"/>
            <w:vAlign w:val="center"/>
          </w:tcPr>
          <w:p w:rsidR="00CD60EB" w:rsidRPr="00666BAC" w:rsidRDefault="00FF017E" w:rsidP="00CD60EB">
            <w:pPr>
              <w:keepNext/>
              <w:keepLines/>
              <w:tabs>
                <w:tab w:val="left" w:pos="1440"/>
                <w:tab w:val="decimal" w:pos="4320"/>
              </w:tabs>
              <w:jc w:val="center"/>
              <w:outlineLvl w:val="0"/>
              <w:rPr>
                <w:sz w:val="20"/>
                <w:szCs w:val="20"/>
              </w:rPr>
            </w:pPr>
            <w:r>
              <w:rPr>
                <w:sz w:val="20"/>
                <w:szCs w:val="20"/>
              </w:rPr>
              <w:t>33</w:t>
            </w:r>
            <w:r w:rsidR="00070288">
              <w:rPr>
                <w:sz w:val="20"/>
                <w:szCs w:val="20"/>
              </w:rPr>
              <w:t>%</w:t>
            </w:r>
          </w:p>
        </w:tc>
        <w:tc>
          <w:tcPr>
            <w:tcW w:w="698" w:type="pct"/>
            <w:vAlign w:val="center"/>
          </w:tcPr>
          <w:p w:rsidR="00CD60EB" w:rsidRPr="00666BAC" w:rsidRDefault="00CE7217" w:rsidP="00E804AB">
            <w:pPr>
              <w:keepNext/>
              <w:keepLines/>
              <w:tabs>
                <w:tab w:val="left" w:pos="1440"/>
                <w:tab w:val="decimal" w:pos="4320"/>
              </w:tabs>
              <w:jc w:val="left"/>
              <w:outlineLvl w:val="0"/>
              <w:rPr>
                <w:sz w:val="20"/>
                <w:szCs w:val="20"/>
              </w:rPr>
            </w:pPr>
            <w:r w:rsidRPr="00666BAC">
              <w:rPr>
                <w:sz w:val="20"/>
                <w:szCs w:val="20"/>
              </w:rPr>
              <w:t>Failure to communicate effectively with consumer</w:t>
            </w:r>
          </w:p>
        </w:tc>
        <w:tc>
          <w:tcPr>
            <w:tcW w:w="300" w:type="pct"/>
            <w:vAlign w:val="center"/>
          </w:tcPr>
          <w:p w:rsidR="00CD60EB" w:rsidRPr="00666BAC" w:rsidRDefault="00CE7217" w:rsidP="00CD60EB">
            <w:pPr>
              <w:keepNext/>
              <w:keepLines/>
              <w:tabs>
                <w:tab w:val="left" w:pos="1440"/>
                <w:tab w:val="decimal" w:pos="4320"/>
              </w:tabs>
              <w:jc w:val="center"/>
              <w:outlineLvl w:val="0"/>
              <w:rPr>
                <w:sz w:val="20"/>
                <w:szCs w:val="20"/>
              </w:rPr>
            </w:pPr>
            <w:r>
              <w:rPr>
                <w:sz w:val="20"/>
                <w:szCs w:val="20"/>
              </w:rPr>
              <w:t>36</w:t>
            </w:r>
            <w:r w:rsidR="00E804AB">
              <w:rPr>
                <w:sz w:val="20"/>
                <w:szCs w:val="20"/>
              </w:rPr>
              <w:t>%</w:t>
            </w:r>
          </w:p>
        </w:tc>
        <w:tc>
          <w:tcPr>
            <w:tcW w:w="721" w:type="pct"/>
            <w:shd w:val="clear" w:color="auto" w:fill="auto"/>
            <w:vAlign w:val="center"/>
          </w:tcPr>
          <w:p w:rsidR="00CD60EB" w:rsidRPr="00666BAC" w:rsidRDefault="00A422C1" w:rsidP="00CD60EB">
            <w:pPr>
              <w:keepNext/>
              <w:keepLines/>
              <w:jc w:val="left"/>
              <w:rPr>
                <w:sz w:val="20"/>
                <w:szCs w:val="20"/>
              </w:rPr>
            </w:pPr>
            <w:r>
              <w:rPr>
                <w:sz w:val="20"/>
                <w:szCs w:val="20"/>
              </w:rPr>
              <w:t>Delay in treatment</w:t>
            </w:r>
          </w:p>
        </w:tc>
        <w:tc>
          <w:tcPr>
            <w:tcW w:w="294" w:type="pct"/>
            <w:shd w:val="clear" w:color="auto" w:fill="auto"/>
            <w:vAlign w:val="center"/>
          </w:tcPr>
          <w:p w:rsidR="00CD60EB" w:rsidRPr="00666BAC" w:rsidRDefault="000F128D" w:rsidP="00CD60EB">
            <w:pPr>
              <w:keepNext/>
              <w:keepLines/>
              <w:rPr>
                <w:sz w:val="20"/>
                <w:szCs w:val="20"/>
              </w:rPr>
            </w:pPr>
            <w:r>
              <w:rPr>
                <w:sz w:val="20"/>
                <w:szCs w:val="20"/>
              </w:rPr>
              <w:t>32</w:t>
            </w:r>
            <w:r w:rsidR="00A422C1">
              <w:rPr>
                <w:sz w:val="20"/>
                <w:szCs w:val="20"/>
              </w:rPr>
              <w:t>%</w:t>
            </w:r>
          </w:p>
        </w:tc>
      </w:tr>
      <w:tr w:rsidR="00CD60EB" w:rsidRPr="00666BAC" w:rsidTr="00983F2F">
        <w:trPr>
          <w:trHeight w:val="958"/>
        </w:trPr>
        <w:tc>
          <w:tcPr>
            <w:tcW w:w="698" w:type="pct"/>
            <w:vAlign w:val="center"/>
          </w:tcPr>
          <w:p w:rsidR="004B16DF" w:rsidRPr="00666BAC" w:rsidRDefault="004B16DF" w:rsidP="004B16DF">
            <w:pPr>
              <w:keepNext/>
              <w:keepLines/>
              <w:tabs>
                <w:tab w:val="left" w:pos="1440"/>
                <w:tab w:val="decimal" w:pos="4320"/>
              </w:tabs>
              <w:jc w:val="left"/>
              <w:outlineLvl w:val="0"/>
              <w:rPr>
                <w:sz w:val="20"/>
                <w:szCs w:val="20"/>
              </w:rPr>
            </w:pPr>
            <w:r w:rsidRPr="00666BAC">
              <w:rPr>
                <w:sz w:val="20"/>
                <w:szCs w:val="20"/>
              </w:rPr>
              <w:t>Waiting list/</w:t>
            </w:r>
          </w:p>
          <w:p w:rsidR="004B16DF" w:rsidRPr="00666BAC" w:rsidRDefault="004B16DF" w:rsidP="004B16DF">
            <w:pPr>
              <w:keepNext/>
              <w:keepLines/>
              <w:tabs>
                <w:tab w:val="left" w:pos="1440"/>
                <w:tab w:val="decimal" w:pos="4320"/>
              </w:tabs>
              <w:jc w:val="left"/>
              <w:outlineLvl w:val="0"/>
              <w:rPr>
                <w:sz w:val="20"/>
                <w:szCs w:val="20"/>
              </w:rPr>
            </w:pPr>
            <w:r w:rsidRPr="00666BAC">
              <w:rPr>
                <w:sz w:val="20"/>
                <w:szCs w:val="20"/>
              </w:rPr>
              <w:t>prioritisation</w:t>
            </w:r>
          </w:p>
          <w:p w:rsidR="00CD60EB" w:rsidRPr="00666BAC" w:rsidRDefault="004B16DF" w:rsidP="004B16DF">
            <w:pPr>
              <w:keepNext/>
              <w:keepLines/>
              <w:tabs>
                <w:tab w:val="left" w:pos="1440"/>
                <w:tab w:val="decimal" w:pos="4320"/>
              </w:tabs>
              <w:jc w:val="left"/>
              <w:outlineLvl w:val="0"/>
              <w:rPr>
                <w:sz w:val="20"/>
                <w:szCs w:val="20"/>
              </w:rPr>
            </w:pPr>
            <w:r w:rsidRPr="00666BAC">
              <w:rPr>
                <w:sz w:val="20"/>
                <w:szCs w:val="20"/>
              </w:rPr>
              <w:t>issue</w:t>
            </w:r>
          </w:p>
        </w:tc>
        <w:tc>
          <w:tcPr>
            <w:tcW w:w="295" w:type="pct"/>
            <w:vAlign w:val="center"/>
          </w:tcPr>
          <w:p w:rsidR="00CD60EB" w:rsidRPr="00666BAC" w:rsidRDefault="004B16DF" w:rsidP="00CD60EB">
            <w:pPr>
              <w:keepNext/>
              <w:keepLines/>
              <w:tabs>
                <w:tab w:val="left" w:pos="1440"/>
                <w:tab w:val="decimal" w:pos="4320"/>
              </w:tabs>
              <w:jc w:val="center"/>
              <w:outlineLvl w:val="0"/>
              <w:rPr>
                <w:sz w:val="20"/>
                <w:szCs w:val="20"/>
              </w:rPr>
            </w:pPr>
            <w:r>
              <w:rPr>
                <w:sz w:val="20"/>
                <w:szCs w:val="20"/>
              </w:rPr>
              <w:t>21</w:t>
            </w:r>
            <w:r w:rsidR="00B4622C">
              <w:rPr>
                <w:sz w:val="20"/>
                <w:szCs w:val="20"/>
              </w:rPr>
              <w:t>%</w:t>
            </w:r>
          </w:p>
        </w:tc>
        <w:tc>
          <w:tcPr>
            <w:tcW w:w="698" w:type="pct"/>
            <w:vAlign w:val="center"/>
          </w:tcPr>
          <w:p w:rsidR="00447B11" w:rsidRPr="00971F2F" w:rsidRDefault="00447B11" w:rsidP="00447B11">
            <w:pPr>
              <w:keepNext/>
              <w:keepLines/>
              <w:tabs>
                <w:tab w:val="left" w:pos="1440"/>
                <w:tab w:val="decimal" w:pos="4320"/>
              </w:tabs>
              <w:jc w:val="left"/>
              <w:outlineLvl w:val="0"/>
              <w:rPr>
                <w:sz w:val="20"/>
                <w:szCs w:val="20"/>
              </w:rPr>
            </w:pPr>
            <w:r w:rsidRPr="00971F2F">
              <w:rPr>
                <w:sz w:val="20"/>
                <w:szCs w:val="20"/>
              </w:rPr>
              <w:t>Issues with involuntary admission/</w:t>
            </w:r>
          </w:p>
          <w:p w:rsidR="00CD60EB" w:rsidRPr="00666BAC" w:rsidRDefault="00447B11" w:rsidP="00447B11">
            <w:pPr>
              <w:keepNext/>
              <w:keepLines/>
              <w:tabs>
                <w:tab w:val="left" w:pos="1440"/>
                <w:tab w:val="decimal" w:pos="4320"/>
              </w:tabs>
              <w:jc w:val="left"/>
              <w:outlineLvl w:val="0"/>
              <w:rPr>
                <w:sz w:val="20"/>
                <w:szCs w:val="20"/>
              </w:rPr>
            </w:pPr>
            <w:r w:rsidRPr="00971F2F">
              <w:rPr>
                <w:sz w:val="20"/>
                <w:szCs w:val="20"/>
              </w:rPr>
              <w:t>treatment</w:t>
            </w:r>
          </w:p>
        </w:tc>
        <w:tc>
          <w:tcPr>
            <w:tcW w:w="300" w:type="pct"/>
            <w:vAlign w:val="center"/>
          </w:tcPr>
          <w:p w:rsidR="00CD60EB" w:rsidRPr="00666BAC" w:rsidRDefault="00447B11" w:rsidP="00CD60EB">
            <w:pPr>
              <w:keepNext/>
              <w:keepLines/>
              <w:tabs>
                <w:tab w:val="left" w:pos="1440"/>
                <w:tab w:val="decimal" w:pos="4320"/>
              </w:tabs>
              <w:jc w:val="center"/>
              <w:outlineLvl w:val="0"/>
              <w:rPr>
                <w:sz w:val="20"/>
                <w:szCs w:val="20"/>
              </w:rPr>
            </w:pPr>
            <w:r>
              <w:rPr>
                <w:sz w:val="20"/>
                <w:szCs w:val="20"/>
              </w:rPr>
              <w:t>23</w:t>
            </w:r>
            <w:r w:rsidR="00667663">
              <w:rPr>
                <w:sz w:val="20"/>
                <w:szCs w:val="20"/>
              </w:rPr>
              <w:t>%</w:t>
            </w:r>
          </w:p>
        </w:tc>
        <w:tc>
          <w:tcPr>
            <w:tcW w:w="698" w:type="pct"/>
            <w:vAlign w:val="center"/>
          </w:tcPr>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Missed/</w:t>
            </w:r>
          </w:p>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incorrect/</w:t>
            </w:r>
          </w:p>
          <w:p w:rsidR="00CD60EB" w:rsidRPr="00666BAC" w:rsidRDefault="00FF017E" w:rsidP="00FF017E">
            <w:pPr>
              <w:keepNext/>
              <w:keepLines/>
              <w:tabs>
                <w:tab w:val="left" w:pos="1440"/>
                <w:tab w:val="decimal" w:pos="4320"/>
              </w:tabs>
              <w:jc w:val="left"/>
              <w:outlineLvl w:val="0"/>
              <w:rPr>
                <w:sz w:val="20"/>
                <w:szCs w:val="20"/>
              </w:rPr>
            </w:pPr>
            <w:r w:rsidRPr="00666BAC">
              <w:rPr>
                <w:sz w:val="20"/>
                <w:szCs w:val="20"/>
              </w:rPr>
              <w:t>delayed diagnosis</w:t>
            </w:r>
          </w:p>
        </w:tc>
        <w:tc>
          <w:tcPr>
            <w:tcW w:w="296" w:type="pct"/>
            <w:vAlign w:val="center"/>
          </w:tcPr>
          <w:p w:rsidR="00CD60EB" w:rsidRPr="00666BAC" w:rsidRDefault="00FF017E" w:rsidP="00CD60EB">
            <w:pPr>
              <w:keepNext/>
              <w:keepLines/>
              <w:tabs>
                <w:tab w:val="left" w:pos="1440"/>
                <w:tab w:val="decimal" w:pos="4320"/>
              </w:tabs>
              <w:jc w:val="center"/>
              <w:outlineLvl w:val="0"/>
              <w:rPr>
                <w:sz w:val="20"/>
                <w:szCs w:val="20"/>
              </w:rPr>
            </w:pPr>
            <w:r>
              <w:rPr>
                <w:sz w:val="20"/>
                <w:szCs w:val="20"/>
              </w:rPr>
              <w:t>26</w:t>
            </w:r>
            <w:r w:rsidR="00070288">
              <w:rPr>
                <w:sz w:val="20"/>
                <w:szCs w:val="20"/>
              </w:rPr>
              <w:t>%</w:t>
            </w:r>
          </w:p>
        </w:tc>
        <w:tc>
          <w:tcPr>
            <w:tcW w:w="698" w:type="pct"/>
            <w:vAlign w:val="center"/>
          </w:tcPr>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Inadequate/</w:t>
            </w:r>
          </w:p>
          <w:p w:rsidR="00CD60EB" w:rsidRPr="00666BAC" w:rsidRDefault="00CD60EB" w:rsidP="00CD60EB">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E804AB" w:rsidP="00CD60EB">
            <w:pPr>
              <w:keepNext/>
              <w:keepLines/>
              <w:tabs>
                <w:tab w:val="left" w:pos="1440"/>
                <w:tab w:val="decimal" w:pos="4320"/>
              </w:tabs>
              <w:jc w:val="left"/>
              <w:outlineLvl w:val="0"/>
              <w:rPr>
                <w:sz w:val="20"/>
                <w:szCs w:val="20"/>
              </w:rPr>
            </w:pPr>
            <w:r>
              <w:rPr>
                <w:sz w:val="20"/>
                <w:szCs w:val="20"/>
              </w:rPr>
              <w:t>treatment</w:t>
            </w:r>
          </w:p>
        </w:tc>
        <w:tc>
          <w:tcPr>
            <w:tcW w:w="300" w:type="pct"/>
            <w:vAlign w:val="center"/>
          </w:tcPr>
          <w:p w:rsidR="00CD60EB" w:rsidRPr="00666BAC" w:rsidRDefault="00CE7217" w:rsidP="00CD60EB">
            <w:pPr>
              <w:keepNext/>
              <w:keepLines/>
              <w:tabs>
                <w:tab w:val="left" w:pos="1440"/>
                <w:tab w:val="decimal" w:pos="4320"/>
              </w:tabs>
              <w:jc w:val="center"/>
              <w:outlineLvl w:val="0"/>
              <w:rPr>
                <w:sz w:val="20"/>
                <w:szCs w:val="20"/>
              </w:rPr>
            </w:pPr>
            <w:r>
              <w:rPr>
                <w:sz w:val="20"/>
                <w:szCs w:val="20"/>
              </w:rPr>
              <w:t>27</w:t>
            </w:r>
            <w:r w:rsidR="00E804AB">
              <w:rPr>
                <w:sz w:val="20"/>
                <w:szCs w:val="20"/>
              </w:rPr>
              <w:t>%</w:t>
            </w:r>
          </w:p>
        </w:tc>
        <w:tc>
          <w:tcPr>
            <w:tcW w:w="721" w:type="pct"/>
            <w:shd w:val="clear" w:color="auto" w:fill="auto"/>
            <w:vAlign w:val="center"/>
          </w:tcPr>
          <w:p w:rsidR="00CD60EB" w:rsidRPr="00666BAC" w:rsidRDefault="000F128D" w:rsidP="00CD60EB">
            <w:pPr>
              <w:keepNext/>
              <w:keepLines/>
              <w:jc w:val="left"/>
              <w:rPr>
                <w:sz w:val="20"/>
                <w:szCs w:val="20"/>
              </w:rPr>
            </w:pPr>
            <w:r>
              <w:rPr>
                <w:sz w:val="20"/>
                <w:szCs w:val="20"/>
              </w:rPr>
              <w:t>Unexpected treatment outcome</w:t>
            </w:r>
          </w:p>
        </w:tc>
        <w:tc>
          <w:tcPr>
            <w:tcW w:w="294" w:type="pct"/>
            <w:shd w:val="clear" w:color="auto" w:fill="auto"/>
            <w:vAlign w:val="center"/>
          </w:tcPr>
          <w:p w:rsidR="00CD60EB" w:rsidRPr="00666BAC" w:rsidRDefault="000F128D" w:rsidP="00CD60EB">
            <w:pPr>
              <w:keepNext/>
              <w:keepLines/>
              <w:rPr>
                <w:sz w:val="20"/>
                <w:szCs w:val="20"/>
              </w:rPr>
            </w:pPr>
            <w:r>
              <w:rPr>
                <w:sz w:val="20"/>
                <w:szCs w:val="20"/>
              </w:rPr>
              <w:t>29</w:t>
            </w:r>
            <w:r w:rsidR="00A422C1">
              <w:rPr>
                <w:sz w:val="20"/>
                <w:szCs w:val="20"/>
              </w:rPr>
              <w:t>%</w:t>
            </w:r>
          </w:p>
        </w:tc>
      </w:tr>
      <w:tr w:rsidR="00CD60EB" w:rsidRPr="00666BAC" w:rsidTr="00983F2F">
        <w:trPr>
          <w:trHeight w:val="1466"/>
        </w:trPr>
        <w:tc>
          <w:tcPr>
            <w:tcW w:w="698" w:type="pct"/>
            <w:vAlign w:val="center"/>
          </w:tcPr>
          <w:p w:rsidR="004B16DF" w:rsidRPr="00666BAC" w:rsidRDefault="004B16DF" w:rsidP="004B16DF">
            <w:pPr>
              <w:keepNext/>
              <w:keepLines/>
              <w:tabs>
                <w:tab w:val="left" w:pos="1440"/>
                <w:tab w:val="decimal" w:pos="4320"/>
              </w:tabs>
              <w:jc w:val="left"/>
              <w:outlineLvl w:val="0"/>
              <w:rPr>
                <w:sz w:val="20"/>
                <w:szCs w:val="20"/>
              </w:rPr>
            </w:pPr>
            <w:r w:rsidRPr="00666BAC">
              <w:rPr>
                <w:sz w:val="20"/>
                <w:szCs w:val="20"/>
              </w:rPr>
              <w:t>Inadequate/</w:t>
            </w:r>
          </w:p>
          <w:p w:rsidR="004B16DF" w:rsidRPr="00666BAC" w:rsidRDefault="004B16DF" w:rsidP="004B16DF">
            <w:pPr>
              <w:keepNext/>
              <w:keepLines/>
              <w:tabs>
                <w:tab w:val="left" w:pos="1440"/>
                <w:tab w:val="decimal" w:pos="4320"/>
              </w:tabs>
              <w:jc w:val="left"/>
              <w:outlineLvl w:val="0"/>
              <w:rPr>
                <w:sz w:val="20"/>
                <w:szCs w:val="20"/>
              </w:rPr>
            </w:pPr>
            <w:r w:rsidRPr="00666BAC">
              <w:rPr>
                <w:sz w:val="20"/>
                <w:szCs w:val="20"/>
              </w:rPr>
              <w:t xml:space="preserve">inappropriate </w:t>
            </w:r>
          </w:p>
          <w:p w:rsidR="004B16DF" w:rsidRPr="00666BAC" w:rsidRDefault="004B16DF" w:rsidP="004B16DF">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4B16DF" w:rsidP="004B16DF">
            <w:pPr>
              <w:keepNext/>
              <w:keepLines/>
              <w:tabs>
                <w:tab w:val="left" w:pos="1440"/>
                <w:tab w:val="decimal" w:pos="4320"/>
              </w:tabs>
              <w:jc w:val="left"/>
              <w:outlineLvl w:val="0"/>
              <w:rPr>
                <w:sz w:val="20"/>
                <w:szCs w:val="20"/>
              </w:rPr>
            </w:pPr>
            <w:r w:rsidRPr="00666BAC">
              <w:rPr>
                <w:sz w:val="20"/>
                <w:szCs w:val="20"/>
              </w:rPr>
              <w:t>assessment</w:t>
            </w:r>
          </w:p>
        </w:tc>
        <w:tc>
          <w:tcPr>
            <w:tcW w:w="295" w:type="pct"/>
            <w:vAlign w:val="center"/>
          </w:tcPr>
          <w:p w:rsidR="00CD60EB" w:rsidRPr="00666BAC" w:rsidRDefault="004B16DF" w:rsidP="00CD60EB">
            <w:pPr>
              <w:keepNext/>
              <w:keepLines/>
              <w:tabs>
                <w:tab w:val="left" w:pos="1440"/>
                <w:tab w:val="decimal" w:pos="4320"/>
              </w:tabs>
              <w:jc w:val="center"/>
              <w:outlineLvl w:val="0"/>
              <w:rPr>
                <w:sz w:val="20"/>
                <w:szCs w:val="20"/>
              </w:rPr>
            </w:pPr>
            <w:r>
              <w:rPr>
                <w:sz w:val="20"/>
                <w:szCs w:val="20"/>
              </w:rPr>
              <w:t>20</w:t>
            </w:r>
            <w:r w:rsidR="00B4622C">
              <w:rPr>
                <w:sz w:val="20"/>
                <w:szCs w:val="20"/>
              </w:rPr>
              <w:t>%</w:t>
            </w:r>
          </w:p>
        </w:tc>
        <w:tc>
          <w:tcPr>
            <w:tcW w:w="698" w:type="pct"/>
            <w:vAlign w:val="center"/>
          </w:tcPr>
          <w:p w:rsidR="00447B11" w:rsidRPr="00666BAC" w:rsidRDefault="00447B11" w:rsidP="00447B11">
            <w:pPr>
              <w:keepNext/>
              <w:keepLines/>
              <w:tabs>
                <w:tab w:val="left" w:pos="1440"/>
                <w:tab w:val="decimal" w:pos="4320"/>
              </w:tabs>
              <w:jc w:val="left"/>
              <w:outlineLvl w:val="0"/>
              <w:rPr>
                <w:sz w:val="20"/>
                <w:szCs w:val="20"/>
              </w:rPr>
            </w:pPr>
            <w:r w:rsidRPr="00666BAC">
              <w:rPr>
                <w:sz w:val="20"/>
                <w:szCs w:val="20"/>
              </w:rPr>
              <w:t>Inadequate/</w:t>
            </w:r>
          </w:p>
          <w:p w:rsidR="00447B11" w:rsidRPr="00666BAC" w:rsidRDefault="00447B11" w:rsidP="00447B11">
            <w:pPr>
              <w:keepNext/>
              <w:keepLines/>
              <w:tabs>
                <w:tab w:val="left" w:pos="1440"/>
                <w:tab w:val="decimal" w:pos="4320"/>
              </w:tabs>
              <w:jc w:val="left"/>
              <w:outlineLvl w:val="0"/>
              <w:rPr>
                <w:sz w:val="20"/>
                <w:szCs w:val="20"/>
              </w:rPr>
            </w:pPr>
            <w:r w:rsidRPr="00666BAC">
              <w:rPr>
                <w:sz w:val="20"/>
                <w:szCs w:val="20"/>
              </w:rPr>
              <w:t xml:space="preserve">inappropriate </w:t>
            </w:r>
          </w:p>
          <w:p w:rsidR="00447B11" w:rsidRPr="00666BAC" w:rsidRDefault="00447B11" w:rsidP="00447B11">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447B11" w:rsidP="00447B11">
            <w:pPr>
              <w:keepNext/>
              <w:keepLines/>
              <w:tabs>
                <w:tab w:val="left" w:pos="1440"/>
                <w:tab w:val="decimal" w:pos="4320"/>
              </w:tabs>
              <w:jc w:val="left"/>
              <w:outlineLvl w:val="0"/>
              <w:rPr>
                <w:sz w:val="20"/>
                <w:szCs w:val="20"/>
              </w:rPr>
            </w:pPr>
            <w:r w:rsidRPr="00666BAC">
              <w:rPr>
                <w:sz w:val="20"/>
                <w:szCs w:val="20"/>
              </w:rPr>
              <w:t>assessment</w:t>
            </w:r>
          </w:p>
        </w:tc>
        <w:tc>
          <w:tcPr>
            <w:tcW w:w="300" w:type="pct"/>
            <w:vAlign w:val="center"/>
          </w:tcPr>
          <w:p w:rsidR="00CD60EB" w:rsidRPr="00666BAC" w:rsidRDefault="00667663" w:rsidP="00CD60EB">
            <w:pPr>
              <w:keepNext/>
              <w:keepLines/>
              <w:tabs>
                <w:tab w:val="left" w:pos="1440"/>
                <w:tab w:val="decimal" w:pos="4320"/>
              </w:tabs>
              <w:jc w:val="center"/>
              <w:outlineLvl w:val="0"/>
              <w:rPr>
                <w:sz w:val="20"/>
                <w:szCs w:val="20"/>
              </w:rPr>
            </w:pPr>
            <w:r>
              <w:rPr>
                <w:sz w:val="20"/>
                <w:szCs w:val="20"/>
              </w:rPr>
              <w:t>22%</w:t>
            </w:r>
          </w:p>
        </w:tc>
        <w:tc>
          <w:tcPr>
            <w:tcW w:w="698" w:type="pct"/>
            <w:vAlign w:val="center"/>
          </w:tcPr>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Inadequate/</w:t>
            </w:r>
          </w:p>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 xml:space="preserve">inappropriate </w:t>
            </w:r>
          </w:p>
          <w:p w:rsidR="00FF017E" w:rsidRPr="00666BAC" w:rsidRDefault="00FF017E" w:rsidP="00FF017E">
            <w:pPr>
              <w:keepNext/>
              <w:keepLines/>
              <w:tabs>
                <w:tab w:val="left" w:pos="1440"/>
                <w:tab w:val="decimal" w:pos="4320"/>
              </w:tabs>
              <w:jc w:val="left"/>
              <w:outlineLvl w:val="0"/>
              <w:rPr>
                <w:sz w:val="20"/>
                <w:szCs w:val="20"/>
              </w:rPr>
            </w:pPr>
            <w:r w:rsidRPr="00666BAC">
              <w:rPr>
                <w:sz w:val="20"/>
                <w:szCs w:val="20"/>
              </w:rPr>
              <w:t>examination/</w:t>
            </w:r>
          </w:p>
          <w:p w:rsidR="00CD60EB" w:rsidRPr="00666BAC" w:rsidRDefault="00FF017E" w:rsidP="00FF017E">
            <w:pPr>
              <w:keepNext/>
              <w:keepLines/>
              <w:tabs>
                <w:tab w:val="left" w:pos="1440"/>
                <w:tab w:val="decimal" w:pos="4320"/>
              </w:tabs>
              <w:jc w:val="left"/>
              <w:outlineLvl w:val="0"/>
              <w:rPr>
                <w:sz w:val="20"/>
                <w:szCs w:val="20"/>
              </w:rPr>
            </w:pPr>
            <w:r w:rsidRPr="00666BAC">
              <w:rPr>
                <w:sz w:val="20"/>
                <w:szCs w:val="20"/>
              </w:rPr>
              <w:t>assessment</w:t>
            </w:r>
          </w:p>
        </w:tc>
        <w:tc>
          <w:tcPr>
            <w:tcW w:w="296" w:type="pct"/>
            <w:vAlign w:val="center"/>
          </w:tcPr>
          <w:p w:rsidR="00CD60EB" w:rsidRPr="00666BAC" w:rsidRDefault="00E93598" w:rsidP="00CD60EB">
            <w:pPr>
              <w:keepNext/>
              <w:keepLines/>
              <w:tabs>
                <w:tab w:val="left" w:pos="1440"/>
                <w:tab w:val="decimal" w:pos="4320"/>
              </w:tabs>
              <w:jc w:val="center"/>
              <w:outlineLvl w:val="0"/>
              <w:rPr>
                <w:sz w:val="20"/>
                <w:szCs w:val="20"/>
              </w:rPr>
            </w:pPr>
            <w:r>
              <w:rPr>
                <w:sz w:val="20"/>
                <w:szCs w:val="20"/>
              </w:rPr>
              <w:t>24</w:t>
            </w:r>
            <w:r w:rsidR="00070288">
              <w:rPr>
                <w:sz w:val="20"/>
                <w:szCs w:val="20"/>
              </w:rPr>
              <w:t>%</w:t>
            </w:r>
          </w:p>
        </w:tc>
        <w:tc>
          <w:tcPr>
            <w:tcW w:w="698" w:type="pct"/>
            <w:vAlign w:val="center"/>
          </w:tcPr>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Inadequate/</w:t>
            </w:r>
          </w:p>
          <w:p w:rsidR="00CE7217" w:rsidRPr="00666BAC" w:rsidRDefault="00CE7217" w:rsidP="00CE7217">
            <w:pPr>
              <w:keepNext/>
              <w:keepLines/>
              <w:tabs>
                <w:tab w:val="left" w:pos="1440"/>
                <w:tab w:val="decimal" w:pos="4320"/>
              </w:tabs>
              <w:jc w:val="left"/>
              <w:outlineLvl w:val="0"/>
              <w:rPr>
                <w:sz w:val="20"/>
                <w:szCs w:val="20"/>
              </w:rPr>
            </w:pPr>
            <w:r w:rsidRPr="00666BAC">
              <w:rPr>
                <w:sz w:val="20"/>
                <w:szCs w:val="20"/>
              </w:rPr>
              <w:t>inappropriate</w:t>
            </w:r>
          </w:p>
          <w:p w:rsidR="00CD60EB" w:rsidRPr="00666BAC" w:rsidRDefault="00CE7217" w:rsidP="00CE7217">
            <w:pPr>
              <w:keepNext/>
              <w:keepLines/>
              <w:tabs>
                <w:tab w:val="left" w:pos="1440"/>
                <w:tab w:val="decimal" w:pos="4320"/>
              </w:tabs>
              <w:jc w:val="left"/>
              <w:outlineLvl w:val="0"/>
              <w:rPr>
                <w:sz w:val="20"/>
                <w:szCs w:val="20"/>
              </w:rPr>
            </w:pPr>
            <w:r>
              <w:rPr>
                <w:sz w:val="20"/>
                <w:szCs w:val="20"/>
              </w:rPr>
              <w:t>testing</w:t>
            </w:r>
          </w:p>
        </w:tc>
        <w:tc>
          <w:tcPr>
            <w:tcW w:w="300" w:type="pct"/>
            <w:vAlign w:val="center"/>
          </w:tcPr>
          <w:p w:rsidR="00CD60EB" w:rsidRPr="00666BAC" w:rsidRDefault="00CE7217" w:rsidP="00CD60EB">
            <w:pPr>
              <w:keepNext/>
              <w:keepLines/>
              <w:tabs>
                <w:tab w:val="left" w:pos="1440"/>
                <w:tab w:val="decimal" w:pos="4320"/>
              </w:tabs>
              <w:jc w:val="center"/>
              <w:outlineLvl w:val="0"/>
              <w:rPr>
                <w:sz w:val="20"/>
                <w:szCs w:val="20"/>
              </w:rPr>
            </w:pPr>
            <w:r>
              <w:rPr>
                <w:sz w:val="20"/>
                <w:szCs w:val="20"/>
              </w:rPr>
              <w:t>25</w:t>
            </w:r>
            <w:r w:rsidR="00E804AB">
              <w:rPr>
                <w:sz w:val="20"/>
                <w:szCs w:val="20"/>
              </w:rPr>
              <w:t>%</w:t>
            </w:r>
          </w:p>
        </w:tc>
        <w:tc>
          <w:tcPr>
            <w:tcW w:w="721" w:type="pct"/>
            <w:shd w:val="clear" w:color="auto" w:fill="auto"/>
            <w:vAlign w:val="center"/>
          </w:tcPr>
          <w:p w:rsidR="000F128D" w:rsidRDefault="000F128D" w:rsidP="00CD60EB">
            <w:pPr>
              <w:keepNext/>
              <w:keepLines/>
              <w:jc w:val="left"/>
              <w:rPr>
                <w:sz w:val="20"/>
                <w:szCs w:val="20"/>
              </w:rPr>
            </w:pPr>
            <w:r>
              <w:rPr>
                <w:sz w:val="20"/>
                <w:szCs w:val="20"/>
              </w:rPr>
              <w:t>Inadequate/</w:t>
            </w:r>
          </w:p>
          <w:p w:rsidR="000F128D" w:rsidRDefault="000F128D" w:rsidP="000F128D">
            <w:pPr>
              <w:keepNext/>
              <w:keepLines/>
              <w:jc w:val="left"/>
              <w:rPr>
                <w:sz w:val="20"/>
                <w:szCs w:val="20"/>
              </w:rPr>
            </w:pPr>
            <w:r>
              <w:rPr>
                <w:sz w:val="20"/>
                <w:szCs w:val="20"/>
              </w:rPr>
              <w:t>Inappropriate examination</w:t>
            </w:r>
          </w:p>
          <w:p w:rsidR="000F128D" w:rsidRDefault="00A422C1" w:rsidP="00CD60EB">
            <w:pPr>
              <w:keepNext/>
              <w:keepLines/>
              <w:jc w:val="left"/>
              <w:rPr>
                <w:sz w:val="20"/>
                <w:szCs w:val="20"/>
              </w:rPr>
            </w:pPr>
            <w:r>
              <w:rPr>
                <w:sz w:val="20"/>
                <w:szCs w:val="20"/>
              </w:rPr>
              <w:t>&amp; inadequate</w:t>
            </w:r>
            <w:r w:rsidR="000F128D">
              <w:rPr>
                <w:sz w:val="20"/>
                <w:szCs w:val="20"/>
              </w:rPr>
              <w:t>/</w:t>
            </w:r>
          </w:p>
          <w:p w:rsidR="00CD60EB" w:rsidRPr="00666BAC" w:rsidRDefault="000F128D" w:rsidP="000F128D">
            <w:pPr>
              <w:keepNext/>
              <w:keepLines/>
              <w:jc w:val="left"/>
              <w:rPr>
                <w:sz w:val="20"/>
                <w:szCs w:val="20"/>
              </w:rPr>
            </w:pPr>
            <w:r>
              <w:rPr>
                <w:sz w:val="20"/>
                <w:szCs w:val="20"/>
              </w:rPr>
              <w:t>inappropriate</w:t>
            </w:r>
            <w:r w:rsidR="00A422C1">
              <w:rPr>
                <w:sz w:val="20"/>
                <w:szCs w:val="20"/>
              </w:rPr>
              <w:t xml:space="preserve"> </w:t>
            </w:r>
            <w:r>
              <w:rPr>
                <w:sz w:val="20"/>
                <w:szCs w:val="20"/>
              </w:rPr>
              <w:t>monitoring</w:t>
            </w:r>
          </w:p>
        </w:tc>
        <w:tc>
          <w:tcPr>
            <w:tcW w:w="294" w:type="pct"/>
            <w:shd w:val="clear" w:color="auto" w:fill="auto"/>
            <w:vAlign w:val="center"/>
          </w:tcPr>
          <w:p w:rsidR="00CD60EB" w:rsidRDefault="00A422C1" w:rsidP="00CD60EB">
            <w:pPr>
              <w:keepNext/>
              <w:keepLines/>
              <w:rPr>
                <w:sz w:val="20"/>
                <w:szCs w:val="20"/>
              </w:rPr>
            </w:pPr>
            <w:r>
              <w:rPr>
                <w:sz w:val="20"/>
                <w:szCs w:val="20"/>
              </w:rPr>
              <w:t>25%</w:t>
            </w:r>
          </w:p>
          <w:p w:rsidR="00A422C1" w:rsidRPr="00666BAC" w:rsidRDefault="00A422C1" w:rsidP="00CD60EB">
            <w:pPr>
              <w:keepNext/>
              <w:keepLines/>
              <w:rPr>
                <w:sz w:val="20"/>
                <w:szCs w:val="20"/>
              </w:rPr>
            </w:pPr>
            <w:r>
              <w:rPr>
                <w:sz w:val="20"/>
                <w:szCs w:val="20"/>
              </w:rPr>
              <w:t>each</w:t>
            </w:r>
          </w:p>
        </w:tc>
      </w:tr>
    </w:tbl>
    <w:p w:rsidR="007A59AB" w:rsidRDefault="007A59AB"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Default="00983F2F" w:rsidP="000D5D72"/>
    <w:p w:rsidR="00983F2F" w:rsidRPr="00666BAC" w:rsidRDefault="00983F2F" w:rsidP="000D5D72"/>
    <w:tbl>
      <w:tblPr>
        <w:tblStyle w:val="TableGrid"/>
        <w:tblW w:w="0" w:type="auto"/>
        <w:tblLook w:val="04A0" w:firstRow="1" w:lastRow="0" w:firstColumn="1" w:lastColumn="0" w:noHBand="0" w:noVBand="1"/>
      </w:tblPr>
      <w:tblGrid>
        <w:gridCol w:w="9298"/>
      </w:tblGrid>
      <w:tr w:rsidR="000801BA" w:rsidRPr="00666BAC" w:rsidTr="00E5458A">
        <w:tc>
          <w:tcPr>
            <w:tcW w:w="9298" w:type="dxa"/>
            <w:tcBorders>
              <w:top w:val="single" w:sz="24" w:space="0" w:color="C00000"/>
              <w:left w:val="single" w:sz="24" w:space="0" w:color="C00000"/>
              <w:bottom w:val="single" w:sz="24" w:space="0" w:color="C00000"/>
              <w:right w:val="single" w:sz="24" w:space="0" w:color="C00000"/>
            </w:tcBorders>
          </w:tcPr>
          <w:p w:rsidR="00E1701B" w:rsidRPr="001D1E28" w:rsidRDefault="00E1701B" w:rsidP="00E1701B">
            <w:pPr>
              <w:tabs>
                <w:tab w:val="left" w:pos="1440"/>
                <w:tab w:val="left" w:pos="2610"/>
              </w:tabs>
              <w:spacing w:before="120"/>
              <w:jc w:val="center"/>
              <w:outlineLvl w:val="0"/>
              <w:rPr>
                <w:b/>
                <w:szCs w:val="22"/>
              </w:rPr>
            </w:pPr>
            <w:r w:rsidRPr="00666BAC">
              <w:rPr>
                <w:b/>
                <w:sz w:val="28"/>
                <w:szCs w:val="28"/>
              </w:rPr>
              <w:lastRenderedPageBreak/>
              <w:t xml:space="preserve">Case study: </w:t>
            </w:r>
            <w:r w:rsidR="001D1E28">
              <w:rPr>
                <w:b/>
                <w:sz w:val="28"/>
                <w:szCs w:val="28"/>
              </w:rPr>
              <w:t xml:space="preserve">General </w:t>
            </w:r>
            <w:r w:rsidR="0065108F">
              <w:rPr>
                <w:b/>
                <w:sz w:val="28"/>
                <w:szCs w:val="28"/>
              </w:rPr>
              <w:t>Medicine and communication</w:t>
            </w:r>
            <w:r w:rsidR="001D1E28">
              <w:rPr>
                <w:b/>
                <w:sz w:val="28"/>
                <w:szCs w:val="28"/>
              </w:rPr>
              <w:t xml:space="preserve"> issues</w:t>
            </w:r>
            <w:r w:rsidR="0065108F">
              <w:rPr>
                <w:b/>
                <w:sz w:val="28"/>
                <w:szCs w:val="28"/>
              </w:rPr>
              <w:t xml:space="preserve"> </w:t>
            </w:r>
            <w:r w:rsidR="0065108F" w:rsidRPr="001D1E28">
              <w:rPr>
                <w:b/>
                <w:szCs w:val="22"/>
              </w:rPr>
              <w:t>(15HDC00937)</w:t>
            </w:r>
          </w:p>
          <w:p w:rsidR="001D1E28" w:rsidRDefault="001D1E28" w:rsidP="0027623F">
            <w:pPr>
              <w:tabs>
                <w:tab w:val="left" w:pos="1440"/>
                <w:tab w:val="left" w:pos="2610"/>
              </w:tabs>
              <w:spacing w:before="120" w:after="120"/>
              <w:jc w:val="center"/>
              <w:outlineLvl w:val="0"/>
              <w:rPr>
                <w:b/>
                <w:sz w:val="24"/>
              </w:rPr>
            </w:pPr>
            <w:r w:rsidRPr="001D1E28">
              <w:rPr>
                <w:b/>
                <w:sz w:val="24"/>
              </w:rPr>
              <w:t>Follow-up of clinically significant result</w:t>
            </w:r>
          </w:p>
          <w:p w:rsidR="001D1E28" w:rsidRPr="005864ED" w:rsidRDefault="001D1E28" w:rsidP="001D1E28">
            <w:pPr>
              <w:spacing w:after="240"/>
              <w:rPr>
                <w:szCs w:val="22"/>
              </w:rPr>
            </w:pPr>
            <w:r w:rsidRPr="005864ED">
              <w:rPr>
                <w:szCs w:val="22"/>
              </w:rPr>
              <w:t xml:space="preserve">A woman went to a public hospital feeling unwell. She was transferred to the General Medical Service of the hospital with a suspected viral infection and an incidental finding of lower abdominal tenderness. She was placed under the care of a consultant general physician. </w:t>
            </w:r>
          </w:p>
          <w:p w:rsidR="001D1E28" w:rsidRPr="005864ED" w:rsidRDefault="001D1E28" w:rsidP="001D1E28">
            <w:pPr>
              <w:spacing w:after="240"/>
              <w:rPr>
                <w:szCs w:val="22"/>
              </w:rPr>
            </w:pPr>
            <w:r w:rsidRPr="005864ED">
              <w:rPr>
                <w:szCs w:val="22"/>
              </w:rPr>
              <w:t>The consultant general physician ordered a priority ultrasound scan, and a query of ovarian cancer was listed in the “question to be answered” section of the scan request. The possibility of ovarian cancer was not discussed directly with the woman at the time due to her history of anxiety and depression.</w:t>
            </w:r>
          </w:p>
          <w:p w:rsidR="001D1E28" w:rsidRPr="005864ED" w:rsidRDefault="001D1E28" w:rsidP="001D1E28">
            <w:pPr>
              <w:spacing w:after="240"/>
              <w:rPr>
                <w:szCs w:val="22"/>
              </w:rPr>
            </w:pPr>
            <w:r w:rsidRPr="005864ED">
              <w:rPr>
                <w:szCs w:val="22"/>
              </w:rPr>
              <w:t xml:space="preserve">The consultant general physician’s documented plan was to discharge the woman after the ultrasound scan had been performed, with a recommendation that she follow up with her GP if her symptoms did not settle. Contrary to the plan, however, the woman was discharged by a house officer prior to the scan being carried out. The scan was changed to an outpatient scan, and the request contained no specific reference to ovarian cancer and was given normal status. The request also did not indicate that the report was to be copied to the woman’s GP, although the discharge summary noted that her GP was to follow up on the result of the scan. The consultant general physician does not recall being made aware of these arrangements. </w:t>
            </w:r>
          </w:p>
          <w:p w:rsidR="001D1E28" w:rsidRPr="005864ED" w:rsidRDefault="001D1E28" w:rsidP="001D1E28">
            <w:pPr>
              <w:spacing w:after="240"/>
              <w:rPr>
                <w:szCs w:val="22"/>
              </w:rPr>
            </w:pPr>
            <w:r w:rsidRPr="005864ED">
              <w:rPr>
                <w:szCs w:val="22"/>
              </w:rPr>
              <w:t xml:space="preserve">The woman’s outpatient scan noted a mass likely to be of ovarian origin, and recommended gynaecological referral and tumour marker correlation. Neither the woman nor her GP received a copy of the scan or a report relating to it. The ultrasound report was viewed and accepted electronically by the consultant general physician. The consultant general physician did not take any action in relation to the findings. Over a year later, the woman was found to have a large ovarian mass, and she was diagnosed with high-grade serous carcinoma of the ovary. </w:t>
            </w:r>
          </w:p>
          <w:p w:rsidR="001D1E28" w:rsidRPr="005864ED" w:rsidRDefault="001D1E28" w:rsidP="001D1E28">
            <w:pPr>
              <w:tabs>
                <w:tab w:val="left" w:pos="1440"/>
                <w:tab w:val="left" w:pos="2610"/>
              </w:tabs>
              <w:spacing w:before="120"/>
              <w:outlineLvl w:val="0"/>
              <w:rPr>
                <w:szCs w:val="22"/>
                <w:u w:val="single"/>
              </w:rPr>
            </w:pPr>
            <w:r w:rsidRPr="005864ED">
              <w:rPr>
                <w:szCs w:val="22"/>
                <w:u w:val="single"/>
              </w:rPr>
              <w:t>Findings</w:t>
            </w:r>
          </w:p>
          <w:p w:rsidR="00752BAA" w:rsidRPr="005864ED" w:rsidRDefault="001D1E28" w:rsidP="00C34CB6">
            <w:pPr>
              <w:spacing w:after="240"/>
              <w:rPr>
                <w:szCs w:val="22"/>
              </w:rPr>
            </w:pPr>
            <w:r w:rsidRPr="005864ED">
              <w:rPr>
                <w:szCs w:val="22"/>
              </w:rPr>
              <w:t>The Commissioner was critical of the consultant general physician’s failure to inform the woman of his concerns about ovarian cancer when he decided to order an ultrasound initially, and, after viewing the scan result, his failure to inform the woman of her result.</w:t>
            </w:r>
            <w:r w:rsidR="00752BAA" w:rsidRPr="005864ED">
              <w:rPr>
                <w:szCs w:val="22"/>
              </w:rPr>
              <w:t xml:space="preserve"> The Commissioner considered that this was information th</w:t>
            </w:r>
            <w:r w:rsidR="0027623F">
              <w:rPr>
                <w:szCs w:val="22"/>
              </w:rPr>
              <w:t>at a reasonable consumer in the woman</w:t>
            </w:r>
            <w:r w:rsidR="00752BAA" w:rsidRPr="005864ED">
              <w:rPr>
                <w:szCs w:val="22"/>
              </w:rPr>
              <w:t>’s circumstances would expect to receive, and by failing to provide this information the consultant general physician breached Right 6(1) of the Code.</w:t>
            </w:r>
          </w:p>
          <w:p w:rsidR="00752BAA" w:rsidRPr="005864ED" w:rsidRDefault="00752BAA" w:rsidP="00C34CB6">
            <w:pPr>
              <w:spacing w:after="240"/>
              <w:rPr>
                <w:szCs w:val="22"/>
              </w:rPr>
            </w:pPr>
            <w:r w:rsidRPr="005864ED">
              <w:rPr>
                <w:szCs w:val="22"/>
              </w:rPr>
              <w:t xml:space="preserve">The Commissioner noted that the </w:t>
            </w:r>
            <w:r w:rsidR="0027623F">
              <w:rPr>
                <w:szCs w:val="22"/>
              </w:rPr>
              <w:t>basic</w:t>
            </w:r>
            <w:r w:rsidRPr="005864ED">
              <w:rPr>
                <w:szCs w:val="22"/>
              </w:rPr>
              <w:t xml:space="preserve"> premise, as stated in </w:t>
            </w:r>
            <w:r w:rsidRPr="005864ED">
              <w:rPr>
                <w:i/>
                <w:szCs w:val="22"/>
              </w:rPr>
              <w:t>Coles Medical Practice 2013</w:t>
            </w:r>
            <w:r w:rsidRPr="005864ED">
              <w:rPr>
                <w:szCs w:val="22"/>
              </w:rPr>
              <w:t>, is: “If you are responsible for conducting a clinical investigation you are also in charge of conducting follow up and keeping the patient informed.” The Commissioner found that, by not taking any follow-up action on the woman’s clinically significant test results, whether that be further investigations, or contacting her GP to ensure that someone was taking the follow-up action required, the consultant general physician failed to adhere to fundamental basic medical practice and breached Right 4(1) of the Code.</w:t>
            </w:r>
          </w:p>
          <w:p w:rsidR="00752BAA" w:rsidRPr="005864ED" w:rsidRDefault="005864ED" w:rsidP="0027623F">
            <w:pPr>
              <w:spacing w:after="120"/>
              <w:rPr>
                <w:szCs w:val="22"/>
              </w:rPr>
            </w:pPr>
            <w:r w:rsidRPr="005864ED">
              <w:rPr>
                <w:szCs w:val="22"/>
              </w:rPr>
              <w:t xml:space="preserve">HDC’s clinical advisor noted that this case includes issues of communication, documentation, and oversight of resident medical officers. </w:t>
            </w:r>
            <w:r w:rsidR="00C34CB6" w:rsidRPr="005864ED">
              <w:rPr>
                <w:szCs w:val="22"/>
              </w:rPr>
              <w:t>The Commissioner</w:t>
            </w:r>
            <w:r w:rsidRPr="005864ED">
              <w:rPr>
                <w:szCs w:val="22"/>
              </w:rPr>
              <w:t xml:space="preserve"> agreed that a mix of these issues were likely at play, and</w:t>
            </w:r>
            <w:r w:rsidR="00752BAA" w:rsidRPr="005864ED">
              <w:rPr>
                <w:szCs w:val="22"/>
              </w:rPr>
              <w:t xml:space="preserve"> considered that</w:t>
            </w:r>
            <w:r w:rsidR="00C34CB6" w:rsidRPr="005864ED">
              <w:rPr>
                <w:szCs w:val="22"/>
              </w:rPr>
              <w:t xml:space="preserve"> </w:t>
            </w:r>
            <w:r w:rsidR="00752BAA" w:rsidRPr="005864ED">
              <w:rPr>
                <w:szCs w:val="22"/>
              </w:rPr>
              <w:t xml:space="preserve">a series of acts and omissions by </w:t>
            </w:r>
            <w:r w:rsidR="00C34CB6" w:rsidRPr="005864ED">
              <w:rPr>
                <w:szCs w:val="22"/>
              </w:rPr>
              <w:t xml:space="preserve">DHB </w:t>
            </w:r>
            <w:r w:rsidR="00752BAA" w:rsidRPr="005864ED">
              <w:rPr>
                <w:szCs w:val="22"/>
              </w:rPr>
              <w:t xml:space="preserve">staff led to the woman receiving poorly coordinated care. In particular: </w:t>
            </w:r>
          </w:p>
          <w:p w:rsidR="00C34CB6" w:rsidRPr="005864ED" w:rsidRDefault="00C34CB6" w:rsidP="001916DC">
            <w:pPr>
              <w:pStyle w:val="ListParagraph"/>
              <w:numPr>
                <w:ilvl w:val="0"/>
                <w:numId w:val="1"/>
              </w:numPr>
              <w:spacing w:after="240"/>
              <w:rPr>
                <w:szCs w:val="22"/>
              </w:rPr>
            </w:pPr>
            <w:r w:rsidRPr="005864ED">
              <w:rPr>
                <w:szCs w:val="22"/>
              </w:rPr>
              <w:t>The initial inpatient scan was changed without documented explanation to an outpatient scan, and from having priority status to having only normal status;</w:t>
            </w:r>
          </w:p>
          <w:p w:rsidR="00C34CB6" w:rsidRPr="005864ED" w:rsidRDefault="00C34CB6" w:rsidP="001916DC">
            <w:pPr>
              <w:pStyle w:val="ListParagraph"/>
              <w:numPr>
                <w:ilvl w:val="0"/>
                <w:numId w:val="1"/>
              </w:numPr>
              <w:spacing w:after="240"/>
              <w:rPr>
                <w:szCs w:val="22"/>
              </w:rPr>
            </w:pPr>
            <w:r w:rsidRPr="005864ED">
              <w:rPr>
                <w:szCs w:val="22"/>
              </w:rPr>
              <w:t xml:space="preserve">The house officer completing the request for an outpatient scan did not request a copy of the scan to be directed to the woman’s GP, even though the discharge summary said that the GP was to follow up on the results. The concerns about ovarian cancer were not transcribed from </w:t>
            </w:r>
            <w:r w:rsidRPr="005864ED">
              <w:rPr>
                <w:szCs w:val="22"/>
              </w:rPr>
              <w:lastRenderedPageBreak/>
              <w:t xml:space="preserve">the inpatient scan request to the outpatient scan request; </w:t>
            </w:r>
          </w:p>
          <w:p w:rsidR="00C34CB6" w:rsidRPr="005864ED" w:rsidRDefault="00C34CB6" w:rsidP="001916DC">
            <w:pPr>
              <w:pStyle w:val="ListParagraph"/>
              <w:numPr>
                <w:ilvl w:val="0"/>
                <w:numId w:val="1"/>
              </w:numPr>
              <w:spacing w:after="240"/>
              <w:rPr>
                <w:szCs w:val="22"/>
              </w:rPr>
            </w:pPr>
            <w:r w:rsidRPr="005864ED">
              <w:rPr>
                <w:szCs w:val="22"/>
              </w:rPr>
              <w:t xml:space="preserve">The woman was discharged contrary to the consultant general physician’s documented plan in her clinical notes, without any documented explanation and without informing the consultant; </w:t>
            </w:r>
          </w:p>
          <w:p w:rsidR="00C34CB6" w:rsidRPr="005864ED" w:rsidRDefault="00C34CB6" w:rsidP="001916DC">
            <w:pPr>
              <w:pStyle w:val="ListParagraph"/>
              <w:numPr>
                <w:ilvl w:val="0"/>
                <w:numId w:val="1"/>
              </w:numPr>
              <w:spacing w:after="240"/>
              <w:rPr>
                <w:szCs w:val="22"/>
              </w:rPr>
            </w:pPr>
            <w:r w:rsidRPr="005864ED">
              <w:rPr>
                <w:szCs w:val="22"/>
              </w:rPr>
              <w:t>There were no concerns about a possibility of ovarian cancer documented by the General Medical Service, other than on the in-patient scan request.</w:t>
            </w:r>
          </w:p>
          <w:p w:rsidR="00C34CB6" w:rsidRPr="005864ED" w:rsidRDefault="00C34CB6" w:rsidP="001916DC">
            <w:pPr>
              <w:numPr>
                <w:ilvl w:val="0"/>
                <w:numId w:val="1"/>
              </w:numPr>
              <w:spacing w:after="120"/>
              <w:ind w:left="0" w:hanging="357"/>
              <w:rPr>
                <w:szCs w:val="22"/>
              </w:rPr>
            </w:pPr>
            <w:r w:rsidRPr="005864ED">
              <w:rPr>
                <w:szCs w:val="22"/>
              </w:rPr>
              <w:t>The Commissioner considered that these failings paint a picture of poorly coordinated and documented care, and found that the DHB failed to provide the woman with services with reasonable care and skill in breach of Right 4(1) of the Code.</w:t>
            </w:r>
          </w:p>
          <w:p w:rsidR="00752BAA" w:rsidRPr="005864ED" w:rsidRDefault="00C34CB6" w:rsidP="001916DC">
            <w:pPr>
              <w:numPr>
                <w:ilvl w:val="0"/>
                <w:numId w:val="1"/>
              </w:numPr>
              <w:spacing w:after="120"/>
              <w:ind w:left="0" w:hanging="357"/>
              <w:rPr>
                <w:szCs w:val="22"/>
              </w:rPr>
            </w:pPr>
            <w:r w:rsidRPr="005864ED">
              <w:rPr>
                <w:szCs w:val="22"/>
              </w:rPr>
              <w:t>The Commissioner recommended that the consultant general physician undertake a random audit of a selection of radiology test results received in the last three months to ensure that such test results have been followed up appropriately and communicated to his patients.</w:t>
            </w:r>
          </w:p>
          <w:p w:rsidR="00C34CB6" w:rsidRPr="005864ED" w:rsidRDefault="00C34CB6" w:rsidP="001916DC">
            <w:pPr>
              <w:numPr>
                <w:ilvl w:val="0"/>
                <w:numId w:val="1"/>
              </w:numPr>
              <w:spacing w:after="120"/>
              <w:ind w:left="0" w:hanging="357"/>
              <w:rPr>
                <w:szCs w:val="22"/>
              </w:rPr>
            </w:pPr>
            <w:r w:rsidRPr="005864ED">
              <w:rPr>
                <w:szCs w:val="22"/>
              </w:rPr>
              <w:t>The Commissioner recommended that the DHB:</w:t>
            </w:r>
          </w:p>
          <w:p w:rsidR="00C34CB6" w:rsidRPr="005864ED" w:rsidRDefault="00C34CB6" w:rsidP="001916DC">
            <w:pPr>
              <w:pStyle w:val="ListParagraph"/>
              <w:numPr>
                <w:ilvl w:val="0"/>
                <w:numId w:val="1"/>
              </w:numPr>
              <w:spacing w:after="120"/>
              <w:ind w:left="641" w:hanging="357"/>
              <w:rPr>
                <w:szCs w:val="22"/>
              </w:rPr>
            </w:pPr>
            <w:r w:rsidRPr="005864ED">
              <w:rPr>
                <w:szCs w:val="22"/>
              </w:rPr>
              <w:t>Provide a report to HDC regarding the steps it has taken to facilitate systems to enable patients to receive a copy of their test results directly, including consideration that has been given regarding those patients without electronic access.</w:t>
            </w:r>
          </w:p>
          <w:p w:rsidR="005864ED" w:rsidRPr="005864ED" w:rsidRDefault="00C34CB6" w:rsidP="001916DC">
            <w:pPr>
              <w:pStyle w:val="ListParagraph"/>
              <w:numPr>
                <w:ilvl w:val="0"/>
                <w:numId w:val="1"/>
              </w:numPr>
              <w:spacing w:after="120"/>
              <w:ind w:left="641" w:hanging="357"/>
              <w:rPr>
                <w:szCs w:val="22"/>
              </w:rPr>
            </w:pPr>
            <w:r w:rsidRPr="005864ED">
              <w:rPr>
                <w:szCs w:val="22"/>
              </w:rPr>
              <w:t xml:space="preserve">Use this case as an anonymised case study for the education of staff, particularly around oversight of junior </w:t>
            </w:r>
            <w:r w:rsidR="005864ED" w:rsidRPr="005864ED">
              <w:rPr>
                <w:szCs w:val="22"/>
              </w:rPr>
              <w:t>clinicians, communication and documentation.</w:t>
            </w:r>
          </w:p>
          <w:p w:rsidR="005864ED" w:rsidRPr="005864ED" w:rsidRDefault="005864ED" w:rsidP="001916DC">
            <w:pPr>
              <w:pStyle w:val="ListParagraph"/>
              <w:numPr>
                <w:ilvl w:val="0"/>
                <w:numId w:val="1"/>
              </w:numPr>
              <w:spacing w:after="120"/>
              <w:ind w:left="641" w:hanging="357"/>
              <w:rPr>
                <w:szCs w:val="22"/>
              </w:rPr>
            </w:pPr>
            <w:r w:rsidRPr="005864ED">
              <w:rPr>
                <w:szCs w:val="22"/>
              </w:rPr>
              <w:t>Provide a report to HDC regarding the status of recommendations made during it’s Root Cause Analysis of this event</w:t>
            </w:r>
            <w:r w:rsidR="00493E1B">
              <w:rPr>
                <w:szCs w:val="22"/>
              </w:rPr>
              <w:t>.</w:t>
            </w:r>
          </w:p>
          <w:p w:rsidR="005864ED" w:rsidRPr="005864ED" w:rsidRDefault="005864ED" w:rsidP="005864ED">
            <w:pPr>
              <w:spacing w:after="480"/>
            </w:pPr>
            <w:r w:rsidRPr="005864ED">
              <w:rPr>
                <w:szCs w:val="22"/>
              </w:rPr>
              <w:t>These recommendations have been met</w:t>
            </w:r>
            <w:r w:rsidR="00493E1B">
              <w:rPr>
                <w:szCs w:val="22"/>
              </w:rPr>
              <w:t>.</w:t>
            </w:r>
          </w:p>
        </w:tc>
      </w:tr>
    </w:tbl>
    <w:p w:rsidR="000801BA" w:rsidRDefault="000801BA" w:rsidP="000801BA"/>
    <w:p w:rsidR="00AC33D1" w:rsidRPr="00666BAC" w:rsidRDefault="00AC33D1" w:rsidP="0079294B"/>
    <w:p w:rsidR="00611906" w:rsidRPr="00727F1C" w:rsidRDefault="00AC33D1" w:rsidP="00727F1C">
      <w:pPr>
        <w:pStyle w:val="Heading1"/>
        <w:rPr>
          <w:color w:val="C00000"/>
          <w:sz w:val="40"/>
          <w:szCs w:val="40"/>
        </w:rPr>
      </w:pPr>
      <w:r w:rsidRPr="00666BAC">
        <w:rPr>
          <w:lang w:val="en-NZ"/>
        </w:rPr>
        <w:br w:type="page"/>
      </w:r>
      <w:bookmarkStart w:id="32" w:name="_Toc506278073"/>
      <w:r w:rsidR="00AB0229" w:rsidRPr="00666BAC">
        <w:rPr>
          <w:color w:val="C00000"/>
          <w:sz w:val="40"/>
          <w:szCs w:val="40"/>
        </w:rPr>
        <w:lastRenderedPageBreak/>
        <w:t>COMPLAINTS CLOSED</w:t>
      </w:r>
      <w:bookmarkEnd w:id="32"/>
    </w:p>
    <w:p w:rsidR="00611906" w:rsidRPr="00666BAC" w:rsidRDefault="00727F1C" w:rsidP="00611906">
      <w:pPr>
        <w:pStyle w:val="Heading2"/>
        <w:spacing w:after="240"/>
        <w:rPr>
          <w:sz w:val="36"/>
          <w:szCs w:val="36"/>
        </w:rPr>
      </w:pPr>
      <w:bookmarkStart w:id="33" w:name="_Toc398125965"/>
      <w:bookmarkStart w:id="34" w:name="_Toc404344435"/>
      <w:bookmarkStart w:id="35" w:name="_Toc506278074"/>
      <w:bookmarkStart w:id="36" w:name="_Toc384044167"/>
      <w:r>
        <w:rPr>
          <w:sz w:val="36"/>
          <w:szCs w:val="36"/>
        </w:rPr>
        <w:t>1</w:t>
      </w:r>
      <w:r w:rsidR="00611906" w:rsidRPr="00666BAC">
        <w:rPr>
          <w:sz w:val="36"/>
          <w:szCs w:val="36"/>
        </w:rPr>
        <w:t>.</w:t>
      </w:r>
      <w:bookmarkEnd w:id="33"/>
      <w:bookmarkEnd w:id="34"/>
      <w:r w:rsidR="008A48D8" w:rsidRPr="00666BAC">
        <w:rPr>
          <w:sz w:val="36"/>
          <w:szCs w:val="36"/>
        </w:rPr>
        <w:t xml:space="preserve"> What were the outcomes of the complaints closed?</w:t>
      </w:r>
      <w:bookmarkEnd w:id="35"/>
    </w:p>
    <w:p w:rsidR="00611906" w:rsidRPr="00666BAC" w:rsidRDefault="00727F1C" w:rsidP="00611906">
      <w:pPr>
        <w:pStyle w:val="Heading3"/>
        <w:rPr>
          <w:b/>
          <w:i w:val="0"/>
          <w:sz w:val="28"/>
          <w:szCs w:val="28"/>
          <w:lang w:val="en-AU" w:bidi="ar-SA"/>
        </w:rPr>
      </w:pPr>
      <w:bookmarkStart w:id="37" w:name="_Toc404344436"/>
      <w:bookmarkStart w:id="38" w:name="_Toc506278075"/>
      <w:r>
        <w:rPr>
          <w:b/>
          <w:i w:val="0"/>
          <w:sz w:val="28"/>
          <w:szCs w:val="28"/>
          <w:lang w:val="en-AU" w:bidi="ar-SA"/>
        </w:rPr>
        <w:t>1</w:t>
      </w:r>
      <w:r w:rsidR="00611906" w:rsidRPr="00666BAC">
        <w:rPr>
          <w:b/>
          <w:i w:val="0"/>
          <w:sz w:val="28"/>
          <w:szCs w:val="28"/>
          <w:lang w:val="en-AU" w:bidi="ar-SA"/>
        </w:rPr>
        <w:t xml:space="preserve">.1 </w:t>
      </w:r>
      <w:r w:rsidR="00611906" w:rsidRPr="00666BAC">
        <w:rPr>
          <w:b/>
          <w:i w:val="0"/>
          <w:sz w:val="28"/>
          <w:szCs w:val="28"/>
          <w:lang w:val="en-AU" w:bidi="ar-SA"/>
        </w:rPr>
        <w:tab/>
        <w:t>Available resolution options</w:t>
      </w:r>
      <w:bookmarkEnd w:id="37"/>
      <w:bookmarkEnd w:id="38"/>
    </w:p>
    <w:p w:rsidR="00611906" w:rsidRPr="00666BAC" w:rsidRDefault="00611906" w:rsidP="00611906">
      <w:pPr>
        <w:rPr>
          <w:b/>
          <w:lang w:val="en-AU" w:bidi="ar-SA"/>
        </w:rPr>
      </w:pPr>
    </w:p>
    <w:p w:rsidR="0073374F" w:rsidRPr="00900CC1" w:rsidRDefault="0073374F" w:rsidP="00900CC1">
      <w:pPr>
        <w:rPr>
          <w:szCs w:val="22"/>
          <w:lang w:val="en-AU" w:bidi="ar-SA"/>
        </w:rPr>
      </w:pPr>
      <w:r w:rsidRPr="00900CC1">
        <w:rPr>
          <w:szCs w:val="22"/>
        </w:rPr>
        <w:t xml:space="preserve">HDC is focused on fair and early resolution of complaints. Each complaint received by HDC is assessed carefully and resolved in the most appropriate manner, bearing in mind the issues raised and the evidence available. The preliminary assessment process is thorough and can involve a number of steps, including obtaining a response from the provider/s, seeking </w:t>
      </w:r>
      <w:r w:rsidR="00493E1B">
        <w:rPr>
          <w:szCs w:val="22"/>
        </w:rPr>
        <w:t>clinical</w:t>
      </w:r>
      <w:r w:rsidR="00493E1B" w:rsidRPr="00900CC1">
        <w:rPr>
          <w:szCs w:val="22"/>
        </w:rPr>
        <w:t xml:space="preserve"> </w:t>
      </w:r>
      <w:r w:rsidRPr="00900CC1">
        <w:rPr>
          <w:szCs w:val="22"/>
        </w:rPr>
        <w:t>adv</w:t>
      </w:r>
      <w:r w:rsidR="001916DC">
        <w:rPr>
          <w:szCs w:val="22"/>
        </w:rPr>
        <w:t xml:space="preserve">ice and asking for </w:t>
      </w:r>
      <w:r w:rsidRPr="00900CC1">
        <w:rPr>
          <w:szCs w:val="22"/>
        </w:rPr>
        <w:t xml:space="preserve">information from the consumer or other </w:t>
      </w:r>
      <w:r w:rsidR="00493E1B">
        <w:rPr>
          <w:szCs w:val="22"/>
        </w:rPr>
        <w:t>people</w:t>
      </w:r>
      <w:r w:rsidRPr="00900CC1">
        <w:rPr>
          <w:szCs w:val="22"/>
        </w:rPr>
        <w:t>.</w:t>
      </w:r>
    </w:p>
    <w:p w:rsidR="0073374F" w:rsidRDefault="0073374F" w:rsidP="00611906">
      <w:pPr>
        <w:rPr>
          <w:lang w:val="en-AU" w:bidi="ar-SA"/>
        </w:rPr>
      </w:pPr>
    </w:p>
    <w:p w:rsidR="00611906" w:rsidRPr="00666BAC" w:rsidRDefault="0073374F" w:rsidP="00611906">
      <w:pPr>
        <w:rPr>
          <w:lang w:val="en-AU" w:bidi="ar-SA"/>
        </w:rPr>
      </w:pPr>
      <w:r>
        <w:rPr>
          <w:lang w:val="en-AU" w:bidi="ar-SA"/>
        </w:rPr>
        <w:t>At the conclusion of a preliminary assessment, there are</w:t>
      </w:r>
      <w:r w:rsidR="00611906" w:rsidRPr="00666BAC">
        <w:rPr>
          <w:lang w:val="en-AU" w:bidi="ar-SA"/>
        </w:rPr>
        <w:t xml:space="preserve"> a number of options available</w:t>
      </w:r>
      <w:r>
        <w:rPr>
          <w:lang w:val="en-AU" w:bidi="ar-SA"/>
        </w:rPr>
        <w:t xml:space="preserve"> to the Commissioner</w:t>
      </w:r>
      <w:r w:rsidR="00611906" w:rsidRPr="00666BAC">
        <w:rPr>
          <w:lang w:val="en-AU" w:bidi="ar-SA"/>
        </w:rPr>
        <w:t xml:space="preserve"> for the resolution of complaints.  These include referring the complaint to the Advocacy Service, to a professional body, or to another agency.</w:t>
      </w:r>
      <w:r w:rsidR="0078386C">
        <w:rPr>
          <w:lang w:val="en-AU" w:bidi="ar-SA"/>
        </w:rPr>
        <w:t xml:space="preserve"> </w:t>
      </w:r>
      <w:r w:rsidR="00611906" w:rsidRPr="00666BAC">
        <w:rPr>
          <w:lang w:val="en-AU" w:bidi="ar-SA"/>
        </w:rPr>
        <w:t xml:space="preserve">HDC may also refer a complaint back to the provider to resolve directly.  In line with their responsibilities under the Code, DHBs have increasingly developed good systems to address complaints in a timely and appropriate way. </w:t>
      </w:r>
      <w:r w:rsidR="001916DC">
        <w:rPr>
          <w:lang w:val="en-AU" w:bidi="ar-SA"/>
        </w:rPr>
        <w:t>Where complaints are assessed as suitable for resolution between the parties, i</w:t>
      </w:r>
      <w:r w:rsidR="00611906" w:rsidRPr="00666BAC">
        <w:rPr>
          <w:lang w:val="en-AU" w:bidi="ar-SA"/>
        </w:rPr>
        <w:t>t is often appropriate for HDC to refer a complaint to the DHB to resolve, with a requirement that the DHB report back to HDC on the outcome of its handling of the complaint.</w:t>
      </w:r>
    </w:p>
    <w:p w:rsidR="007764A3" w:rsidRPr="00666BAC" w:rsidRDefault="007764A3" w:rsidP="00611906">
      <w:pPr>
        <w:rPr>
          <w:lang w:val="en-AU" w:bidi="ar-SA"/>
        </w:rPr>
      </w:pPr>
    </w:p>
    <w:p w:rsidR="00611906" w:rsidRPr="0073374F" w:rsidRDefault="00611906" w:rsidP="00611906">
      <w:pPr>
        <w:rPr>
          <w:lang w:val="en-US"/>
        </w:rPr>
      </w:pPr>
      <w:r w:rsidRPr="00666BAC">
        <w:rPr>
          <w:lang w:val="en-AU" w:bidi="ar-SA"/>
        </w:rPr>
        <w:t>The Commissioner also has a wide discretion to take no further actio</w:t>
      </w:r>
      <w:r w:rsidR="0078386C">
        <w:rPr>
          <w:lang w:val="en-AU" w:bidi="ar-SA"/>
        </w:rPr>
        <w:t xml:space="preserve">n on a complaint. </w:t>
      </w:r>
      <w:r w:rsidRPr="00666BAC">
        <w:rPr>
          <w:lang w:val="en-AU" w:bidi="ar-SA"/>
        </w:rPr>
        <w:t xml:space="preserve"> </w:t>
      </w:r>
      <w:r w:rsidRPr="00666BAC">
        <w:rPr>
          <w:lang w:val="en-US"/>
        </w:rPr>
        <w:t>For example, the Commissioner may take no further action because careful assessment indicates that a provider’s actions were reasonable in the circumstances, or a more appropriate outcome can be achieved in a more flexible and ti</w:t>
      </w:r>
      <w:r w:rsidR="001916DC">
        <w:rPr>
          <w:lang w:val="en-US"/>
        </w:rPr>
        <w:t>mely way than by means of</w:t>
      </w:r>
      <w:r w:rsidRPr="00666BAC">
        <w:rPr>
          <w:lang w:val="en-US"/>
        </w:rPr>
        <w:t xml:space="preserve"> investigation, or that the matters that are the subject of the complaint have been, or are being, or will be appropriately addressed by other means. </w:t>
      </w:r>
      <w:r w:rsidRPr="00666BAC">
        <w:rPr>
          <w:lang w:val="en-AU" w:bidi="ar-SA"/>
        </w:rPr>
        <w:t xml:space="preserve">Often a decision to take no further action will be accompanied by an educational comment or recommendations designed to assist the provider </w:t>
      </w:r>
      <w:r w:rsidR="00493E1B">
        <w:rPr>
          <w:lang w:val="en-AU" w:bidi="ar-SA"/>
        </w:rPr>
        <w:t>to improve services in future</w:t>
      </w:r>
      <w:r w:rsidRPr="00666BAC">
        <w:rPr>
          <w:lang w:val="en-AU" w:bidi="ar-SA"/>
        </w:rPr>
        <w:t>.</w:t>
      </w:r>
    </w:p>
    <w:p w:rsidR="00611906" w:rsidRPr="00666BAC" w:rsidRDefault="00611906" w:rsidP="00611906">
      <w:pPr>
        <w:rPr>
          <w:lang w:val="en-AU" w:bidi="ar-SA"/>
        </w:rPr>
      </w:pPr>
    </w:p>
    <w:p w:rsidR="002E14D1" w:rsidRPr="002E14D1" w:rsidRDefault="00611906" w:rsidP="002E14D1">
      <w:pPr>
        <w:rPr>
          <w:szCs w:val="22"/>
        </w:rPr>
      </w:pPr>
      <w:r w:rsidRPr="002E14D1">
        <w:rPr>
          <w:szCs w:val="22"/>
          <w:lang w:val="en-AU" w:bidi="ar-SA"/>
        </w:rPr>
        <w:t>Where app</w:t>
      </w:r>
      <w:r w:rsidR="002E14D1" w:rsidRPr="002E14D1">
        <w:rPr>
          <w:szCs w:val="22"/>
          <w:lang w:val="en-AU" w:bidi="ar-SA"/>
        </w:rPr>
        <w:t>ropriate, the Commissioner may investigate a complaint</w:t>
      </w:r>
      <w:r w:rsidR="00493E1B">
        <w:rPr>
          <w:szCs w:val="22"/>
          <w:lang w:val="en-AU" w:bidi="ar-SA"/>
        </w:rPr>
        <w:t>,</w:t>
      </w:r>
      <w:r w:rsidR="002E14D1" w:rsidRPr="002E14D1">
        <w:rPr>
          <w:szCs w:val="22"/>
          <w:lang w:val="en-AU" w:bidi="ar-SA"/>
        </w:rPr>
        <w:t xml:space="preserve"> which may result in a DHB being found in breach of the Code. </w:t>
      </w:r>
      <w:r w:rsidR="002E14D1" w:rsidRPr="002E14D1">
        <w:rPr>
          <w:szCs w:val="22"/>
        </w:rPr>
        <w:t>Notification of investigation generally indicates more serious issues.</w:t>
      </w:r>
    </w:p>
    <w:p w:rsidR="00611906" w:rsidRPr="00666BAC" w:rsidRDefault="00611906" w:rsidP="00611906">
      <w:pPr>
        <w:rPr>
          <w:lang w:eastAsia="en-NZ" w:bidi="ar-SA"/>
        </w:rPr>
      </w:pPr>
    </w:p>
    <w:p w:rsidR="00611906" w:rsidRPr="00666BAC" w:rsidRDefault="00611906" w:rsidP="00611906">
      <w:pPr>
        <w:rPr>
          <w:lang w:eastAsia="en-NZ" w:bidi="ar-SA"/>
        </w:rPr>
      </w:pPr>
    </w:p>
    <w:p w:rsidR="00781218" w:rsidRPr="00666BAC" w:rsidRDefault="00781218" w:rsidP="00F23F98">
      <w:pPr>
        <w:rPr>
          <w:lang w:eastAsia="en-NZ" w:bidi="ar-SA"/>
        </w:rPr>
      </w:pPr>
      <w:bookmarkStart w:id="39" w:name="_Toc404344437"/>
      <w:r w:rsidRPr="00666BAC">
        <w:rPr>
          <w:b/>
          <w:lang w:eastAsia="en-NZ" w:bidi="ar-SA"/>
        </w:rPr>
        <w:br w:type="page"/>
      </w:r>
    </w:p>
    <w:p w:rsidR="00611906" w:rsidRPr="00666BAC" w:rsidRDefault="00727F1C" w:rsidP="00611906">
      <w:pPr>
        <w:pStyle w:val="Heading3"/>
        <w:rPr>
          <w:b/>
          <w:i w:val="0"/>
          <w:sz w:val="28"/>
          <w:szCs w:val="28"/>
          <w:lang w:eastAsia="en-NZ" w:bidi="ar-SA"/>
        </w:rPr>
      </w:pPr>
      <w:bookmarkStart w:id="40" w:name="_Toc506278076"/>
      <w:r>
        <w:rPr>
          <w:b/>
          <w:i w:val="0"/>
          <w:sz w:val="28"/>
          <w:szCs w:val="28"/>
          <w:lang w:eastAsia="en-NZ" w:bidi="ar-SA"/>
        </w:rPr>
        <w:lastRenderedPageBreak/>
        <w:t>1</w:t>
      </w:r>
      <w:r w:rsidR="00611906" w:rsidRPr="00666BAC">
        <w:rPr>
          <w:b/>
          <w:i w:val="0"/>
          <w:sz w:val="28"/>
          <w:szCs w:val="28"/>
          <w:lang w:eastAsia="en-NZ" w:bidi="ar-SA"/>
        </w:rPr>
        <w:t>.2</w:t>
      </w:r>
      <w:r w:rsidR="00611906" w:rsidRPr="00666BAC">
        <w:rPr>
          <w:b/>
          <w:i w:val="0"/>
          <w:sz w:val="28"/>
          <w:szCs w:val="28"/>
          <w:lang w:eastAsia="en-NZ" w:bidi="ar-SA"/>
        </w:rPr>
        <w:tab/>
        <w:t>Manner of resolution and outcomes in complaints closed</w:t>
      </w:r>
      <w:bookmarkEnd w:id="39"/>
      <w:bookmarkEnd w:id="40"/>
    </w:p>
    <w:p w:rsidR="00611906" w:rsidRPr="00666BAC" w:rsidRDefault="00611906" w:rsidP="00611906">
      <w:pPr>
        <w:rPr>
          <w:lang w:eastAsia="en-NZ" w:bidi="ar-SA"/>
        </w:rPr>
      </w:pPr>
    </w:p>
    <w:p w:rsidR="00611906" w:rsidRPr="00666BAC" w:rsidRDefault="00611906" w:rsidP="00611906">
      <w:pPr>
        <w:rPr>
          <w:lang w:eastAsia="en-NZ" w:bidi="ar-SA"/>
        </w:rPr>
      </w:pPr>
      <w:r w:rsidRPr="00666BAC">
        <w:rPr>
          <w:lang w:eastAsia="en-NZ" w:bidi="ar-SA"/>
        </w:rPr>
        <w:t xml:space="preserve">The manner of resolution and outcomes for all DHB complaints closed in the </w:t>
      </w:r>
      <w:r w:rsidR="00361A8B">
        <w:rPr>
          <w:lang w:eastAsia="en-NZ" w:bidi="ar-SA"/>
        </w:rPr>
        <w:t>201</w:t>
      </w:r>
      <w:r w:rsidR="00BD2466">
        <w:rPr>
          <w:lang w:eastAsia="en-NZ" w:bidi="ar-SA"/>
        </w:rPr>
        <w:t>7/18</w:t>
      </w:r>
      <w:r w:rsidR="00D5364B">
        <w:rPr>
          <w:lang w:eastAsia="en-NZ" w:bidi="ar-SA"/>
        </w:rPr>
        <w:t xml:space="preserve"> year is shown in Table 8</w:t>
      </w:r>
      <w:r w:rsidR="0078386C">
        <w:rPr>
          <w:lang w:eastAsia="en-NZ" w:bidi="ar-SA"/>
        </w:rPr>
        <w:t xml:space="preserve"> below. </w:t>
      </w:r>
      <w:r w:rsidRPr="00666BAC">
        <w:rPr>
          <w:lang w:eastAsia="en-NZ" w:bidi="ar-SA"/>
        </w:rPr>
        <w:t>It should be noted that outcomes are displayed in a descending order.  If there is more than one outcome for a DHB upon resolution of a complaint, then only the outcome listed highest in the table is included.</w:t>
      </w:r>
    </w:p>
    <w:p w:rsidR="00611906" w:rsidRPr="00666BAC" w:rsidRDefault="00611906" w:rsidP="00611906">
      <w:pPr>
        <w:rPr>
          <w:lang w:eastAsia="en-NZ" w:bidi="ar-SA"/>
        </w:rPr>
      </w:pPr>
    </w:p>
    <w:p w:rsidR="00611906" w:rsidRPr="00666BAC" w:rsidRDefault="00D5364B" w:rsidP="00611906">
      <w:pPr>
        <w:spacing w:after="120"/>
        <w:rPr>
          <w:lang w:eastAsia="en-NZ" w:bidi="ar-SA"/>
        </w:rPr>
      </w:pPr>
      <w:r>
        <w:rPr>
          <w:b/>
        </w:rPr>
        <w:t>Table 8</w:t>
      </w:r>
      <w:r w:rsidR="00611906" w:rsidRPr="00666BAC">
        <w:rPr>
          <w:b/>
        </w:rPr>
        <w:t xml:space="preserve">. </w:t>
      </w:r>
      <w:r w:rsidR="00611906" w:rsidRPr="00666BAC">
        <w:t xml:space="preserve">Outcome for DHBs of complaints closed </w:t>
      </w:r>
    </w:p>
    <w:tbl>
      <w:tblPr>
        <w:tblStyle w:val="TableGrid"/>
        <w:tblW w:w="5799" w:type="dxa"/>
        <w:tblInd w:w="114" w:type="dxa"/>
        <w:tblLook w:val="04A0" w:firstRow="1" w:lastRow="0" w:firstColumn="1" w:lastColumn="0" w:noHBand="0" w:noVBand="1"/>
      </w:tblPr>
      <w:tblGrid>
        <w:gridCol w:w="3680"/>
        <w:gridCol w:w="2119"/>
      </w:tblGrid>
      <w:tr w:rsidR="00611906" w:rsidRPr="00666BAC" w:rsidTr="000C2191">
        <w:tc>
          <w:tcPr>
            <w:tcW w:w="3680" w:type="dxa"/>
          </w:tcPr>
          <w:p w:rsidR="00611906" w:rsidRPr="00666BAC" w:rsidRDefault="00611906" w:rsidP="00611906">
            <w:pPr>
              <w:keepNext/>
              <w:keepLines/>
              <w:tabs>
                <w:tab w:val="left" w:pos="1440"/>
                <w:tab w:val="decimal" w:pos="4320"/>
              </w:tabs>
              <w:spacing w:before="60"/>
              <w:jc w:val="left"/>
              <w:outlineLvl w:val="0"/>
              <w:rPr>
                <w:b/>
                <w:szCs w:val="22"/>
              </w:rPr>
            </w:pPr>
            <w:r w:rsidRPr="00666BAC">
              <w:rPr>
                <w:b/>
                <w:szCs w:val="22"/>
              </w:rPr>
              <w:br w:type="page"/>
              <w:t>Outcome for DHB</w:t>
            </w:r>
          </w:p>
        </w:tc>
        <w:tc>
          <w:tcPr>
            <w:tcW w:w="2119" w:type="dxa"/>
          </w:tcPr>
          <w:p w:rsidR="00611906" w:rsidRPr="00666BAC" w:rsidRDefault="00611906" w:rsidP="00611906">
            <w:pPr>
              <w:keepNext/>
              <w:keepLines/>
              <w:tabs>
                <w:tab w:val="left" w:pos="1440"/>
                <w:tab w:val="decimal" w:pos="4320"/>
              </w:tabs>
              <w:spacing w:before="60"/>
              <w:jc w:val="center"/>
              <w:outlineLvl w:val="0"/>
              <w:rPr>
                <w:b/>
                <w:szCs w:val="22"/>
              </w:rPr>
            </w:pPr>
            <w:r w:rsidRPr="00666BAC">
              <w:rPr>
                <w:b/>
                <w:szCs w:val="22"/>
              </w:rPr>
              <w:t xml:space="preserve">Number of complaints </w:t>
            </w:r>
          </w:p>
          <w:p w:rsidR="00611906" w:rsidRPr="00666BAC" w:rsidRDefault="00611906" w:rsidP="00611906">
            <w:pPr>
              <w:keepNext/>
              <w:keepLines/>
              <w:tabs>
                <w:tab w:val="left" w:pos="1440"/>
                <w:tab w:val="decimal" w:pos="4320"/>
              </w:tabs>
              <w:spacing w:before="60"/>
              <w:jc w:val="center"/>
              <w:outlineLvl w:val="0"/>
              <w:rPr>
                <w:b/>
                <w:sz w:val="16"/>
                <w:szCs w:val="16"/>
              </w:rPr>
            </w:pP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b/>
                <w:i/>
                <w:szCs w:val="22"/>
              </w:rPr>
            </w:pPr>
            <w:r w:rsidRPr="00666BAC">
              <w:rPr>
                <w:b/>
                <w:i/>
                <w:szCs w:val="22"/>
              </w:rPr>
              <w:t>Investigation</w:t>
            </w:r>
          </w:p>
        </w:tc>
        <w:tc>
          <w:tcPr>
            <w:tcW w:w="2119" w:type="dxa"/>
            <w:shd w:val="clear" w:color="auto" w:fill="C00000"/>
            <w:vAlign w:val="center"/>
          </w:tcPr>
          <w:p w:rsidR="00361A8B" w:rsidRDefault="00BD2466" w:rsidP="00361A8B">
            <w:pPr>
              <w:keepNext/>
              <w:keepLines/>
              <w:tabs>
                <w:tab w:val="left" w:pos="1440"/>
                <w:tab w:val="decimal" w:pos="4320"/>
              </w:tabs>
              <w:jc w:val="center"/>
              <w:outlineLvl w:val="0"/>
              <w:rPr>
                <w:rFonts w:ascii="Calibri" w:hAnsi="Calibri"/>
                <w:b/>
                <w:i/>
                <w:szCs w:val="22"/>
              </w:rPr>
            </w:pPr>
            <w:r>
              <w:rPr>
                <w:rFonts w:ascii="Calibri" w:hAnsi="Calibri"/>
                <w:b/>
                <w:i/>
                <w:szCs w:val="22"/>
              </w:rPr>
              <w:t>51</w:t>
            </w:r>
          </w:p>
        </w:tc>
      </w:tr>
      <w:tr w:rsidR="00BD2466" w:rsidRPr="00666BAC" w:rsidTr="000C2191">
        <w:tc>
          <w:tcPr>
            <w:tcW w:w="3680" w:type="dxa"/>
          </w:tcPr>
          <w:p w:rsidR="00BD2466" w:rsidRPr="00666BAC" w:rsidRDefault="00BD2466" w:rsidP="00611906">
            <w:pPr>
              <w:keepNext/>
              <w:keepLines/>
              <w:tabs>
                <w:tab w:val="left" w:pos="1440"/>
                <w:tab w:val="decimal" w:pos="4320"/>
              </w:tabs>
              <w:jc w:val="left"/>
              <w:outlineLvl w:val="0"/>
              <w:rPr>
                <w:szCs w:val="22"/>
              </w:rPr>
            </w:pPr>
            <w:r>
              <w:rPr>
                <w:szCs w:val="22"/>
              </w:rPr>
              <w:t>Breach finding – referred to Director of Proceedings</w:t>
            </w:r>
          </w:p>
        </w:tc>
        <w:tc>
          <w:tcPr>
            <w:tcW w:w="2119" w:type="dxa"/>
            <w:vAlign w:val="center"/>
          </w:tcPr>
          <w:p w:rsidR="00BD2466"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3</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Breach finding</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22</w:t>
            </w:r>
          </w:p>
        </w:tc>
      </w:tr>
      <w:tr w:rsidR="00361A8B" w:rsidRPr="00666BAC" w:rsidTr="000C2191">
        <w:tc>
          <w:tcPr>
            <w:tcW w:w="3680" w:type="dxa"/>
          </w:tcPr>
          <w:p w:rsidR="00361A8B" w:rsidRPr="00666BAC" w:rsidRDefault="00361A8B" w:rsidP="00BD2466">
            <w:pPr>
              <w:keepNext/>
              <w:keepLines/>
              <w:tabs>
                <w:tab w:val="left" w:pos="1440"/>
                <w:tab w:val="decimal" w:pos="4320"/>
              </w:tabs>
              <w:jc w:val="left"/>
              <w:outlineLvl w:val="0"/>
              <w:rPr>
                <w:szCs w:val="22"/>
              </w:rPr>
            </w:pPr>
            <w:r w:rsidRPr="00666BAC">
              <w:rPr>
                <w:szCs w:val="22"/>
              </w:rPr>
              <w:t xml:space="preserve">No </w:t>
            </w:r>
            <w:r w:rsidR="00BD2466">
              <w:rPr>
                <w:szCs w:val="22"/>
              </w:rPr>
              <w:t>breach finding</w:t>
            </w:r>
            <w:r w:rsidRPr="00666BAC">
              <w:rPr>
                <w:szCs w:val="22"/>
              </w:rPr>
              <w:t xml:space="preserve"> with follow-up or educational comment</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19</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 xml:space="preserve">No further action </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1</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No breach finding</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6</w:t>
            </w: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b/>
                <w:i/>
                <w:szCs w:val="22"/>
              </w:rPr>
            </w:pPr>
            <w:r w:rsidRPr="00666BAC">
              <w:rPr>
                <w:b/>
                <w:i/>
                <w:szCs w:val="22"/>
              </w:rPr>
              <w:t>Other resolution following assessment</w:t>
            </w:r>
          </w:p>
        </w:tc>
        <w:tc>
          <w:tcPr>
            <w:tcW w:w="2119" w:type="dxa"/>
            <w:shd w:val="clear" w:color="auto" w:fill="C00000"/>
            <w:vAlign w:val="center"/>
          </w:tcPr>
          <w:p w:rsidR="00361A8B" w:rsidRDefault="00BD2466" w:rsidP="00361A8B">
            <w:pPr>
              <w:keepNext/>
              <w:keepLines/>
              <w:tabs>
                <w:tab w:val="left" w:pos="1440"/>
                <w:tab w:val="decimal" w:pos="4320"/>
              </w:tabs>
              <w:jc w:val="center"/>
              <w:outlineLvl w:val="0"/>
              <w:rPr>
                <w:rFonts w:ascii="Calibri" w:hAnsi="Calibri"/>
                <w:b/>
                <w:i/>
                <w:szCs w:val="22"/>
              </w:rPr>
            </w:pPr>
            <w:r>
              <w:rPr>
                <w:rFonts w:ascii="Calibri" w:hAnsi="Calibri"/>
                <w:b/>
                <w:i/>
                <w:szCs w:val="22"/>
              </w:rPr>
              <w:t>791</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szCs w:val="22"/>
              </w:rPr>
              <w:t>No further action with follow-up or educational comment</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187</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Calibri"/>
                <w:color w:val="000000"/>
                <w:szCs w:val="22"/>
              </w:rPr>
              <w:t>Referred to Ministry of Health</w:t>
            </w:r>
          </w:p>
        </w:tc>
        <w:tc>
          <w:tcPr>
            <w:tcW w:w="2119" w:type="dxa"/>
            <w:vAlign w:val="center"/>
          </w:tcPr>
          <w:p w:rsidR="00361A8B" w:rsidRDefault="00BD2466" w:rsidP="00361A8B">
            <w:pPr>
              <w:jc w:val="center"/>
              <w:rPr>
                <w:rFonts w:ascii="Calibri" w:hAnsi="Calibri" w:cs="Calibri"/>
                <w:color w:val="000000"/>
                <w:szCs w:val="22"/>
              </w:rPr>
            </w:pPr>
            <w:r>
              <w:rPr>
                <w:rFonts w:ascii="Calibri" w:hAnsi="Calibri" w:cs="Calibri"/>
                <w:color w:val="000000"/>
                <w:szCs w:val="22"/>
              </w:rPr>
              <w:t>7</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Calibri"/>
                <w:color w:val="000000"/>
                <w:szCs w:val="22"/>
              </w:rPr>
              <w:t>Referred to District Inspector</w:t>
            </w:r>
          </w:p>
        </w:tc>
        <w:tc>
          <w:tcPr>
            <w:tcW w:w="2119" w:type="dxa"/>
            <w:vAlign w:val="center"/>
          </w:tcPr>
          <w:p w:rsidR="00361A8B" w:rsidRDefault="00BD2466" w:rsidP="00361A8B">
            <w:pPr>
              <w:jc w:val="center"/>
              <w:rPr>
                <w:rFonts w:ascii="Calibri" w:hAnsi="Calibri" w:cs="Calibri"/>
                <w:color w:val="000000"/>
                <w:szCs w:val="22"/>
              </w:rPr>
            </w:pPr>
            <w:r>
              <w:rPr>
                <w:rFonts w:ascii="Calibri" w:hAnsi="Calibri" w:cs="Calibri"/>
                <w:color w:val="000000"/>
                <w:szCs w:val="22"/>
              </w:rPr>
              <w:t>30</w:t>
            </w:r>
          </w:p>
        </w:tc>
      </w:tr>
      <w:tr w:rsidR="00BD2466" w:rsidRPr="00666BAC" w:rsidTr="000C2191">
        <w:tc>
          <w:tcPr>
            <w:tcW w:w="3680" w:type="dxa"/>
          </w:tcPr>
          <w:p w:rsidR="00BD2466" w:rsidRPr="00666BAC" w:rsidRDefault="00BD2466" w:rsidP="00611906">
            <w:pPr>
              <w:rPr>
                <w:rFonts w:cs="Arial"/>
                <w:szCs w:val="22"/>
                <w:lang w:eastAsia="en-NZ" w:bidi="ar-SA"/>
              </w:rPr>
            </w:pPr>
            <w:r>
              <w:rPr>
                <w:rFonts w:cs="Arial"/>
                <w:szCs w:val="22"/>
                <w:lang w:eastAsia="en-NZ" w:bidi="ar-SA"/>
              </w:rPr>
              <w:t>Referred to other agency</w:t>
            </w:r>
          </w:p>
        </w:tc>
        <w:tc>
          <w:tcPr>
            <w:tcW w:w="2119" w:type="dxa"/>
            <w:vAlign w:val="center"/>
          </w:tcPr>
          <w:p w:rsidR="00BD2466"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10</w:t>
            </w:r>
          </w:p>
        </w:tc>
      </w:tr>
      <w:tr w:rsidR="00361A8B" w:rsidRPr="00666BAC" w:rsidTr="000C2191">
        <w:tc>
          <w:tcPr>
            <w:tcW w:w="3680" w:type="dxa"/>
          </w:tcPr>
          <w:p w:rsidR="00361A8B" w:rsidRPr="00666BAC" w:rsidRDefault="00361A8B" w:rsidP="00611906">
            <w:pPr>
              <w:rPr>
                <w:rFonts w:cs="Calibri"/>
                <w:color w:val="000000"/>
                <w:szCs w:val="22"/>
              </w:rPr>
            </w:pPr>
            <w:r w:rsidRPr="00666BAC">
              <w:rPr>
                <w:rFonts w:cs="Arial"/>
                <w:szCs w:val="22"/>
                <w:lang w:eastAsia="en-NZ" w:bidi="ar-SA"/>
              </w:rPr>
              <w:t>Referred to DHB</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179</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szCs w:val="22"/>
              </w:rPr>
            </w:pPr>
            <w:r w:rsidRPr="00666BAC">
              <w:rPr>
                <w:rFonts w:cs="Arial"/>
                <w:szCs w:val="22"/>
                <w:lang w:eastAsia="en-NZ" w:bidi="ar-SA"/>
              </w:rPr>
              <w:t>Referred to Advocacy</w:t>
            </w:r>
          </w:p>
        </w:tc>
        <w:tc>
          <w:tcPr>
            <w:tcW w:w="2119" w:type="dxa"/>
            <w:vAlign w:val="center"/>
          </w:tcPr>
          <w:p w:rsidR="00361A8B" w:rsidRDefault="00BD2466" w:rsidP="00361A8B">
            <w:pPr>
              <w:keepNext/>
              <w:keepLines/>
              <w:tabs>
                <w:tab w:val="left" w:pos="1440"/>
                <w:tab w:val="decimal" w:pos="4320"/>
              </w:tabs>
              <w:jc w:val="center"/>
              <w:outlineLvl w:val="0"/>
              <w:rPr>
                <w:rFonts w:ascii="Calibri" w:hAnsi="Calibri"/>
                <w:szCs w:val="22"/>
              </w:rPr>
            </w:pPr>
            <w:r>
              <w:rPr>
                <w:rFonts w:ascii="Calibri" w:hAnsi="Calibri"/>
                <w:szCs w:val="22"/>
              </w:rPr>
              <w:t>109</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rFonts w:cs="Arial"/>
                <w:szCs w:val="22"/>
                <w:lang w:eastAsia="en-NZ" w:bidi="ar-SA"/>
              </w:rPr>
            </w:pPr>
            <w:r w:rsidRPr="00666BAC">
              <w:rPr>
                <w:rFonts w:cs="Arial"/>
                <w:szCs w:val="22"/>
                <w:lang w:eastAsia="en-NZ" w:bidi="ar-SA"/>
              </w:rPr>
              <w:t xml:space="preserve">No further action </w:t>
            </w:r>
          </w:p>
        </w:tc>
        <w:tc>
          <w:tcPr>
            <w:tcW w:w="2119" w:type="dxa"/>
            <w:vAlign w:val="center"/>
          </w:tcPr>
          <w:p w:rsidR="00361A8B" w:rsidRDefault="00BD2466" w:rsidP="00361A8B">
            <w:pPr>
              <w:jc w:val="center"/>
              <w:rPr>
                <w:rFonts w:ascii="Calibri" w:hAnsi="Calibri" w:cs="Calibri"/>
                <w:color w:val="000000"/>
                <w:szCs w:val="22"/>
              </w:rPr>
            </w:pPr>
            <w:r>
              <w:rPr>
                <w:rFonts w:ascii="Calibri" w:hAnsi="Calibri" w:cs="Calibri"/>
                <w:color w:val="000000"/>
                <w:szCs w:val="22"/>
              </w:rPr>
              <w:t>251</w:t>
            </w:r>
          </w:p>
        </w:tc>
      </w:tr>
      <w:tr w:rsidR="00361A8B" w:rsidRPr="00666BAC" w:rsidTr="000C2191">
        <w:tc>
          <w:tcPr>
            <w:tcW w:w="3680" w:type="dxa"/>
          </w:tcPr>
          <w:p w:rsidR="00361A8B" w:rsidRPr="00666BAC" w:rsidRDefault="00361A8B" w:rsidP="00611906">
            <w:pPr>
              <w:keepNext/>
              <w:keepLines/>
              <w:tabs>
                <w:tab w:val="left" w:pos="1440"/>
                <w:tab w:val="decimal" w:pos="4320"/>
              </w:tabs>
              <w:jc w:val="left"/>
              <w:outlineLvl w:val="0"/>
              <w:rPr>
                <w:rFonts w:cs="Arial"/>
                <w:szCs w:val="22"/>
                <w:lang w:eastAsia="en-NZ" w:bidi="ar-SA"/>
              </w:rPr>
            </w:pPr>
            <w:r w:rsidRPr="00666BAC">
              <w:rPr>
                <w:rFonts w:cs="Arial"/>
                <w:szCs w:val="22"/>
                <w:lang w:eastAsia="en-NZ" w:bidi="ar-SA"/>
              </w:rPr>
              <w:t xml:space="preserve">Withdrawn </w:t>
            </w:r>
          </w:p>
        </w:tc>
        <w:tc>
          <w:tcPr>
            <w:tcW w:w="2119" w:type="dxa"/>
            <w:vAlign w:val="center"/>
          </w:tcPr>
          <w:p w:rsidR="00361A8B" w:rsidRDefault="00BD2466" w:rsidP="00361A8B">
            <w:pPr>
              <w:jc w:val="center"/>
              <w:rPr>
                <w:rFonts w:ascii="Calibri" w:hAnsi="Calibri" w:cs="Calibri"/>
                <w:color w:val="000000"/>
                <w:szCs w:val="22"/>
              </w:rPr>
            </w:pPr>
            <w:r>
              <w:rPr>
                <w:rFonts w:ascii="Calibri" w:hAnsi="Calibri" w:cs="Calibri"/>
                <w:color w:val="000000"/>
                <w:szCs w:val="22"/>
              </w:rPr>
              <w:t>18</w:t>
            </w: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b/>
                <w:i/>
                <w:szCs w:val="22"/>
              </w:rPr>
            </w:pPr>
            <w:r w:rsidRPr="00666BAC">
              <w:rPr>
                <w:b/>
                <w:i/>
                <w:szCs w:val="22"/>
              </w:rPr>
              <w:t>Outside jurisdiction</w:t>
            </w:r>
          </w:p>
        </w:tc>
        <w:tc>
          <w:tcPr>
            <w:tcW w:w="2119" w:type="dxa"/>
            <w:shd w:val="clear" w:color="auto" w:fill="C00000"/>
            <w:vAlign w:val="center"/>
          </w:tcPr>
          <w:p w:rsidR="00361A8B" w:rsidRDefault="00BD2466" w:rsidP="00361A8B">
            <w:pPr>
              <w:keepNext/>
              <w:keepLines/>
              <w:tabs>
                <w:tab w:val="left" w:pos="1440"/>
                <w:tab w:val="decimal" w:pos="4320"/>
              </w:tabs>
              <w:jc w:val="center"/>
              <w:outlineLvl w:val="0"/>
              <w:rPr>
                <w:rFonts w:ascii="Calibri" w:hAnsi="Calibri"/>
                <w:b/>
                <w:i/>
                <w:szCs w:val="22"/>
              </w:rPr>
            </w:pPr>
            <w:r>
              <w:rPr>
                <w:rFonts w:ascii="Calibri" w:hAnsi="Calibri"/>
                <w:b/>
                <w:i/>
                <w:szCs w:val="22"/>
              </w:rPr>
              <w:t>17</w:t>
            </w:r>
          </w:p>
        </w:tc>
      </w:tr>
      <w:tr w:rsidR="00361A8B" w:rsidRPr="00666BAC" w:rsidTr="000C2191">
        <w:tc>
          <w:tcPr>
            <w:tcW w:w="3680" w:type="dxa"/>
            <w:shd w:val="clear" w:color="auto" w:fill="C00000"/>
          </w:tcPr>
          <w:p w:rsidR="00361A8B" w:rsidRPr="00666BAC" w:rsidRDefault="00361A8B" w:rsidP="00611906">
            <w:pPr>
              <w:keepNext/>
              <w:keepLines/>
              <w:tabs>
                <w:tab w:val="left" w:pos="1440"/>
                <w:tab w:val="decimal" w:pos="4320"/>
              </w:tabs>
              <w:jc w:val="left"/>
              <w:outlineLvl w:val="0"/>
              <w:rPr>
                <w:rFonts w:cs="Arial"/>
                <w:b/>
                <w:szCs w:val="22"/>
                <w:lang w:eastAsia="en-NZ" w:bidi="ar-SA"/>
              </w:rPr>
            </w:pPr>
            <w:r w:rsidRPr="00666BAC">
              <w:rPr>
                <w:rFonts w:cs="Arial"/>
                <w:b/>
                <w:szCs w:val="22"/>
                <w:lang w:eastAsia="en-NZ" w:bidi="ar-SA"/>
              </w:rPr>
              <w:t>TOTAL</w:t>
            </w:r>
          </w:p>
        </w:tc>
        <w:tc>
          <w:tcPr>
            <w:tcW w:w="2119" w:type="dxa"/>
            <w:shd w:val="clear" w:color="auto" w:fill="C00000"/>
          </w:tcPr>
          <w:p w:rsidR="00361A8B" w:rsidRDefault="00BD2466" w:rsidP="00361A8B">
            <w:pPr>
              <w:jc w:val="center"/>
              <w:rPr>
                <w:rFonts w:ascii="Calibri" w:hAnsi="Calibri" w:cs="Calibri"/>
                <w:b/>
                <w:color w:val="000000"/>
                <w:szCs w:val="22"/>
              </w:rPr>
            </w:pPr>
            <w:r w:rsidRPr="00BD2466">
              <w:rPr>
                <w:rFonts w:ascii="Calibri" w:hAnsi="Calibri" w:cs="Calibri"/>
                <w:b/>
                <w:color w:val="FFFFFF" w:themeColor="background1"/>
                <w:szCs w:val="22"/>
              </w:rPr>
              <w:t>859</w:t>
            </w:r>
          </w:p>
        </w:tc>
      </w:tr>
    </w:tbl>
    <w:p w:rsidR="00611906" w:rsidRPr="00666BAC" w:rsidRDefault="00611906" w:rsidP="00611906">
      <w:pPr>
        <w:rPr>
          <w:lang w:eastAsia="en-NZ" w:bidi="ar-SA"/>
        </w:rPr>
      </w:pPr>
    </w:p>
    <w:p w:rsidR="00611906" w:rsidRPr="00666BAC" w:rsidRDefault="00611906" w:rsidP="00611906">
      <w:pPr>
        <w:rPr>
          <w:lang w:eastAsia="en-NZ"/>
        </w:rPr>
      </w:pPr>
      <w:r w:rsidRPr="00666BAC">
        <w:rPr>
          <w:lang w:eastAsia="en-NZ"/>
        </w:rPr>
        <w:t>As can be seen from th</w:t>
      </w:r>
      <w:r w:rsidR="000C2191" w:rsidRPr="00666BAC">
        <w:rPr>
          <w:lang w:eastAsia="en-NZ"/>
        </w:rPr>
        <w:t>e table above, in th</w:t>
      </w:r>
      <w:r w:rsidR="00BD2466">
        <w:rPr>
          <w:lang w:eastAsia="en-NZ"/>
        </w:rPr>
        <w:t>e 2017/18 year, HDC concluded 51</w:t>
      </w:r>
      <w:r w:rsidRPr="00666BAC">
        <w:rPr>
          <w:lang w:eastAsia="en-NZ"/>
        </w:rPr>
        <w:t xml:space="preserve"> formal i</w:t>
      </w:r>
      <w:r w:rsidR="00BD2466">
        <w:rPr>
          <w:lang w:eastAsia="en-NZ"/>
        </w:rPr>
        <w:t>nvestigations involving DHBs, 25</w:t>
      </w:r>
      <w:r w:rsidRPr="00666BAC">
        <w:rPr>
          <w:lang w:eastAsia="en-NZ"/>
        </w:rPr>
        <w:t xml:space="preserve"> of which resulted in a finding that </w:t>
      </w:r>
      <w:r w:rsidR="0078386C">
        <w:rPr>
          <w:lang w:eastAsia="en-NZ"/>
        </w:rPr>
        <w:t xml:space="preserve">the DHB had breached the Code. </w:t>
      </w:r>
      <w:r w:rsidR="002E14D1">
        <w:rPr>
          <w:lang w:eastAsia="en-NZ"/>
        </w:rPr>
        <w:t xml:space="preserve">Three investigations resulted in a DHB being referred to the Director of Proceedings for the purpose of deciding whether any </w:t>
      </w:r>
      <w:r w:rsidR="00493E1B">
        <w:rPr>
          <w:lang w:eastAsia="en-NZ"/>
        </w:rPr>
        <w:t xml:space="preserve">legal </w:t>
      </w:r>
      <w:r w:rsidR="002E14D1">
        <w:rPr>
          <w:lang w:eastAsia="en-NZ"/>
        </w:rPr>
        <w:t>proceedings should be taken</w:t>
      </w:r>
      <w:r w:rsidR="00493E1B">
        <w:rPr>
          <w:lang w:eastAsia="en-NZ"/>
        </w:rPr>
        <w:t xml:space="preserve"> in the HRRT and / or HPDT</w:t>
      </w:r>
      <w:r w:rsidR="002E14D1">
        <w:rPr>
          <w:lang w:eastAsia="en-NZ"/>
        </w:rPr>
        <w:t>.</w:t>
      </w:r>
    </w:p>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362E9D" w:rsidRPr="00666BAC" w:rsidRDefault="00362E9D" w:rsidP="00EE5709"/>
    <w:p w:rsidR="00BD69A8" w:rsidRPr="00666BAC" w:rsidRDefault="00BD69A8" w:rsidP="00EE5709"/>
    <w:p w:rsidR="00EE5709" w:rsidRPr="00666BAC" w:rsidRDefault="00EE5709" w:rsidP="00EE5709"/>
    <w:p w:rsidR="00EE5709" w:rsidRPr="00666BAC" w:rsidRDefault="00EE5709" w:rsidP="00EE5709"/>
    <w:p w:rsidR="0051595D" w:rsidRPr="00666BAC" w:rsidRDefault="0051595D" w:rsidP="00EE5709"/>
    <w:p w:rsidR="00990C45" w:rsidRPr="00666BAC" w:rsidRDefault="00990C45" w:rsidP="00EE5709"/>
    <w:p w:rsidR="00990C45" w:rsidRPr="00666BAC" w:rsidRDefault="00990C45" w:rsidP="00EE5709"/>
    <w:p w:rsidR="00990C45" w:rsidRPr="00666BAC" w:rsidRDefault="00990C45" w:rsidP="00EE5709"/>
    <w:p w:rsidR="00990C45" w:rsidRPr="00666BAC" w:rsidRDefault="00990C45" w:rsidP="00EE5709"/>
    <w:p w:rsidR="00990C45" w:rsidRPr="00666BAC" w:rsidRDefault="00727F1C" w:rsidP="00990C45">
      <w:pPr>
        <w:pStyle w:val="Heading2"/>
        <w:spacing w:after="240"/>
        <w:ind w:left="426" w:hanging="426"/>
        <w:rPr>
          <w:sz w:val="36"/>
          <w:szCs w:val="36"/>
        </w:rPr>
      </w:pPr>
      <w:bookmarkStart w:id="41" w:name="_Toc404344438"/>
      <w:bookmarkStart w:id="42" w:name="_Toc506278077"/>
      <w:bookmarkEnd w:id="36"/>
      <w:r>
        <w:rPr>
          <w:sz w:val="36"/>
          <w:szCs w:val="36"/>
        </w:rPr>
        <w:lastRenderedPageBreak/>
        <w:t>2</w:t>
      </w:r>
      <w:r w:rsidR="00990C45" w:rsidRPr="00666BAC">
        <w:rPr>
          <w:sz w:val="36"/>
          <w:szCs w:val="36"/>
        </w:rPr>
        <w:t>.</w:t>
      </w:r>
      <w:r w:rsidR="00990C45" w:rsidRPr="00666BAC">
        <w:rPr>
          <w:sz w:val="36"/>
          <w:szCs w:val="36"/>
        </w:rPr>
        <w:tab/>
        <w:t>Recommendations made to DHBs following resolution of complaints</w:t>
      </w:r>
      <w:bookmarkEnd w:id="41"/>
      <w:bookmarkEnd w:id="42"/>
    </w:p>
    <w:p w:rsidR="001916DC" w:rsidRPr="00666BAC" w:rsidRDefault="00990C45" w:rsidP="001916DC">
      <w:pPr>
        <w:spacing w:before="240"/>
        <w:rPr>
          <w:lang w:eastAsia="en-NZ"/>
        </w:rPr>
      </w:pPr>
      <w:r w:rsidRPr="00666BAC">
        <w:rPr>
          <w:lang w:eastAsia="en-NZ"/>
        </w:rPr>
        <w:t>Regardless of whether or not a complaint has been investigated, or whether the DHB has been found in breach of the Code, the Commissioner may make recomme</w:t>
      </w:r>
      <w:r w:rsidR="00666BAC">
        <w:rPr>
          <w:lang w:eastAsia="en-NZ"/>
        </w:rPr>
        <w:t>ndations to a DHB. HDC</w:t>
      </w:r>
      <w:r w:rsidRPr="00666BAC">
        <w:rPr>
          <w:lang w:eastAsia="en-NZ"/>
        </w:rPr>
        <w:t xml:space="preserve"> then follows up with the DHB to ensure that these recomm</w:t>
      </w:r>
      <w:r w:rsidR="00A440B1" w:rsidRPr="00666BAC">
        <w:rPr>
          <w:lang w:eastAsia="en-NZ"/>
        </w:rPr>
        <w:t xml:space="preserve">endations have been acted on. </w:t>
      </w:r>
      <w:r w:rsidRPr="00666BAC">
        <w:rPr>
          <w:lang w:eastAsia="en-NZ"/>
        </w:rPr>
        <w:t>Many such recommendations are described in the case studies included throughout this report.</w:t>
      </w:r>
      <w:r w:rsidR="001916DC">
        <w:rPr>
          <w:lang w:eastAsia="en-NZ"/>
        </w:rPr>
        <w:t xml:space="preserve"> </w:t>
      </w:r>
      <w:r w:rsidR="001916DC" w:rsidRPr="00666BAC">
        <w:rPr>
          <w:lang w:eastAsia="en-NZ"/>
        </w:rPr>
        <w:t xml:space="preserve">In </w:t>
      </w:r>
      <w:r w:rsidR="001916DC">
        <w:rPr>
          <w:lang w:eastAsia="en-NZ"/>
        </w:rPr>
        <w:t>almost all</w:t>
      </w:r>
      <w:r w:rsidR="001916DC" w:rsidRPr="00666BAC">
        <w:rPr>
          <w:lang w:eastAsia="en-NZ"/>
        </w:rPr>
        <w:t xml:space="preserve"> cases</w:t>
      </w:r>
      <w:r w:rsidR="001916DC">
        <w:rPr>
          <w:lang w:eastAsia="en-NZ"/>
        </w:rPr>
        <w:t xml:space="preserve"> (98.9%)</w:t>
      </w:r>
      <w:r w:rsidR="001916DC" w:rsidRPr="00666BAC">
        <w:rPr>
          <w:lang w:eastAsia="en-NZ"/>
        </w:rPr>
        <w:t xml:space="preserve">, recommendations made by HDC are </w:t>
      </w:r>
      <w:r w:rsidR="001916DC">
        <w:rPr>
          <w:lang w:eastAsia="en-NZ"/>
        </w:rPr>
        <w:t>complied with by</w:t>
      </w:r>
      <w:r w:rsidR="001916DC" w:rsidRPr="00666BAC">
        <w:rPr>
          <w:lang w:eastAsia="en-NZ"/>
        </w:rPr>
        <w:t xml:space="preserve"> providers, including DHBs.</w:t>
      </w:r>
    </w:p>
    <w:p w:rsidR="00990C45" w:rsidRPr="00666BAC" w:rsidRDefault="00990C45" w:rsidP="00990C45">
      <w:pPr>
        <w:pStyle w:val="NoSpacing"/>
        <w:spacing w:after="120"/>
        <w:rPr>
          <w:lang w:val="en-NZ" w:eastAsia="en-NZ"/>
        </w:rPr>
      </w:pPr>
    </w:p>
    <w:p w:rsidR="00990C45" w:rsidRPr="00666BAC" w:rsidRDefault="00990C45" w:rsidP="00990C45">
      <w:pPr>
        <w:pStyle w:val="NoSpacing"/>
        <w:spacing w:after="120"/>
        <w:rPr>
          <w:lang w:val="en-NZ" w:eastAsia="en-NZ"/>
        </w:rPr>
      </w:pPr>
      <w:r w:rsidRPr="00666BAC">
        <w:rPr>
          <w:lang w:val="en-NZ" w:eastAsia="en-NZ"/>
        </w:rPr>
        <w:t>T</w:t>
      </w:r>
      <w:r w:rsidR="00D5364B">
        <w:rPr>
          <w:lang w:val="en-NZ" w:eastAsia="en-NZ"/>
        </w:rPr>
        <w:t>able 9</w:t>
      </w:r>
      <w:r w:rsidRPr="00666BAC">
        <w:rPr>
          <w:lang w:val="en-NZ" w:eastAsia="en-NZ"/>
        </w:rPr>
        <w:t xml:space="preserve"> shows the recommendations made to DHBs </w:t>
      </w:r>
      <w:r w:rsidR="002E14D1">
        <w:rPr>
          <w:lang w:val="en-NZ" w:eastAsia="en-NZ"/>
        </w:rPr>
        <w:t>in complaints closed in the 2017/18</w:t>
      </w:r>
      <w:r w:rsidRPr="00666BAC">
        <w:rPr>
          <w:lang w:val="en-NZ" w:eastAsia="en-NZ"/>
        </w:rPr>
        <w:t xml:space="preserve"> year. Please note that more than one recommendation may be made in relation to a single complaint. </w:t>
      </w:r>
    </w:p>
    <w:p w:rsidR="00990C45" w:rsidRPr="00666BAC" w:rsidRDefault="00D5364B" w:rsidP="00990C45">
      <w:pPr>
        <w:pStyle w:val="NoSpacing"/>
        <w:spacing w:after="120"/>
        <w:rPr>
          <w:lang w:val="en-NZ" w:eastAsia="en-NZ"/>
        </w:rPr>
      </w:pPr>
      <w:r>
        <w:rPr>
          <w:b/>
          <w:lang w:val="en-NZ" w:eastAsia="en-NZ"/>
        </w:rPr>
        <w:t>Table 9</w:t>
      </w:r>
      <w:r w:rsidR="00990C45" w:rsidRPr="00666BAC">
        <w:rPr>
          <w:b/>
          <w:lang w:val="en-NZ" w:eastAsia="en-NZ"/>
        </w:rPr>
        <w:t xml:space="preserve">. </w:t>
      </w:r>
      <w:r w:rsidR="00990C45" w:rsidRPr="00666BAC">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2410"/>
      </w:tblGrid>
      <w:tr w:rsidR="00990C45" w:rsidRPr="00666BAC" w:rsidTr="00164EEF">
        <w:tc>
          <w:tcPr>
            <w:tcW w:w="3686" w:type="dxa"/>
            <w:shd w:val="clear" w:color="auto" w:fill="C00000"/>
            <w:vAlign w:val="center"/>
          </w:tcPr>
          <w:p w:rsidR="00990C45" w:rsidRPr="00666BAC" w:rsidRDefault="00990C45" w:rsidP="00990C45">
            <w:pPr>
              <w:pStyle w:val="NoSpacing"/>
              <w:jc w:val="center"/>
              <w:rPr>
                <w:b/>
                <w:lang w:val="en-NZ" w:eastAsia="en-NZ"/>
              </w:rPr>
            </w:pPr>
            <w:r w:rsidRPr="00666BAC">
              <w:rPr>
                <w:b/>
                <w:lang w:val="en-NZ" w:eastAsia="en-NZ"/>
              </w:rPr>
              <w:t>Type of recommendation</w:t>
            </w:r>
          </w:p>
        </w:tc>
        <w:tc>
          <w:tcPr>
            <w:tcW w:w="2410" w:type="dxa"/>
            <w:shd w:val="clear" w:color="auto" w:fill="C00000"/>
          </w:tcPr>
          <w:p w:rsidR="00990C45" w:rsidRPr="00666BAC" w:rsidRDefault="00990C45" w:rsidP="00990C45">
            <w:pPr>
              <w:pStyle w:val="NoSpacing"/>
              <w:jc w:val="center"/>
              <w:rPr>
                <w:b/>
                <w:lang w:val="en-NZ" w:eastAsia="en-NZ"/>
              </w:rPr>
            </w:pPr>
            <w:r w:rsidRPr="00666BAC">
              <w:rPr>
                <w:b/>
                <w:lang w:val="en-NZ" w:eastAsia="en-NZ"/>
              </w:rPr>
              <w:t>Number of recommendations made</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Apology</w:t>
            </w:r>
          </w:p>
        </w:tc>
        <w:tc>
          <w:tcPr>
            <w:tcW w:w="2410" w:type="dxa"/>
          </w:tcPr>
          <w:p w:rsidR="00990C45" w:rsidRPr="00666BAC" w:rsidRDefault="002E14D1" w:rsidP="00990C45">
            <w:pPr>
              <w:pStyle w:val="NoSpacing"/>
              <w:jc w:val="center"/>
              <w:rPr>
                <w:lang w:val="en-NZ" w:eastAsia="en-NZ"/>
              </w:rPr>
            </w:pPr>
            <w:r>
              <w:rPr>
                <w:lang w:val="en-NZ" w:eastAsia="en-NZ"/>
              </w:rPr>
              <w:t>27</w:t>
            </w:r>
          </w:p>
        </w:tc>
      </w:tr>
      <w:tr w:rsidR="00990C45" w:rsidRPr="00666BAC" w:rsidTr="00164EEF">
        <w:trPr>
          <w:trHeight w:val="293"/>
        </w:trPr>
        <w:tc>
          <w:tcPr>
            <w:tcW w:w="3686" w:type="dxa"/>
          </w:tcPr>
          <w:p w:rsidR="00990C45" w:rsidRPr="00666BAC" w:rsidRDefault="00990C45" w:rsidP="00990C45">
            <w:pPr>
              <w:pStyle w:val="NoSpacing"/>
              <w:jc w:val="left"/>
              <w:rPr>
                <w:lang w:val="en-NZ" w:eastAsia="en-NZ"/>
              </w:rPr>
            </w:pPr>
            <w:r w:rsidRPr="00666BAC">
              <w:rPr>
                <w:lang w:val="en-NZ" w:eastAsia="en-NZ"/>
              </w:rPr>
              <w:t>Audit</w:t>
            </w:r>
          </w:p>
        </w:tc>
        <w:tc>
          <w:tcPr>
            <w:tcW w:w="2410" w:type="dxa"/>
          </w:tcPr>
          <w:p w:rsidR="00990C45" w:rsidRPr="00666BAC" w:rsidRDefault="002E14D1" w:rsidP="00990C45">
            <w:pPr>
              <w:pStyle w:val="NoSpacing"/>
              <w:jc w:val="center"/>
              <w:rPr>
                <w:lang w:val="en-NZ" w:eastAsia="en-NZ"/>
              </w:rPr>
            </w:pPr>
            <w:r>
              <w:rPr>
                <w:lang w:val="en-NZ" w:eastAsia="en-NZ"/>
              </w:rPr>
              <w:t>35</w:t>
            </w:r>
          </w:p>
        </w:tc>
      </w:tr>
      <w:tr w:rsidR="00990C45" w:rsidRPr="00666BAC" w:rsidTr="00164EEF">
        <w:tc>
          <w:tcPr>
            <w:tcW w:w="3686" w:type="dxa"/>
          </w:tcPr>
          <w:p w:rsidR="00990C45" w:rsidRPr="00666BAC" w:rsidRDefault="00990C45" w:rsidP="00990C45">
            <w:pPr>
              <w:pStyle w:val="NoSpacing"/>
              <w:jc w:val="left"/>
              <w:rPr>
                <w:lang w:val="en-NZ" w:eastAsia="en-NZ"/>
              </w:rPr>
            </w:pPr>
            <w:r w:rsidRPr="00666BAC">
              <w:rPr>
                <w:lang w:val="en-NZ" w:eastAsia="en-NZ"/>
              </w:rPr>
              <w:t>Meeting with consumer/complainant</w:t>
            </w:r>
          </w:p>
        </w:tc>
        <w:tc>
          <w:tcPr>
            <w:tcW w:w="2410" w:type="dxa"/>
            <w:vAlign w:val="center"/>
          </w:tcPr>
          <w:p w:rsidR="00990C45" w:rsidRPr="00666BAC" w:rsidRDefault="002E14D1" w:rsidP="00990C45">
            <w:pPr>
              <w:pStyle w:val="NoSpacing"/>
              <w:jc w:val="center"/>
              <w:rPr>
                <w:lang w:val="en-NZ" w:eastAsia="en-NZ"/>
              </w:rPr>
            </w:pPr>
            <w:r>
              <w:rPr>
                <w:lang w:val="en-NZ" w:eastAsia="en-NZ"/>
              </w:rPr>
              <w:t>5</w:t>
            </w:r>
          </w:p>
        </w:tc>
      </w:tr>
      <w:tr w:rsidR="00990C45" w:rsidRPr="00666BAC" w:rsidTr="00164EEF">
        <w:tc>
          <w:tcPr>
            <w:tcW w:w="3686" w:type="dxa"/>
          </w:tcPr>
          <w:p w:rsidR="00990C45" w:rsidRPr="00666BAC" w:rsidRDefault="00990C45" w:rsidP="00493E1B">
            <w:pPr>
              <w:pStyle w:val="NoSpacing"/>
              <w:jc w:val="left"/>
              <w:rPr>
                <w:lang w:val="en-NZ" w:eastAsia="en-NZ"/>
              </w:rPr>
            </w:pPr>
            <w:r w:rsidRPr="00666BAC">
              <w:rPr>
                <w:lang w:val="en-NZ" w:eastAsia="en-NZ"/>
              </w:rPr>
              <w:t>Presentat</w:t>
            </w:r>
            <w:r w:rsidR="00D5364B">
              <w:rPr>
                <w:lang w:val="en-NZ" w:eastAsia="en-NZ"/>
              </w:rPr>
              <w:t>ion</w:t>
            </w:r>
            <w:r w:rsidRPr="00666BAC">
              <w:rPr>
                <w:lang w:val="en-NZ" w:eastAsia="en-NZ"/>
              </w:rPr>
              <w:t>/discuss</w:t>
            </w:r>
            <w:r w:rsidR="00D5364B">
              <w:rPr>
                <w:lang w:val="en-NZ" w:eastAsia="en-NZ"/>
              </w:rPr>
              <w:t>ion of</w:t>
            </w:r>
            <w:r w:rsidRPr="00666BAC">
              <w:rPr>
                <w:lang w:val="en-NZ" w:eastAsia="en-NZ"/>
              </w:rPr>
              <w:t xml:space="preserve">  complaint with others</w:t>
            </w:r>
          </w:p>
        </w:tc>
        <w:tc>
          <w:tcPr>
            <w:tcW w:w="2410" w:type="dxa"/>
            <w:vAlign w:val="center"/>
          </w:tcPr>
          <w:p w:rsidR="00990C45" w:rsidRPr="00666BAC" w:rsidRDefault="002E14D1" w:rsidP="008D5B20">
            <w:pPr>
              <w:pStyle w:val="NoSpacing"/>
              <w:jc w:val="center"/>
              <w:rPr>
                <w:lang w:val="en-NZ" w:eastAsia="en-NZ"/>
              </w:rPr>
            </w:pPr>
            <w:r>
              <w:rPr>
                <w:lang w:val="en-NZ" w:eastAsia="en-NZ"/>
              </w:rPr>
              <w:t>21</w:t>
            </w:r>
          </w:p>
        </w:tc>
      </w:tr>
      <w:tr w:rsidR="00990C45" w:rsidRPr="00666BAC" w:rsidTr="008D5B20">
        <w:tc>
          <w:tcPr>
            <w:tcW w:w="3686" w:type="dxa"/>
          </w:tcPr>
          <w:p w:rsidR="00990C45" w:rsidRPr="00666BAC" w:rsidRDefault="00493E1B" w:rsidP="008D5B20">
            <w:pPr>
              <w:pStyle w:val="NoSpacing"/>
              <w:rPr>
                <w:lang w:val="en-NZ" w:eastAsia="en-NZ"/>
              </w:rPr>
            </w:pPr>
            <w:r>
              <w:rPr>
                <w:lang w:val="en-NZ" w:eastAsia="en-NZ"/>
              </w:rPr>
              <w:t>Provide</w:t>
            </w:r>
            <w:r w:rsidR="00990C45" w:rsidRPr="00666BAC">
              <w:rPr>
                <w:lang w:val="en-NZ" w:eastAsia="en-NZ"/>
              </w:rPr>
              <w:t xml:space="preserve"> </w:t>
            </w:r>
            <w:r w:rsidR="008D5B20">
              <w:rPr>
                <w:lang w:val="en-NZ" w:eastAsia="en-NZ"/>
              </w:rPr>
              <w:t>evidence of change to HDC</w:t>
            </w:r>
          </w:p>
        </w:tc>
        <w:tc>
          <w:tcPr>
            <w:tcW w:w="2410" w:type="dxa"/>
            <w:vAlign w:val="center"/>
          </w:tcPr>
          <w:p w:rsidR="00990C45" w:rsidRPr="00666BAC" w:rsidRDefault="007B7298" w:rsidP="008D5B20">
            <w:pPr>
              <w:pStyle w:val="NoSpacing"/>
              <w:jc w:val="center"/>
              <w:rPr>
                <w:lang w:val="en-NZ" w:eastAsia="en-NZ"/>
              </w:rPr>
            </w:pPr>
            <w:r>
              <w:rPr>
                <w:lang w:val="en-NZ" w:eastAsia="en-NZ"/>
              </w:rPr>
              <w:t>96</w:t>
            </w:r>
          </w:p>
        </w:tc>
      </w:tr>
      <w:tr w:rsidR="007B7298" w:rsidRPr="00666BAC" w:rsidTr="007B7298">
        <w:tc>
          <w:tcPr>
            <w:tcW w:w="3686" w:type="dxa"/>
          </w:tcPr>
          <w:p w:rsidR="007B7298" w:rsidRPr="00666BAC" w:rsidRDefault="00493E1B" w:rsidP="00990C45">
            <w:pPr>
              <w:pStyle w:val="NoSpacing"/>
              <w:rPr>
                <w:lang w:val="en-NZ" w:eastAsia="en-NZ"/>
              </w:rPr>
            </w:pPr>
            <w:r>
              <w:rPr>
                <w:lang w:val="en-NZ" w:eastAsia="en-NZ"/>
              </w:rPr>
              <w:t>Provide</w:t>
            </w:r>
            <w:r w:rsidR="007B7298">
              <w:rPr>
                <w:lang w:val="en-NZ" w:eastAsia="en-NZ"/>
              </w:rPr>
              <w:t xml:space="preserve"> information to consumer/complainant</w:t>
            </w:r>
          </w:p>
        </w:tc>
        <w:tc>
          <w:tcPr>
            <w:tcW w:w="2410" w:type="dxa"/>
            <w:vAlign w:val="center"/>
          </w:tcPr>
          <w:p w:rsidR="007B7298" w:rsidRPr="00666BAC" w:rsidRDefault="007B7298" w:rsidP="007B7298">
            <w:pPr>
              <w:pStyle w:val="NoSpacing"/>
              <w:jc w:val="center"/>
              <w:rPr>
                <w:lang w:val="en-NZ" w:eastAsia="en-NZ"/>
              </w:rPr>
            </w:pPr>
            <w:r>
              <w:rPr>
                <w:lang w:val="en-NZ" w:eastAsia="en-NZ"/>
              </w:rPr>
              <w:t>2</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Reflection</w:t>
            </w:r>
          </w:p>
        </w:tc>
        <w:tc>
          <w:tcPr>
            <w:tcW w:w="2410" w:type="dxa"/>
          </w:tcPr>
          <w:p w:rsidR="00990C45" w:rsidRPr="00666BAC" w:rsidRDefault="007B7298" w:rsidP="00990C45">
            <w:pPr>
              <w:pStyle w:val="NoSpacing"/>
              <w:jc w:val="center"/>
              <w:rPr>
                <w:lang w:val="en-NZ" w:eastAsia="en-NZ"/>
              </w:rPr>
            </w:pPr>
            <w:r>
              <w:rPr>
                <w:lang w:val="en-NZ" w:eastAsia="en-NZ"/>
              </w:rPr>
              <w:t>13</w:t>
            </w:r>
          </w:p>
        </w:tc>
      </w:tr>
      <w:tr w:rsidR="00990C45" w:rsidRPr="00666BAC" w:rsidTr="008D5B20">
        <w:tc>
          <w:tcPr>
            <w:tcW w:w="3686" w:type="dxa"/>
          </w:tcPr>
          <w:p w:rsidR="00990C45" w:rsidRPr="00666BAC" w:rsidRDefault="00990C45" w:rsidP="00493E1B">
            <w:pPr>
              <w:pStyle w:val="NoSpacing"/>
              <w:jc w:val="left"/>
              <w:rPr>
                <w:lang w:val="en-NZ" w:eastAsia="en-NZ"/>
              </w:rPr>
            </w:pPr>
            <w:r w:rsidRPr="00666BAC">
              <w:rPr>
                <w:lang w:val="en-NZ" w:eastAsia="en-NZ"/>
              </w:rPr>
              <w:t>Review</w:t>
            </w:r>
            <w:r w:rsidR="008D5B20">
              <w:rPr>
                <w:lang w:val="en-NZ" w:eastAsia="en-NZ"/>
              </w:rPr>
              <w:t>/implement</w:t>
            </w:r>
            <w:r w:rsidRPr="00666BAC">
              <w:rPr>
                <w:lang w:val="en-NZ" w:eastAsia="en-NZ"/>
              </w:rPr>
              <w:t xml:space="preserve"> policies/procedures</w:t>
            </w:r>
          </w:p>
        </w:tc>
        <w:tc>
          <w:tcPr>
            <w:tcW w:w="2410" w:type="dxa"/>
            <w:vAlign w:val="center"/>
          </w:tcPr>
          <w:p w:rsidR="00990C45" w:rsidRPr="00666BAC" w:rsidRDefault="007B7298" w:rsidP="008D5B20">
            <w:pPr>
              <w:pStyle w:val="NoSpacing"/>
              <w:jc w:val="center"/>
              <w:rPr>
                <w:lang w:val="en-NZ" w:eastAsia="en-NZ"/>
              </w:rPr>
            </w:pPr>
            <w:r>
              <w:rPr>
                <w:lang w:val="en-NZ" w:eastAsia="en-NZ"/>
              </w:rPr>
              <w:t>79</w:t>
            </w:r>
          </w:p>
        </w:tc>
      </w:tr>
      <w:tr w:rsidR="00990C45" w:rsidRPr="00666BAC" w:rsidTr="00164EEF">
        <w:tc>
          <w:tcPr>
            <w:tcW w:w="3686" w:type="dxa"/>
          </w:tcPr>
          <w:p w:rsidR="00990C45" w:rsidRPr="00666BAC" w:rsidRDefault="00990C45" w:rsidP="00990C45">
            <w:pPr>
              <w:pStyle w:val="NoSpacing"/>
              <w:rPr>
                <w:lang w:val="en-NZ" w:eastAsia="en-NZ"/>
              </w:rPr>
            </w:pPr>
            <w:r w:rsidRPr="00666BAC">
              <w:rPr>
                <w:lang w:val="en-NZ" w:eastAsia="en-NZ"/>
              </w:rPr>
              <w:t>Training/professional development</w:t>
            </w:r>
          </w:p>
        </w:tc>
        <w:tc>
          <w:tcPr>
            <w:tcW w:w="2410" w:type="dxa"/>
          </w:tcPr>
          <w:p w:rsidR="00990C45" w:rsidRPr="00666BAC" w:rsidRDefault="007B7298" w:rsidP="00990C45">
            <w:pPr>
              <w:pStyle w:val="NoSpacing"/>
              <w:jc w:val="center"/>
              <w:rPr>
                <w:lang w:val="en-NZ" w:eastAsia="en-NZ"/>
              </w:rPr>
            </w:pPr>
            <w:r>
              <w:rPr>
                <w:lang w:val="en-NZ" w:eastAsia="en-NZ"/>
              </w:rPr>
              <w:t>53</w:t>
            </w:r>
          </w:p>
        </w:tc>
      </w:tr>
      <w:tr w:rsidR="00990C45" w:rsidRPr="00666BAC" w:rsidTr="00164EEF">
        <w:tc>
          <w:tcPr>
            <w:tcW w:w="3686" w:type="dxa"/>
            <w:shd w:val="clear" w:color="auto" w:fill="C00000"/>
          </w:tcPr>
          <w:p w:rsidR="00990C45" w:rsidRPr="00666BAC" w:rsidRDefault="00990C45" w:rsidP="00990C45">
            <w:pPr>
              <w:pStyle w:val="NoSpacing"/>
              <w:rPr>
                <w:b/>
                <w:lang w:val="en-NZ" w:eastAsia="en-NZ"/>
              </w:rPr>
            </w:pPr>
            <w:r w:rsidRPr="00666BAC">
              <w:rPr>
                <w:b/>
                <w:lang w:val="en-NZ" w:eastAsia="en-NZ"/>
              </w:rPr>
              <w:t>Total</w:t>
            </w:r>
          </w:p>
        </w:tc>
        <w:tc>
          <w:tcPr>
            <w:tcW w:w="2410" w:type="dxa"/>
            <w:shd w:val="clear" w:color="auto" w:fill="C00000"/>
          </w:tcPr>
          <w:p w:rsidR="00990C45" w:rsidRPr="00666BAC" w:rsidRDefault="007B7298" w:rsidP="00990C45">
            <w:pPr>
              <w:pStyle w:val="NoSpacing"/>
              <w:jc w:val="center"/>
              <w:rPr>
                <w:b/>
                <w:lang w:val="en-NZ" w:eastAsia="en-NZ"/>
              </w:rPr>
            </w:pPr>
            <w:r>
              <w:rPr>
                <w:b/>
                <w:lang w:val="en-NZ" w:eastAsia="en-NZ"/>
              </w:rPr>
              <w:t>331</w:t>
            </w:r>
          </w:p>
        </w:tc>
      </w:tr>
    </w:tbl>
    <w:p w:rsidR="007B7298" w:rsidRPr="00666BAC" w:rsidRDefault="00990C45" w:rsidP="007B7298">
      <w:pPr>
        <w:spacing w:before="240"/>
        <w:rPr>
          <w:lang w:eastAsia="en-NZ"/>
        </w:rPr>
      </w:pPr>
      <w:r w:rsidRPr="00666BAC">
        <w:t xml:space="preserve">As can be seen from </w:t>
      </w:r>
      <w:r w:rsidR="00914D68" w:rsidRPr="00666BAC">
        <w:t>T</w:t>
      </w:r>
      <w:r w:rsidRPr="00666BAC">
        <w:t>able</w:t>
      </w:r>
      <w:r w:rsidR="002E14D1">
        <w:t xml:space="preserve"> 10</w:t>
      </w:r>
      <w:r w:rsidR="00914D68" w:rsidRPr="00666BAC">
        <w:t xml:space="preserve"> above</w:t>
      </w:r>
      <w:r w:rsidRPr="00666BAC">
        <w:t>, t</w:t>
      </w:r>
      <w:r w:rsidRPr="00666BAC">
        <w:rPr>
          <w:lang w:eastAsia="en-NZ"/>
        </w:rPr>
        <w:t xml:space="preserve">he most common recommendation made to DHBs was that they </w:t>
      </w:r>
      <w:r w:rsidR="008D5B20">
        <w:rPr>
          <w:lang w:eastAsia="en-NZ"/>
        </w:rPr>
        <w:t>provide evidence to HDC of the changes they had made in response to the is</w:t>
      </w:r>
      <w:r w:rsidR="007B7298">
        <w:rPr>
          <w:lang w:eastAsia="en-NZ"/>
        </w:rPr>
        <w:t>sues raised by the complaint (96</w:t>
      </w:r>
      <w:r w:rsidRPr="00666BAC">
        <w:rPr>
          <w:lang w:eastAsia="en-NZ"/>
        </w:rPr>
        <w:t xml:space="preserve"> rec</w:t>
      </w:r>
      <w:r w:rsidR="007B7298">
        <w:rPr>
          <w:lang w:eastAsia="en-NZ"/>
        </w:rPr>
        <w:t xml:space="preserve">ommendations). Often, when HDC asks for this evidence, it is also recommended that the provider conducts a review of the effectiveness of the changes made.  Conducting a review of their policies/procedures or implementing new policies/procedures (79 recommendations) and staff training (53 recommendations) were also often recommended. Staff training was most commonly recommended in relation to clinical issues. Where new policies/procedures have been introduced by providers following a complaint, HDC will often recommend an audit to ensure that staff are complying with these new policies/procedures. </w:t>
      </w:r>
      <w:r w:rsidR="008D5B20">
        <w:rPr>
          <w:lang w:eastAsia="en-NZ"/>
        </w:rPr>
        <w:t xml:space="preserve"> </w:t>
      </w:r>
    </w:p>
    <w:p w:rsidR="00990C45" w:rsidRPr="00666BAC" w:rsidRDefault="00990C45" w:rsidP="00990C45">
      <w:pPr>
        <w:spacing w:before="240"/>
        <w:rPr>
          <w:lang w:eastAsia="en-NZ"/>
        </w:rPr>
      </w:pPr>
    </w:p>
    <w:p w:rsidR="00F70122" w:rsidRPr="00666BAC" w:rsidRDefault="00F70122" w:rsidP="00990C45">
      <w:pPr>
        <w:spacing w:before="240"/>
        <w:rPr>
          <w:lang w:eastAsia="en-NZ"/>
        </w:rPr>
      </w:pPr>
    </w:p>
    <w:p w:rsidR="00F70122" w:rsidRPr="00666BAC" w:rsidRDefault="00F70122" w:rsidP="00990C45">
      <w:pPr>
        <w:spacing w:before="240"/>
        <w:rPr>
          <w:lang w:eastAsia="en-NZ"/>
        </w:rPr>
      </w:pPr>
    </w:p>
    <w:p w:rsidR="00F70122" w:rsidRPr="00666BAC" w:rsidRDefault="00F70122" w:rsidP="00990C45">
      <w:pPr>
        <w:spacing w:before="240"/>
        <w:rPr>
          <w:lang w:eastAsia="en-NZ"/>
        </w:rPr>
      </w:pPr>
    </w:p>
    <w:p w:rsidR="00F70122" w:rsidRDefault="00F70122" w:rsidP="00990C45">
      <w:pPr>
        <w:spacing w:before="240"/>
        <w:rPr>
          <w:lang w:eastAsia="en-NZ"/>
        </w:rPr>
      </w:pPr>
    </w:p>
    <w:p w:rsidR="00666BAC" w:rsidRDefault="00666BAC" w:rsidP="00990C45">
      <w:pPr>
        <w:spacing w:before="240"/>
        <w:rPr>
          <w:lang w:eastAsia="en-NZ"/>
        </w:rPr>
      </w:pPr>
    </w:p>
    <w:p w:rsidR="00F70122" w:rsidRPr="00666BAC" w:rsidRDefault="00F70122" w:rsidP="00F70122">
      <w:pPr>
        <w:spacing w:before="240"/>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298"/>
      </w:tblGrid>
      <w:tr w:rsidR="00F70122" w:rsidRPr="00666BAC" w:rsidTr="002F346C">
        <w:tc>
          <w:tcPr>
            <w:tcW w:w="9298" w:type="dxa"/>
          </w:tcPr>
          <w:p w:rsidR="00F70122" w:rsidRPr="00666BAC" w:rsidRDefault="00F70122" w:rsidP="002F346C">
            <w:pPr>
              <w:jc w:val="center"/>
              <w:rPr>
                <w:b/>
                <w:sz w:val="28"/>
                <w:szCs w:val="28"/>
              </w:rPr>
            </w:pPr>
            <w:r w:rsidRPr="00666BAC">
              <w:rPr>
                <w:b/>
                <w:sz w:val="28"/>
                <w:szCs w:val="28"/>
              </w:rPr>
              <w:lastRenderedPageBreak/>
              <w:t xml:space="preserve">Case studies </w:t>
            </w:r>
          </w:p>
          <w:p w:rsidR="00F70122" w:rsidRPr="00666BAC" w:rsidRDefault="00493E1B" w:rsidP="002F346C">
            <w:pPr>
              <w:jc w:val="center"/>
              <w:rPr>
                <w:b/>
                <w:sz w:val="28"/>
                <w:szCs w:val="28"/>
              </w:rPr>
            </w:pPr>
            <w:r>
              <w:rPr>
                <w:b/>
                <w:sz w:val="28"/>
                <w:szCs w:val="28"/>
              </w:rPr>
              <w:t>HDC r</w:t>
            </w:r>
            <w:r w:rsidR="00F70122" w:rsidRPr="00666BAC">
              <w:rPr>
                <w:b/>
                <w:sz w:val="28"/>
                <w:szCs w:val="28"/>
              </w:rPr>
              <w:t xml:space="preserve">ecommendations </w:t>
            </w:r>
            <w:r w:rsidR="00365B81">
              <w:rPr>
                <w:b/>
                <w:sz w:val="28"/>
                <w:szCs w:val="28"/>
              </w:rPr>
              <w:t>to DHBs</w:t>
            </w:r>
          </w:p>
          <w:p w:rsidR="00F70122" w:rsidRPr="00666BAC" w:rsidRDefault="00F70122" w:rsidP="002F346C">
            <w:pPr>
              <w:rPr>
                <w:lang w:bidi="ar-SA"/>
              </w:rPr>
            </w:pPr>
          </w:p>
          <w:p w:rsidR="000313F0" w:rsidRPr="00493E1B" w:rsidRDefault="00F70122" w:rsidP="000313F0">
            <w:pPr>
              <w:pStyle w:val="Bulletindent"/>
              <w:ind w:left="0" w:firstLine="0"/>
              <w:jc w:val="center"/>
              <w:rPr>
                <w:b/>
                <w:szCs w:val="22"/>
              </w:rPr>
            </w:pPr>
            <w:r w:rsidRPr="00493E1B">
              <w:rPr>
                <w:b/>
                <w:szCs w:val="22"/>
              </w:rPr>
              <w:t>Recommendation</w:t>
            </w:r>
            <w:r w:rsidR="0065108F" w:rsidRPr="00493E1B">
              <w:rPr>
                <w:b/>
                <w:szCs w:val="22"/>
              </w:rPr>
              <w:t xml:space="preserve">s arising from </w:t>
            </w:r>
            <w:r w:rsidR="00493E1B" w:rsidRPr="00493E1B">
              <w:rPr>
                <w:b/>
                <w:szCs w:val="22"/>
              </w:rPr>
              <w:t xml:space="preserve">a </w:t>
            </w:r>
            <w:r w:rsidR="0065108F" w:rsidRPr="00493E1B">
              <w:rPr>
                <w:b/>
                <w:szCs w:val="22"/>
              </w:rPr>
              <w:t>breach</w:t>
            </w:r>
            <w:r w:rsidR="00493E1B" w:rsidRPr="00493E1B">
              <w:rPr>
                <w:b/>
                <w:szCs w:val="22"/>
              </w:rPr>
              <w:t xml:space="preserve"> of the Code</w:t>
            </w:r>
            <w:r w:rsidR="0065108F" w:rsidRPr="00493E1B">
              <w:rPr>
                <w:b/>
                <w:szCs w:val="22"/>
              </w:rPr>
              <w:t xml:space="preserve"> relating</w:t>
            </w:r>
            <w:r w:rsidR="005864ED" w:rsidRPr="00493E1B">
              <w:rPr>
                <w:b/>
                <w:szCs w:val="22"/>
              </w:rPr>
              <w:t xml:space="preserve"> </w:t>
            </w:r>
            <w:r w:rsidR="00A8553C" w:rsidRPr="00493E1B">
              <w:rPr>
                <w:b/>
                <w:szCs w:val="22"/>
              </w:rPr>
              <w:t xml:space="preserve">to </w:t>
            </w:r>
            <w:r w:rsidR="00A8553C" w:rsidRPr="004C1F77">
              <w:rPr>
                <w:b/>
                <w:szCs w:val="22"/>
              </w:rPr>
              <w:t>failures in coordinating the evaluation of the suitability of a woman and her donor for kidney transplant</w:t>
            </w:r>
          </w:p>
          <w:p w:rsidR="00F70122" w:rsidRPr="005D7EF3" w:rsidRDefault="0065108F" w:rsidP="005D7EF3">
            <w:pPr>
              <w:pStyle w:val="Bulletindent"/>
              <w:spacing w:after="120"/>
              <w:ind w:left="0" w:firstLine="0"/>
              <w:jc w:val="center"/>
              <w:rPr>
                <w:szCs w:val="22"/>
              </w:rPr>
            </w:pPr>
            <w:r w:rsidRPr="005D7EF3">
              <w:rPr>
                <w:szCs w:val="22"/>
              </w:rPr>
              <w:t>(14HDC00885</w:t>
            </w:r>
            <w:r w:rsidR="00365B81" w:rsidRPr="005D7EF3">
              <w:rPr>
                <w:szCs w:val="22"/>
              </w:rPr>
              <w:t>)</w:t>
            </w:r>
          </w:p>
          <w:p w:rsidR="001916DC" w:rsidRDefault="001916DC" w:rsidP="005864ED">
            <w:pPr>
              <w:pStyle w:val="Bulletindent"/>
              <w:ind w:left="0" w:firstLine="0"/>
              <w:rPr>
                <w:szCs w:val="22"/>
              </w:rPr>
            </w:pPr>
          </w:p>
          <w:p w:rsidR="005864ED" w:rsidRPr="000313F0" w:rsidRDefault="001916DC" w:rsidP="005864ED">
            <w:pPr>
              <w:pStyle w:val="Bulletindent"/>
              <w:ind w:left="0" w:firstLine="0"/>
              <w:rPr>
                <w:szCs w:val="22"/>
              </w:rPr>
            </w:pPr>
            <w:r>
              <w:rPr>
                <w:szCs w:val="22"/>
              </w:rPr>
              <w:t>T</w:t>
            </w:r>
            <w:r w:rsidR="005864ED" w:rsidRPr="000313F0">
              <w:rPr>
                <w:szCs w:val="22"/>
              </w:rPr>
              <w:t xml:space="preserve">he Commissioner considered that the continuity of the woman’s care was compromised owing to the fact that there were several points in the </w:t>
            </w:r>
            <w:r w:rsidR="00A8553C" w:rsidRPr="000313F0">
              <w:rPr>
                <w:szCs w:val="22"/>
              </w:rPr>
              <w:t>evaluative process for which one</w:t>
            </w:r>
            <w:r w:rsidR="005864ED" w:rsidRPr="000313F0">
              <w:rPr>
                <w:szCs w:val="22"/>
              </w:rPr>
              <w:t xml:space="preserve"> DHB was responsible where there was delay because of error, failure to follow agreed process in communicating with the regional transplant group, resource allocation or lack of clarity regarding roles.</w:t>
            </w:r>
            <w:r w:rsidR="00A8553C" w:rsidRPr="000313F0">
              <w:rPr>
                <w:szCs w:val="22"/>
              </w:rPr>
              <w:t xml:space="preserve"> He therefore found this DHB in breach of Right 4(5) of the Code</w:t>
            </w:r>
            <w:r w:rsidR="00493E1B">
              <w:rPr>
                <w:szCs w:val="22"/>
              </w:rPr>
              <w:t>.</w:t>
            </w:r>
          </w:p>
          <w:p w:rsidR="005864ED" w:rsidRPr="000313F0" w:rsidRDefault="005864ED" w:rsidP="005864ED">
            <w:pPr>
              <w:rPr>
                <w:szCs w:val="22"/>
              </w:rPr>
            </w:pPr>
          </w:p>
          <w:p w:rsidR="005864ED" w:rsidRPr="000313F0" w:rsidRDefault="001916DC" w:rsidP="001916DC">
            <w:pPr>
              <w:pStyle w:val="Bulletindent"/>
              <w:ind w:left="0" w:firstLine="0"/>
              <w:rPr>
                <w:szCs w:val="22"/>
              </w:rPr>
            </w:pPr>
            <w:r w:rsidRPr="000313F0">
              <w:rPr>
                <w:szCs w:val="22"/>
              </w:rPr>
              <w:t xml:space="preserve">Three DHBs were involved in evaluating </w:t>
            </w:r>
            <w:r>
              <w:rPr>
                <w:szCs w:val="22"/>
              </w:rPr>
              <w:t xml:space="preserve">the </w:t>
            </w:r>
            <w:r w:rsidRPr="000313F0">
              <w:rPr>
                <w:szCs w:val="22"/>
              </w:rPr>
              <w:t>suitability</w:t>
            </w:r>
            <w:r>
              <w:rPr>
                <w:szCs w:val="22"/>
              </w:rPr>
              <w:t xml:space="preserve"> of the woman and her donor</w:t>
            </w:r>
            <w:r w:rsidRPr="000313F0">
              <w:rPr>
                <w:szCs w:val="22"/>
              </w:rPr>
              <w:t xml:space="preserve"> for</w:t>
            </w:r>
            <w:r>
              <w:rPr>
                <w:szCs w:val="22"/>
              </w:rPr>
              <w:t xml:space="preserve"> a kidney transplant. </w:t>
            </w:r>
            <w:r w:rsidR="005864ED" w:rsidRPr="000313F0">
              <w:rPr>
                <w:szCs w:val="22"/>
              </w:rPr>
              <w:t xml:space="preserve">The Commissioner considered that the woman’s experience highlighted the difficulty in coordinating renal transplant services across multiple DHBs, and the need to clarify the responsibility of each clinical team. With this in mind, he recommended that the three DHBs involved in the woman’s care collaborate in reviewing their system for sharing information regarding renal transplants. He specified that a policy should be agreed upon that includes: a clear method for seeking and providing advice; the form </w:t>
            </w:r>
            <w:r w:rsidR="00493E1B">
              <w:rPr>
                <w:szCs w:val="22"/>
              </w:rPr>
              <w:t>in</w:t>
            </w:r>
            <w:r w:rsidR="00493E1B" w:rsidRPr="000313F0">
              <w:rPr>
                <w:szCs w:val="22"/>
              </w:rPr>
              <w:t xml:space="preserve"> </w:t>
            </w:r>
            <w:r w:rsidR="005864ED" w:rsidRPr="000313F0">
              <w:rPr>
                <w:szCs w:val="22"/>
              </w:rPr>
              <w:t xml:space="preserve">which information is shared; the responsibility of each party; and timeframes </w:t>
            </w:r>
            <w:r w:rsidR="00A8553C" w:rsidRPr="000313F0">
              <w:rPr>
                <w:szCs w:val="22"/>
              </w:rPr>
              <w:t>wherever</w:t>
            </w:r>
            <w:r w:rsidR="005864ED" w:rsidRPr="000313F0">
              <w:rPr>
                <w:szCs w:val="22"/>
              </w:rPr>
              <w:t xml:space="preserve"> appropriate. He also asked that</w:t>
            </w:r>
            <w:r>
              <w:rPr>
                <w:szCs w:val="22"/>
              </w:rPr>
              <w:t>:</w:t>
            </w:r>
            <w:r w:rsidR="005864ED" w:rsidRPr="000313F0">
              <w:rPr>
                <w:szCs w:val="22"/>
              </w:rPr>
              <w:t xml:space="preserve"> where appropriate, template letters or documents be </w:t>
            </w:r>
            <w:r w:rsidR="00A8553C" w:rsidRPr="000313F0">
              <w:rPr>
                <w:szCs w:val="22"/>
              </w:rPr>
              <w:t>created</w:t>
            </w:r>
            <w:r w:rsidR="005864ED" w:rsidRPr="000313F0">
              <w:rPr>
                <w:szCs w:val="22"/>
              </w:rPr>
              <w:t xml:space="preserve"> or amended to align with the policy</w:t>
            </w:r>
            <w:r>
              <w:rPr>
                <w:szCs w:val="22"/>
              </w:rPr>
              <w:t>;</w:t>
            </w:r>
            <w:r w:rsidR="005864ED" w:rsidRPr="000313F0">
              <w:rPr>
                <w:szCs w:val="22"/>
              </w:rPr>
              <w:t xml:space="preserve"> and that a system be developed </w:t>
            </w:r>
            <w:r w:rsidR="00493E1B">
              <w:rPr>
                <w:szCs w:val="22"/>
              </w:rPr>
              <w:t>that</w:t>
            </w:r>
            <w:r w:rsidR="00493E1B" w:rsidRPr="000313F0">
              <w:rPr>
                <w:szCs w:val="22"/>
              </w:rPr>
              <w:t xml:space="preserve"> </w:t>
            </w:r>
            <w:r w:rsidR="005864ED" w:rsidRPr="000313F0">
              <w:rPr>
                <w:szCs w:val="22"/>
              </w:rPr>
              <w:t xml:space="preserve">provided </w:t>
            </w:r>
            <w:r w:rsidR="00493E1B">
              <w:rPr>
                <w:szCs w:val="22"/>
              </w:rPr>
              <w:t xml:space="preserve">for </w:t>
            </w:r>
            <w:r w:rsidR="005864ED" w:rsidRPr="000313F0">
              <w:rPr>
                <w:szCs w:val="22"/>
              </w:rPr>
              <w:t xml:space="preserve">regular education/training to all relevant staff to ensure that the communication pathways are understood and that practices do not deviate from the policy over time. </w:t>
            </w:r>
          </w:p>
          <w:p w:rsidR="005864ED" w:rsidRPr="000313F0" w:rsidRDefault="005864ED" w:rsidP="005864ED">
            <w:pPr>
              <w:rPr>
                <w:szCs w:val="22"/>
              </w:rPr>
            </w:pPr>
          </w:p>
          <w:p w:rsidR="005864ED" w:rsidRPr="000313F0" w:rsidRDefault="00A8553C" w:rsidP="005864ED">
            <w:pPr>
              <w:pStyle w:val="Bulletindent"/>
              <w:ind w:left="0" w:firstLine="0"/>
              <w:rPr>
                <w:szCs w:val="22"/>
                <w:lang w:bidi="he-IL"/>
              </w:rPr>
            </w:pPr>
            <w:r w:rsidRPr="000313F0">
              <w:rPr>
                <w:szCs w:val="22"/>
                <w:lang w:bidi="he-IL"/>
              </w:rPr>
              <w:t>The Commissioner made a number of recommendations to the DHB he found in breach of the Code, including that it:</w:t>
            </w:r>
          </w:p>
          <w:p w:rsidR="00A8553C" w:rsidRPr="000313F0" w:rsidRDefault="00A8553C" w:rsidP="001916DC">
            <w:pPr>
              <w:pStyle w:val="Bulletindent"/>
              <w:numPr>
                <w:ilvl w:val="0"/>
                <w:numId w:val="12"/>
              </w:numPr>
              <w:spacing w:after="120"/>
              <w:ind w:left="641" w:hanging="357"/>
              <w:rPr>
                <w:szCs w:val="22"/>
                <w:lang w:bidi="he-IL"/>
              </w:rPr>
            </w:pPr>
            <w:r w:rsidRPr="000313F0">
              <w:rPr>
                <w:szCs w:val="22"/>
                <w:lang w:bidi="he-IL"/>
              </w:rPr>
              <w:t>Update HDC on the changes it had put in place since the events of the case</w:t>
            </w:r>
            <w:r w:rsidR="00493E1B">
              <w:rPr>
                <w:szCs w:val="22"/>
                <w:lang w:bidi="he-IL"/>
              </w:rPr>
              <w:t>.</w:t>
            </w:r>
          </w:p>
          <w:p w:rsidR="00A8553C" w:rsidRPr="000313F0" w:rsidRDefault="00A8553C" w:rsidP="001916DC">
            <w:pPr>
              <w:pStyle w:val="Bulletindent"/>
              <w:numPr>
                <w:ilvl w:val="0"/>
                <w:numId w:val="12"/>
              </w:numPr>
              <w:spacing w:after="120"/>
              <w:ind w:left="641" w:hanging="357"/>
              <w:rPr>
                <w:szCs w:val="22"/>
                <w:lang w:bidi="he-IL"/>
              </w:rPr>
            </w:pPr>
            <w:r w:rsidRPr="000313F0">
              <w:rPr>
                <w:szCs w:val="22"/>
                <w:lang w:bidi="he-IL"/>
              </w:rPr>
              <w:t xml:space="preserve">Establish, with the assistance of other DHBs, clear guidelines for the evaluation of living donors, including: what circumstances are required </w:t>
            </w:r>
            <w:r w:rsidRPr="000313F0">
              <w:rPr>
                <w:szCs w:val="22"/>
              </w:rPr>
              <w:t>for evaluations to begin prior to a recipient being accepted onto the deceased donor list; which tests will be completed prior to recipient acceptance; and guidelines around timeframes for completion of tests.</w:t>
            </w:r>
          </w:p>
          <w:p w:rsidR="00A8553C" w:rsidRPr="000313F0" w:rsidRDefault="00A8553C" w:rsidP="001916DC">
            <w:pPr>
              <w:pStyle w:val="Bulletindent"/>
              <w:numPr>
                <w:ilvl w:val="0"/>
                <w:numId w:val="12"/>
              </w:numPr>
              <w:rPr>
                <w:szCs w:val="22"/>
                <w:lang w:bidi="he-IL"/>
              </w:rPr>
            </w:pPr>
            <w:r w:rsidRPr="000313F0">
              <w:rPr>
                <w:szCs w:val="22"/>
              </w:rPr>
              <w:t>Review staffing ratios to ensure that the needs of consumers can be met safely.</w:t>
            </w:r>
          </w:p>
          <w:p w:rsidR="00A8553C" w:rsidRPr="000313F0" w:rsidRDefault="00A8553C" w:rsidP="00A8553C">
            <w:pPr>
              <w:pStyle w:val="Bulletindent"/>
              <w:rPr>
                <w:szCs w:val="22"/>
              </w:rPr>
            </w:pPr>
          </w:p>
          <w:p w:rsidR="00A8553C" w:rsidRDefault="00A8553C" w:rsidP="005864ED">
            <w:pPr>
              <w:pStyle w:val="Bulletindent"/>
              <w:ind w:left="0" w:firstLine="0"/>
              <w:rPr>
                <w:szCs w:val="22"/>
              </w:rPr>
            </w:pPr>
            <w:r w:rsidRPr="000313F0">
              <w:rPr>
                <w:szCs w:val="22"/>
              </w:rPr>
              <w:t>The Commissioner also recommended that another DHB involved in this case establish a system for providing clear and specific instructions at the outset regarding what is necessary for recipient evaluation in circumstances that deviate from the norm (such as dealing with complex and rare diseases), including where certain evaluations may not be required.</w:t>
            </w:r>
          </w:p>
          <w:p w:rsidR="000313F0" w:rsidRDefault="000313F0" w:rsidP="005864ED">
            <w:pPr>
              <w:pStyle w:val="Bulletindent"/>
              <w:ind w:left="0" w:firstLine="0"/>
              <w:rPr>
                <w:szCs w:val="22"/>
              </w:rPr>
            </w:pPr>
          </w:p>
          <w:p w:rsidR="000313F0" w:rsidRPr="000313F0" w:rsidRDefault="000313F0" w:rsidP="005864ED">
            <w:pPr>
              <w:pStyle w:val="Bulletindent"/>
              <w:ind w:left="0" w:firstLine="0"/>
              <w:rPr>
                <w:b/>
                <w:szCs w:val="22"/>
                <w:highlight w:val="yellow"/>
              </w:rPr>
            </w:pPr>
            <w:r>
              <w:rPr>
                <w:szCs w:val="22"/>
              </w:rPr>
              <w:t>These recommendations have been met.</w:t>
            </w:r>
          </w:p>
          <w:p w:rsidR="00947D3E" w:rsidRPr="007B7298" w:rsidRDefault="00947D3E" w:rsidP="0065108F">
            <w:pPr>
              <w:pStyle w:val="Bulletindent"/>
              <w:ind w:left="0" w:firstLine="0"/>
              <w:rPr>
                <w:szCs w:val="22"/>
                <w:highlight w:val="yellow"/>
              </w:rPr>
            </w:pPr>
          </w:p>
          <w:p w:rsidR="00543EC8" w:rsidRPr="007B7298" w:rsidRDefault="00543EC8" w:rsidP="00543EC8">
            <w:pPr>
              <w:pStyle w:val="Bulletindent"/>
              <w:ind w:left="0" w:firstLine="0"/>
              <w:rPr>
                <w:szCs w:val="22"/>
                <w:highlight w:val="yellow"/>
              </w:rPr>
            </w:pPr>
          </w:p>
          <w:p w:rsidR="000313F0" w:rsidRPr="005D7EF3" w:rsidRDefault="002955EE" w:rsidP="002955EE">
            <w:pPr>
              <w:pStyle w:val="Bulletindent"/>
              <w:ind w:left="0" w:firstLine="0"/>
              <w:jc w:val="center"/>
              <w:rPr>
                <w:b/>
                <w:szCs w:val="22"/>
              </w:rPr>
            </w:pPr>
            <w:r w:rsidRPr="005D7EF3">
              <w:rPr>
                <w:b/>
                <w:szCs w:val="22"/>
              </w:rPr>
              <w:t>Recommendations arising from</w:t>
            </w:r>
            <w:r w:rsidR="00493E1B">
              <w:rPr>
                <w:b/>
                <w:szCs w:val="22"/>
              </w:rPr>
              <w:t xml:space="preserve"> a</w:t>
            </w:r>
            <w:r w:rsidRPr="005D7EF3">
              <w:rPr>
                <w:b/>
                <w:szCs w:val="22"/>
              </w:rPr>
              <w:t xml:space="preserve"> breach </w:t>
            </w:r>
            <w:r w:rsidR="00493E1B">
              <w:rPr>
                <w:b/>
                <w:szCs w:val="22"/>
              </w:rPr>
              <w:t xml:space="preserve">of the Code </w:t>
            </w:r>
            <w:r w:rsidRPr="005D7EF3">
              <w:rPr>
                <w:b/>
                <w:szCs w:val="22"/>
              </w:rPr>
              <w:t>relating to</w:t>
            </w:r>
            <w:r w:rsidR="000313F0" w:rsidRPr="005D7EF3">
              <w:rPr>
                <w:b/>
                <w:szCs w:val="22"/>
              </w:rPr>
              <w:t xml:space="preserve"> an inadequate referrals system</w:t>
            </w:r>
            <w:r w:rsidRPr="005D7EF3">
              <w:rPr>
                <w:b/>
                <w:szCs w:val="22"/>
              </w:rPr>
              <w:t xml:space="preserve"> </w:t>
            </w:r>
          </w:p>
          <w:p w:rsidR="002955EE" w:rsidRPr="007B7298" w:rsidRDefault="0065108F" w:rsidP="005D7EF3">
            <w:pPr>
              <w:pStyle w:val="Bulletindent"/>
              <w:ind w:left="0" w:firstLine="0"/>
              <w:jc w:val="center"/>
              <w:rPr>
                <w:b/>
                <w:szCs w:val="22"/>
                <w:highlight w:val="yellow"/>
              </w:rPr>
            </w:pPr>
            <w:r w:rsidRPr="005D7EF3">
              <w:rPr>
                <w:szCs w:val="22"/>
              </w:rPr>
              <w:t>(1</w:t>
            </w:r>
            <w:r w:rsidRPr="005D7EF3">
              <w:t>5HDC01667, 16HDC00035, and 16HDC00328</w:t>
            </w:r>
            <w:r w:rsidR="00947D3E" w:rsidRPr="005D7EF3">
              <w:rPr>
                <w:szCs w:val="22"/>
              </w:rPr>
              <w:t>)</w:t>
            </w:r>
          </w:p>
          <w:p w:rsidR="00947D3E" w:rsidRPr="007B7298" w:rsidRDefault="00947D3E" w:rsidP="00947D3E">
            <w:pPr>
              <w:pStyle w:val="Bulletindent"/>
              <w:ind w:left="0" w:firstLine="0"/>
              <w:rPr>
                <w:b/>
                <w:szCs w:val="22"/>
                <w:highlight w:val="yellow"/>
              </w:rPr>
            </w:pPr>
          </w:p>
          <w:p w:rsidR="000313F0" w:rsidRPr="005D7EF3" w:rsidRDefault="000313F0" w:rsidP="000313F0">
            <w:pPr>
              <w:spacing w:after="240"/>
              <w:rPr>
                <w:szCs w:val="22"/>
              </w:rPr>
            </w:pPr>
            <w:r w:rsidRPr="005D7EF3">
              <w:rPr>
                <w:szCs w:val="22"/>
              </w:rPr>
              <w:t xml:space="preserve">The Commissioner found a DHB in breach of Right 4(1) of the Code for failures in their referrals system in regards to three consumers. The Commissioner considered that the three cases were concerning examples of information being available but not actioned appropriately within the DHB’s system which had a direct impact on the timeliness of the consumers receiving appropriate care. </w:t>
            </w:r>
          </w:p>
          <w:p w:rsidR="000313F0" w:rsidRPr="005D7EF3" w:rsidRDefault="00720DDE" w:rsidP="000313F0">
            <w:pPr>
              <w:keepNext/>
              <w:keepLines/>
              <w:spacing w:after="240"/>
              <w:rPr>
                <w:rFonts w:eastAsia="Arial"/>
                <w:szCs w:val="22"/>
              </w:rPr>
            </w:pPr>
            <w:r w:rsidRPr="005D7EF3">
              <w:rPr>
                <w:rFonts w:eastAsia="Arial"/>
                <w:szCs w:val="22"/>
              </w:rPr>
              <w:lastRenderedPageBreak/>
              <w:t>In response to recommendations made by the Commissioner, the DHB:</w:t>
            </w:r>
          </w:p>
          <w:p w:rsidR="00720DDE" w:rsidRPr="005D7EF3" w:rsidRDefault="00720DDE" w:rsidP="001916DC">
            <w:pPr>
              <w:pStyle w:val="ListParagraph"/>
              <w:keepNext/>
              <w:keepLines/>
              <w:numPr>
                <w:ilvl w:val="0"/>
                <w:numId w:val="13"/>
              </w:numPr>
              <w:spacing w:after="240"/>
              <w:rPr>
                <w:rFonts w:eastAsia="Arial"/>
                <w:szCs w:val="22"/>
              </w:rPr>
            </w:pPr>
            <w:r w:rsidRPr="005D7EF3">
              <w:rPr>
                <w:rFonts w:eastAsia="Arial"/>
                <w:szCs w:val="22"/>
              </w:rPr>
              <w:t>Provided HDC with an update on its progress to move to a fully electronic internal referral system</w:t>
            </w:r>
            <w:r w:rsidR="00493E1B">
              <w:rPr>
                <w:rFonts w:eastAsia="Arial"/>
                <w:szCs w:val="22"/>
              </w:rPr>
              <w:t>.</w:t>
            </w:r>
          </w:p>
          <w:p w:rsidR="00720DDE" w:rsidRPr="005D7EF3" w:rsidRDefault="00720DDE" w:rsidP="001916DC">
            <w:pPr>
              <w:pStyle w:val="ListParagraph"/>
              <w:keepNext/>
              <w:keepLines/>
              <w:numPr>
                <w:ilvl w:val="0"/>
                <w:numId w:val="13"/>
              </w:numPr>
              <w:spacing w:after="240"/>
              <w:rPr>
                <w:rFonts w:eastAsia="Arial"/>
                <w:szCs w:val="22"/>
              </w:rPr>
            </w:pPr>
            <w:r w:rsidRPr="005D7EF3">
              <w:rPr>
                <w:rFonts w:eastAsia="Arial"/>
                <w:szCs w:val="22"/>
              </w:rPr>
              <w:t>Ensured that there was a clear procedure for ensuring that referrals, once received in the Patient Services Centre (PSC) are loaded onto the Patient Information Management System (PIMS) and actioned</w:t>
            </w:r>
            <w:r w:rsidR="00493E1B">
              <w:rPr>
                <w:rFonts w:eastAsia="Arial"/>
                <w:szCs w:val="22"/>
              </w:rPr>
              <w:t>.</w:t>
            </w:r>
          </w:p>
          <w:p w:rsidR="00720DDE" w:rsidRPr="005D7EF3" w:rsidRDefault="00720DDE" w:rsidP="001916DC">
            <w:pPr>
              <w:pStyle w:val="ListParagraph"/>
              <w:keepNext/>
              <w:keepLines/>
              <w:numPr>
                <w:ilvl w:val="0"/>
                <w:numId w:val="13"/>
              </w:numPr>
              <w:spacing w:after="240"/>
              <w:rPr>
                <w:rFonts w:eastAsia="Arial"/>
                <w:szCs w:val="22"/>
              </w:rPr>
            </w:pPr>
            <w:r w:rsidRPr="005D7EF3">
              <w:rPr>
                <w:rFonts w:eastAsia="Arial"/>
                <w:szCs w:val="22"/>
              </w:rPr>
              <w:t xml:space="preserve">Ensured that </w:t>
            </w:r>
            <w:r w:rsidRPr="005D7EF3">
              <w:rPr>
                <w:rFonts w:ascii="Calibri" w:eastAsia="Arial" w:hAnsi="Calibri" w:cstheme="minorBidi"/>
                <w:szCs w:val="22"/>
              </w:rPr>
              <w:t>fundamental changes to key steps in policies are communicated across users</w:t>
            </w:r>
            <w:r w:rsidR="00493E1B">
              <w:rPr>
                <w:rFonts w:ascii="Calibri" w:eastAsia="Arial" w:hAnsi="Calibri" w:cstheme="minorBidi"/>
                <w:szCs w:val="22"/>
              </w:rPr>
              <w:t>.</w:t>
            </w:r>
          </w:p>
          <w:p w:rsidR="00720DDE" w:rsidRPr="005D7EF3" w:rsidRDefault="00720DDE" w:rsidP="001916DC">
            <w:pPr>
              <w:pStyle w:val="ListParagraph"/>
              <w:keepNext/>
              <w:keepLines/>
              <w:numPr>
                <w:ilvl w:val="0"/>
                <w:numId w:val="13"/>
              </w:numPr>
              <w:spacing w:after="240"/>
              <w:rPr>
                <w:rFonts w:eastAsia="Arial"/>
                <w:szCs w:val="22"/>
              </w:rPr>
            </w:pPr>
            <w:r w:rsidRPr="005D7EF3">
              <w:rPr>
                <w:rFonts w:eastAsia="Arial"/>
                <w:szCs w:val="22"/>
              </w:rPr>
              <w:t>Moved away from a system that requires printing of the electronic referrals for grading (with the exception of radiology and maternity)</w:t>
            </w:r>
            <w:r w:rsidR="00493E1B">
              <w:rPr>
                <w:rFonts w:eastAsia="Arial"/>
                <w:szCs w:val="22"/>
              </w:rPr>
              <w:t>.</w:t>
            </w:r>
          </w:p>
          <w:p w:rsidR="00914D68" w:rsidRPr="007B7298" w:rsidRDefault="00914D68" w:rsidP="005D7EF3">
            <w:pPr>
              <w:pStyle w:val="Bulletindent"/>
              <w:ind w:left="0" w:firstLine="0"/>
              <w:rPr>
                <w:szCs w:val="22"/>
                <w:highlight w:val="yellow"/>
              </w:rPr>
            </w:pPr>
          </w:p>
          <w:p w:rsidR="00F70122" w:rsidRDefault="00F70122" w:rsidP="005D7EF3">
            <w:pPr>
              <w:spacing w:after="240"/>
              <w:jc w:val="center"/>
              <w:rPr>
                <w:szCs w:val="22"/>
              </w:rPr>
            </w:pPr>
            <w:r w:rsidRPr="00493E1B">
              <w:rPr>
                <w:b/>
                <w:szCs w:val="22"/>
              </w:rPr>
              <w:t xml:space="preserve">Recommendations arising from </w:t>
            </w:r>
            <w:r w:rsidR="00493E1B" w:rsidRPr="00493E1B">
              <w:rPr>
                <w:b/>
                <w:szCs w:val="22"/>
              </w:rPr>
              <w:t xml:space="preserve">a </w:t>
            </w:r>
            <w:r w:rsidRPr="00493E1B">
              <w:rPr>
                <w:b/>
                <w:szCs w:val="22"/>
              </w:rPr>
              <w:t>breach</w:t>
            </w:r>
            <w:r w:rsidR="00493E1B" w:rsidRPr="00493E1B">
              <w:rPr>
                <w:b/>
                <w:szCs w:val="22"/>
              </w:rPr>
              <w:t xml:space="preserve"> of the Code</w:t>
            </w:r>
            <w:r w:rsidRPr="00493E1B">
              <w:rPr>
                <w:b/>
                <w:szCs w:val="22"/>
              </w:rPr>
              <w:t xml:space="preserve"> </w:t>
            </w:r>
            <w:r w:rsidR="00FF4E65" w:rsidRPr="00493E1B">
              <w:rPr>
                <w:b/>
                <w:szCs w:val="22"/>
              </w:rPr>
              <w:t>relating to</w:t>
            </w:r>
            <w:r w:rsidR="005D7EF3" w:rsidRPr="00493E1B">
              <w:rPr>
                <w:b/>
                <w:szCs w:val="22"/>
              </w:rPr>
              <w:t xml:space="preserve"> </w:t>
            </w:r>
            <w:r w:rsidR="005D7EF3" w:rsidRPr="004C1F77">
              <w:rPr>
                <w:b/>
                <w:szCs w:val="22"/>
              </w:rPr>
              <w:t>failures in ensuring an overseas trained orthopaedic surgeon was fit to practise</w:t>
            </w:r>
            <w:r w:rsidR="005D7EF3" w:rsidRPr="005D7EF3">
              <w:rPr>
                <w:b/>
                <w:sz w:val="24"/>
              </w:rPr>
              <w:br/>
            </w:r>
            <w:r w:rsidR="00FF4E65" w:rsidRPr="005D7EF3">
              <w:rPr>
                <w:szCs w:val="22"/>
              </w:rPr>
              <w:t xml:space="preserve"> </w:t>
            </w:r>
            <w:r w:rsidR="0065108F" w:rsidRPr="005D7EF3">
              <w:rPr>
                <w:szCs w:val="22"/>
              </w:rPr>
              <w:t>(15HDC01280</w:t>
            </w:r>
            <w:r w:rsidR="00B6146C" w:rsidRPr="005D7EF3">
              <w:rPr>
                <w:szCs w:val="22"/>
              </w:rPr>
              <w:t>)</w:t>
            </w:r>
          </w:p>
          <w:p w:rsidR="005D7EF3" w:rsidRPr="005D7EF3" w:rsidRDefault="005D7EF3" w:rsidP="005D7EF3">
            <w:pPr>
              <w:spacing w:after="240"/>
              <w:rPr>
                <w:szCs w:val="22"/>
              </w:rPr>
            </w:pPr>
            <w:r w:rsidRPr="005D7EF3">
              <w:rPr>
                <w:szCs w:val="22"/>
              </w:rPr>
              <w:t>The Commissioner found that for failing to have in place appropriate systems relating to recruitment and complaints management, which amounted to a failure in its duty of care, a DHB failed to provide services with reasonable care and skill in breach of Right 4(1) of the Code</w:t>
            </w:r>
            <w:r w:rsidR="00493E1B">
              <w:rPr>
                <w:szCs w:val="22"/>
              </w:rPr>
              <w:t>.</w:t>
            </w:r>
            <w:r w:rsidRPr="005D7EF3">
              <w:rPr>
                <w:szCs w:val="22"/>
              </w:rPr>
              <w:t xml:space="preserve"> This was evidenced by its lack of care in how it employed the orthopaedic surgeon, most notably for failing to secure a recent reference, and by failing to have in place adequate systems to identify an emerging pattern of concerns, and to enable the appropriate staff to be aware of, and ultimately respond to, that emerging pattern. </w:t>
            </w:r>
          </w:p>
          <w:p w:rsidR="005D7EF3" w:rsidRPr="005D7EF3" w:rsidRDefault="005D7EF3" w:rsidP="005D7EF3">
            <w:pPr>
              <w:spacing w:after="240"/>
              <w:rPr>
                <w:szCs w:val="22"/>
              </w:rPr>
            </w:pPr>
            <w:r w:rsidRPr="005D7EF3">
              <w:rPr>
                <w:szCs w:val="22"/>
              </w:rPr>
              <w:t xml:space="preserve">The Commissioner was also critical of aspects of the DHB’s supervision and monitoring process and its processes around induction and orientation. </w:t>
            </w:r>
          </w:p>
          <w:p w:rsidR="005D7EF3" w:rsidRPr="005D7EF3" w:rsidRDefault="005D7EF3" w:rsidP="005D7EF3">
            <w:pPr>
              <w:spacing w:after="120"/>
              <w:rPr>
                <w:szCs w:val="22"/>
              </w:rPr>
            </w:pPr>
            <w:r w:rsidRPr="005D7EF3">
              <w:rPr>
                <w:szCs w:val="22"/>
              </w:rPr>
              <w:t>The Commissioner asked the DHB to give consideration to the following actions and report back to HDC on the outcome of that consideration:</w:t>
            </w:r>
          </w:p>
          <w:p w:rsidR="005D7EF3" w:rsidRPr="005D7EF3" w:rsidRDefault="005D7EF3" w:rsidP="001916DC">
            <w:pPr>
              <w:pStyle w:val="Bulletitalfinal"/>
              <w:numPr>
                <w:ilvl w:val="0"/>
                <w:numId w:val="14"/>
              </w:numPr>
              <w:rPr>
                <w:rFonts w:asciiTheme="minorHAnsi" w:hAnsiTheme="minorHAnsi"/>
                <w:i w:val="0"/>
                <w:sz w:val="22"/>
                <w:szCs w:val="22"/>
              </w:rPr>
            </w:pPr>
            <w:r w:rsidRPr="005D7EF3">
              <w:rPr>
                <w:rFonts w:asciiTheme="minorHAnsi" w:hAnsiTheme="minorHAnsi"/>
                <w:i w:val="0"/>
                <w:sz w:val="22"/>
                <w:szCs w:val="22"/>
              </w:rPr>
              <w:t>Ensure that policies on recruitment are understood and followed, particularly in relation to the necessity of current referees, and of verbal reference checking – the content of which is fully documented.</w:t>
            </w:r>
          </w:p>
          <w:p w:rsidR="005D7EF3" w:rsidRPr="005D7EF3" w:rsidRDefault="005D7EF3" w:rsidP="001916DC">
            <w:pPr>
              <w:pStyle w:val="Paranumbered"/>
              <w:numPr>
                <w:ilvl w:val="0"/>
                <w:numId w:val="16"/>
              </w:numPr>
              <w:rPr>
                <w:rFonts w:asciiTheme="minorHAnsi" w:hAnsiTheme="minorHAnsi"/>
                <w:sz w:val="22"/>
                <w:szCs w:val="22"/>
              </w:rPr>
            </w:pPr>
            <w:r w:rsidRPr="005D7EF3">
              <w:rPr>
                <w:rFonts w:asciiTheme="minorHAnsi" w:hAnsiTheme="minorHAnsi"/>
                <w:sz w:val="22"/>
                <w:szCs w:val="22"/>
              </w:rPr>
              <w:t>Review the position descriptions of the s</w:t>
            </w:r>
            <w:r w:rsidR="00A80ACA">
              <w:rPr>
                <w:rFonts w:asciiTheme="minorHAnsi" w:hAnsiTheme="minorHAnsi"/>
                <w:sz w:val="22"/>
                <w:szCs w:val="22"/>
              </w:rPr>
              <w:t>ervice manager and clinical lead</w:t>
            </w:r>
            <w:r w:rsidRPr="005D7EF3">
              <w:rPr>
                <w:rFonts w:asciiTheme="minorHAnsi" w:hAnsiTheme="minorHAnsi"/>
                <w:sz w:val="22"/>
                <w:szCs w:val="22"/>
              </w:rPr>
              <w:t xml:space="preserve">er to ensure that both parties understand their responsibilities in respect of recruitment of SMOs, and in particular in respect of </w:t>
            </w:r>
            <w:r w:rsidR="00493E1B">
              <w:rPr>
                <w:rFonts w:asciiTheme="minorHAnsi" w:hAnsiTheme="minorHAnsi"/>
                <w:sz w:val="22"/>
                <w:szCs w:val="22"/>
              </w:rPr>
              <w:t>international medical graduates (</w:t>
            </w:r>
            <w:r w:rsidRPr="005D7EF3">
              <w:rPr>
                <w:rFonts w:asciiTheme="minorHAnsi" w:hAnsiTheme="minorHAnsi"/>
                <w:sz w:val="22"/>
                <w:szCs w:val="22"/>
              </w:rPr>
              <w:t>IMGs</w:t>
            </w:r>
            <w:r w:rsidR="00493E1B">
              <w:rPr>
                <w:rFonts w:asciiTheme="minorHAnsi" w:hAnsiTheme="minorHAnsi"/>
                <w:sz w:val="22"/>
                <w:szCs w:val="22"/>
              </w:rPr>
              <w:t>)</w:t>
            </w:r>
            <w:r w:rsidRPr="005D7EF3">
              <w:rPr>
                <w:rFonts w:asciiTheme="minorHAnsi" w:hAnsiTheme="minorHAnsi"/>
                <w:sz w:val="22"/>
                <w:szCs w:val="22"/>
              </w:rPr>
              <w:t>.</w:t>
            </w:r>
          </w:p>
          <w:p w:rsidR="005D7EF3" w:rsidRPr="005D7EF3" w:rsidRDefault="005D7EF3" w:rsidP="001916DC">
            <w:pPr>
              <w:pStyle w:val="Paranumbered"/>
              <w:numPr>
                <w:ilvl w:val="0"/>
                <w:numId w:val="16"/>
              </w:numPr>
              <w:rPr>
                <w:rFonts w:asciiTheme="minorHAnsi" w:hAnsiTheme="minorHAnsi"/>
                <w:sz w:val="22"/>
                <w:szCs w:val="22"/>
              </w:rPr>
            </w:pPr>
            <w:r w:rsidRPr="005D7EF3">
              <w:rPr>
                <w:rFonts w:asciiTheme="minorHAnsi" w:hAnsiTheme="minorHAnsi"/>
                <w:sz w:val="22"/>
                <w:szCs w:val="22"/>
              </w:rPr>
              <w:t>Ensure that supervisors are aware of their responsibilities in regards to MCNZ’s supervision requirements for IMG locum tenens. Particular care should be taken in respect of any pre-employment concerns such as those indicated in reference checking.</w:t>
            </w:r>
          </w:p>
          <w:p w:rsidR="005D7EF3" w:rsidRPr="005D7EF3" w:rsidRDefault="005D7EF3" w:rsidP="001916DC">
            <w:pPr>
              <w:pStyle w:val="Paranumbered"/>
              <w:numPr>
                <w:ilvl w:val="0"/>
                <w:numId w:val="16"/>
              </w:numPr>
              <w:rPr>
                <w:rFonts w:asciiTheme="minorHAnsi" w:hAnsiTheme="minorHAnsi"/>
                <w:sz w:val="22"/>
                <w:szCs w:val="22"/>
              </w:rPr>
            </w:pPr>
            <w:r w:rsidRPr="005D7EF3">
              <w:rPr>
                <w:rFonts w:asciiTheme="minorHAnsi" w:hAnsiTheme="minorHAnsi"/>
                <w:sz w:val="22"/>
                <w:szCs w:val="22"/>
              </w:rPr>
              <w:t>Ensure that complaints regarding clinical staff are shared with relevant professional clinical leaders, who in turn should contribute to the response.</w:t>
            </w:r>
          </w:p>
          <w:p w:rsidR="005D7EF3" w:rsidRPr="005D7EF3" w:rsidRDefault="005D7EF3" w:rsidP="001916DC">
            <w:pPr>
              <w:pStyle w:val="Paranumbered"/>
              <w:numPr>
                <w:ilvl w:val="0"/>
                <w:numId w:val="16"/>
              </w:numPr>
              <w:rPr>
                <w:rFonts w:asciiTheme="minorHAnsi" w:hAnsiTheme="minorHAnsi"/>
                <w:sz w:val="22"/>
                <w:szCs w:val="22"/>
              </w:rPr>
            </w:pPr>
            <w:r w:rsidRPr="005D7EF3">
              <w:rPr>
                <w:rFonts w:asciiTheme="minorHAnsi" w:hAnsiTheme="minorHAnsi"/>
                <w:sz w:val="22"/>
                <w:szCs w:val="22"/>
              </w:rPr>
              <w:t xml:space="preserve">Ensure that data regarding number of complaints by individual practitioners is monitored and, where there are more than two complaints in one year, or three in total, then consideration is given to further investigation and, as appropriate, performance management.  </w:t>
            </w:r>
          </w:p>
          <w:p w:rsidR="005D7EF3" w:rsidRPr="005D7EF3" w:rsidRDefault="005D7EF3" w:rsidP="001916DC">
            <w:pPr>
              <w:pStyle w:val="Bulletitalfinal"/>
              <w:numPr>
                <w:ilvl w:val="0"/>
                <w:numId w:val="14"/>
              </w:numPr>
              <w:rPr>
                <w:rFonts w:asciiTheme="minorHAnsi" w:hAnsiTheme="minorHAnsi"/>
                <w:i w:val="0"/>
                <w:sz w:val="22"/>
                <w:szCs w:val="22"/>
              </w:rPr>
            </w:pPr>
            <w:r w:rsidRPr="005D7EF3">
              <w:rPr>
                <w:rFonts w:asciiTheme="minorHAnsi" w:hAnsiTheme="minorHAnsi"/>
                <w:i w:val="0"/>
                <w:sz w:val="22"/>
                <w:szCs w:val="22"/>
              </w:rPr>
              <w:t xml:space="preserve">Link complaints to adverse events in their incident reporting system, and provide reports to clinical leaders and management, who in turn should take joint responsibility for the review </w:t>
            </w:r>
            <w:r w:rsidRPr="005D7EF3">
              <w:rPr>
                <w:rFonts w:asciiTheme="minorHAnsi" w:hAnsiTheme="minorHAnsi"/>
                <w:i w:val="0"/>
                <w:sz w:val="22"/>
                <w:szCs w:val="22"/>
              </w:rPr>
              <w:lastRenderedPageBreak/>
              <w:t xml:space="preserve">and resultant actions. </w:t>
            </w:r>
          </w:p>
          <w:p w:rsidR="005D7EF3" w:rsidRPr="005D7EF3" w:rsidRDefault="005D7EF3" w:rsidP="001916DC">
            <w:pPr>
              <w:pStyle w:val="Bulletitalfinal"/>
              <w:numPr>
                <w:ilvl w:val="0"/>
                <w:numId w:val="14"/>
              </w:numPr>
              <w:rPr>
                <w:rFonts w:asciiTheme="minorHAnsi" w:hAnsiTheme="minorHAnsi"/>
                <w:i w:val="0"/>
                <w:sz w:val="22"/>
                <w:szCs w:val="22"/>
              </w:rPr>
            </w:pPr>
            <w:r w:rsidRPr="005D7EF3">
              <w:rPr>
                <w:rFonts w:asciiTheme="minorHAnsi" w:hAnsiTheme="minorHAnsi"/>
                <w:i w:val="0"/>
                <w:sz w:val="22"/>
                <w:szCs w:val="22"/>
              </w:rPr>
              <w:t>Consider a formal policy for annual performance appraisal/professional development for all SMOs, and develop a process whereby anonymous multisource feedback can be used in providing feedback about performance</w:t>
            </w:r>
            <w:r w:rsidR="00493E1B">
              <w:rPr>
                <w:rFonts w:asciiTheme="minorHAnsi" w:hAnsiTheme="minorHAnsi"/>
                <w:i w:val="0"/>
                <w:sz w:val="22"/>
                <w:szCs w:val="22"/>
              </w:rPr>
              <w:t>.</w:t>
            </w:r>
          </w:p>
          <w:p w:rsidR="005D7EF3" w:rsidRPr="005D7EF3" w:rsidRDefault="005D7EF3" w:rsidP="001916DC">
            <w:pPr>
              <w:pStyle w:val="Paranumbered"/>
              <w:numPr>
                <w:ilvl w:val="0"/>
                <w:numId w:val="17"/>
              </w:numPr>
              <w:rPr>
                <w:rFonts w:asciiTheme="minorHAnsi" w:hAnsiTheme="minorHAnsi"/>
                <w:sz w:val="22"/>
                <w:szCs w:val="22"/>
              </w:rPr>
            </w:pPr>
            <w:r w:rsidRPr="005D7EF3">
              <w:rPr>
                <w:rFonts w:asciiTheme="minorHAnsi" w:hAnsiTheme="minorHAnsi"/>
                <w:sz w:val="22"/>
                <w:szCs w:val="22"/>
              </w:rPr>
              <w:t xml:space="preserve">Consider peer support/mentoring, independent of clinical supervision, for all IMGs in their first year </w:t>
            </w:r>
            <w:r w:rsidR="00493E1B">
              <w:rPr>
                <w:rFonts w:asciiTheme="minorHAnsi" w:hAnsiTheme="minorHAnsi"/>
                <w:sz w:val="22"/>
                <w:szCs w:val="22"/>
              </w:rPr>
              <w:t>of</w:t>
            </w:r>
            <w:r w:rsidR="00493E1B" w:rsidRPr="005D7EF3">
              <w:rPr>
                <w:rFonts w:asciiTheme="minorHAnsi" w:hAnsiTheme="minorHAnsi"/>
                <w:sz w:val="22"/>
                <w:szCs w:val="22"/>
              </w:rPr>
              <w:t xml:space="preserve"> </w:t>
            </w:r>
            <w:r w:rsidRPr="005D7EF3">
              <w:rPr>
                <w:rFonts w:asciiTheme="minorHAnsi" w:hAnsiTheme="minorHAnsi"/>
                <w:sz w:val="22"/>
                <w:szCs w:val="22"/>
              </w:rPr>
              <w:t>employment</w:t>
            </w:r>
            <w:r w:rsidR="00493E1B">
              <w:rPr>
                <w:rFonts w:asciiTheme="minorHAnsi" w:hAnsiTheme="minorHAnsi"/>
                <w:sz w:val="22"/>
                <w:szCs w:val="22"/>
              </w:rPr>
              <w:t>.</w:t>
            </w:r>
          </w:p>
          <w:p w:rsidR="005D7EF3" w:rsidRPr="005D7EF3" w:rsidRDefault="005D7EF3" w:rsidP="001916DC">
            <w:pPr>
              <w:pStyle w:val="Paranumbered"/>
              <w:numPr>
                <w:ilvl w:val="0"/>
                <w:numId w:val="17"/>
              </w:numPr>
              <w:rPr>
                <w:rFonts w:asciiTheme="minorHAnsi" w:hAnsiTheme="minorHAnsi"/>
                <w:sz w:val="22"/>
                <w:szCs w:val="22"/>
              </w:rPr>
            </w:pPr>
            <w:r w:rsidRPr="005D7EF3">
              <w:rPr>
                <w:rFonts w:asciiTheme="minorHAnsi" w:hAnsiTheme="minorHAnsi"/>
                <w:sz w:val="22"/>
                <w:szCs w:val="22"/>
              </w:rPr>
              <w:t>Provide clinical leadership training for all clinicians in responsible roles</w:t>
            </w:r>
            <w:r w:rsidR="00493E1B">
              <w:rPr>
                <w:rFonts w:asciiTheme="minorHAnsi" w:hAnsiTheme="minorHAnsi"/>
                <w:sz w:val="22"/>
                <w:szCs w:val="22"/>
              </w:rPr>
              <w:t>.</w:t>
            </w:r>
          </w:p>
          <w:p w:rsidR="005D7EF3" w:rsidRDefault="005D7EF3" w:rsidP="001916DC">
            <w:pPr>
              <w:pStyle w:val="Paranumbered"/>
              <w:numPr>
                <w:ilvl w:val="0"/>
                <w:numId w:val="17"/>
              </w:numPr>
              <w:rPr>
                <w:rFonts w:asciiTheme="minorHAnsi" w:hAnsiTheme="minorHAnsi"/>
                <w:sz w:val="22"/>
                <w:szCs w:val="22"/>
              </w:rPr>
            </w:pPr>
            <w:r w:rsidRPr="005D7EF3">
              <w:rPr>
                <w:rFonts w:asciiTheme="minorHAnsi" w:hAnsiTheme="minorHAnsi"/>
                <w:sz w:val="22"/>
                <w:szCs w:val="22"/>
              </w:rPr>
              <w:t>Consider performing yearly review of credentials for all IMG SMO appointments.</w:t>
            </w:r>
          </w:p>
          <w:p w:rsidR="00F70122" w:rsidRPr="005D7EF3" w:rsidRDefault="005D7EF3" w:rsidP="005D7EF3">
            <w:pPr>
              <w:pStyle w:val="Paranumbered"/>
              <w:ind w:firstLine="0"/>
              <w:rPr>
                <w:rFonts w:asciiTheme="minorHAnsi" w:hAnsiTheme="minorHAnsi"/>
                <w:sz w:val="22"/>
                <w:szCs w:val="22"/>
              </w:rPr>
            </w:pPr>
            <w:r>
              <w:rPr>
                <w:rFonts w:asciiTheme="minorHAnsi" w:hAnsiTheme="minorHAnsi"/>
                <w:sz w:val="22"/>
                <w:szCs w:val="22"/>
              </w:rPr>
              <w:t>These recommendations have been met.</w:t>
            </w:r>
          </w:p>
        </w:tc>
      </w:tr>
    </w:tbl>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200C04" w:rsidRPr="00666BAC" w:rsidRDefault="00200C04" w:rsidP="00200C04"/>
    <w:p w:rsidR="0013534C" w:rsidRPr="00666BAC" w:rsidRDefault="0013534C" w:rsidP="008338EC">
      <w:pPr>
        <w:spacing w:after="240"/>
        <w:jc w:val="left"/>
      </w:pPr>
    </w:p>
    <w:sectPr w:rsidR="0013534C" w:rsidRPr="00666BAC" w:rsidSect="00C84335">
      <w:footerReference w:type="even" r:id="rId22"/>
      <w:footerReference w:type="first" r:id="rId23"/>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48" w:rsidRDefault="00FD4048">
      <w:r>
        <w:separator/>
      </w:r>
    </w:p>
  </w:endnote>
  <w:endnote w:type="continuationSeparator" w:id="0">
    <w:p w:rsidR="00FD4048" w:rsidRDefault="00FD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Default="00FD4048" w:rsidP="004510F1">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CF696F">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Default="00FD4048" w:rsidP="00D30C2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Default="00FD40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Pr="00F535C5" w:rsidRDefault="00FD4048" w:rsidP="00F535C5">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CF696F">
      <w:rPr>
        <w:noProof/>
        <w:szCs w:val="22"/>
      </w:rPr>
      <w:t>i</w:t>
    </w:r>
    <w:r w:rsidRPr="00166DD6">
      <w:rPr>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Pr="00C84335" w:rsidRDefault="00CF696F" w:rsidP="006D0724">
    <w:pPr>
      <w:pStyle w:val="Footer"/>
      <w:jc w:val="left"/>
    </w:pPr>
    <w:sdt>
      <w:sdtPr>
        <w:id w:val="-1269231132"/>
        <w:docPartObj>
          <w:docPartGallery w:val="Page Numbers (Bottom of Page)"/>
          <w:docPartUnique/>
        </w:docPartObj>
      </w:sdtPr>
      <w:sdtEndPr>
        <w:rPr>
          <w:noProof/>
        </w:rPr>
      </w:sdtEndPr>
      <w:sdtContent>
        <w:r w:rsidR="00FD4048">
          <w:tab/>
        </w:r>
        <w:r w:rsidR="00FD4048">
          <w:tab/>
        </w:r>
        <w:r w:rsidR="00FD4048">
          <w:tab/>
        </w:r>
        <w:r w:rsidR="00FD4048">
          <w:fldChar w:fldCharType="begin"/>
        </w:r>
        <w:r w:rsidR="00FD4048">
          <w:instrText xml:space="preserve"> PAGE   \* MERGEFORMAT </w:instrText>
        </w:r>
        <w:r w:rsidR="00FD4048">
          <w:fldChar w:fldCharType="separate"/>
        </w:r>
        <w:r>
          <w:rPr>
            <w:noProof/>
          </w:rPr>
          <w:t>5</w:t>
        </w:r>
        <w:r w:rsidR="00FD4048">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Pr="00C84335" w:rsidRDefault="00FD4048" w:rsidP="00C84335">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CF696F">
      <w:rPr>
        <w:noProof/>
        <w:szCs w:val="22"/>
      </w:rPr>
      <w:t>4</w:t>
    </w:r>
    <w:r w:rsidRPr="0073317F">
      <w:rPr>
        <w:szCs w:val="22"/>
      </w:rPr>
      <w:fldChar w:fldCharType="end"/>
    </w:r>
    <w:r>
      <w:rPr>
        <w:szCs w:val="22"/>
      </w:rPr>
      <w:t xml:space="preserve"> </w:t>
    </w:r>
    <w:r>
      <w:rPr>
        <w:szCs w:val="22"/>
      </w:rPr>
      <w:tab/>
    </w:r>
    <w:r>
      <w:rPr>
        <w:szCs w:val="22"/>
      </w:rPr>
      <w:tab/>
    </w:r>
    <w:r>
      <w:rPr>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FD4048" w:rsidRDefault="00FD4048" w:rsidP="00C84335">
        <w:pPr>
          <w:pStyle w:val="Footer"/>
          <w:jc w:val="both"/>
        </w:pPr>
        <w:r>
          <w:rPr>
            <w:sz w:val="18"/>
            <w:szCs w:val="18"/>
          </w:rPr>
          <w:tab/>
        </w:r>
        <w:r>
          <w:rPr>
            <w:sz w:val="18"/>
            <w:szCs w:val="18"/>
          </w:rPr>
          <w:tab/>
        </w:r>
        <w:r>
          <w:rPr>
            <w:sz w:val="18"/>
            <w:szCs w:val="18"/>
          </w:rPr>
          <w:tab/>
        </w:r>
        <w:r>
          <w:fldChar w:fldCharType="begin"/>
        </w:r>
        <w:r>
          <w:instrText xml:space="preserve"> PAGE   \* MERGEFORMAT </w:instrText>
        </w:r>
        <w:r>
          <w:fldChar w:fldCharType="separate"/>
        </w:r>
        <w:r w:rsidR="00CF696F">
          <w:rPr>
            <w:noProof/>
          </w:rPr>
          <w:t>1</w:t>
        </w:r>
        <w:r>
          <w:rPr>
            <w:noProof/>
          </w:rPr>
          <w:fldChar w:fldCharType="end"/>
        </w:r>
      </w:p>
    </w:sdtContent>
  </w:sdt>
  <w:p w:rsidR="00FD4048" w:rsidRPr="00C84335" w:rsidRDefault="00FD4048" w:rsidP="00C84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48" w:rsidRDefault="00FD4048">
      <w:r>
        <w:separator/>
      </w:r>
    </w:p>
  </w:footnote>
  <w:footnote w:type="continuationSeparator" w:id="0">
    <w:p w:rsidR="00FD4048" w:rsidRDefault="00FD4048">
      <w:r>
        <w:continuationSeparator/>
      </w:r>
    </w:p>
  </w:footnote>
  <w:footnote w:id="1">
    <w:p w:rsidR="00FD4048" w:rsidRPr="009879C9" w:rsidRDefault="00FD4048">
      <w:pPr>
        <w:pStyle w:val="FootnoteText"/>
        <w:rPr>
          <w:lang w:val="en-US"/>
        </w:rPr>
      </w:pPr>
      <w:r>
        <w:rPr>
          <w:rStyle w:val="FootnoteReference"/>
        </w:rPr>
        <w:footnoteRef/>
      </w:r>
      <w:r>
        <w:t xml:space="preserve"> </w:t>
      </w:r>
      <w:r w:rsidRPr="00ED614C">
        <w:rPr>
          <w:lang w:val="en-US"/>
        </w:rPr>
        <w:t>Provisional as of date of</w:t>
      </w:r>
      <w:r>
        <w:rPr>
          <w:lang w:val="en-US"/>
        </w:rPr>
        <w:t xml:space="preserve"> extraction, 14 August 2018</w:t>
      </w:r>
      <w:r w:rsidRPr="00ED614C">
        <w:rPr>
          <w:lang w:val="en-US"/>
        </w:rPr>
        <w:t>.</w:t>
      </w:r>
    </w:p>
  </w:footnote>
  <w:footnote w:id="2">
    <w:p w:rsidR="00FD4048" w:rsidRDefault="00FD4048" w:rsidP="00B47977">
      <w:pPr>
        <w:pStyle w:val="FootnoteText"/>
      </w:pPr>
      <w:r>
        <w:rPr>
          <w:rStyle w:val="FootnoteReference"/>
        </w:rPr>
        <w:footnoteRef/>
      </w:r>
      <w:r>
        <w:t xml:space="preserve"> Provisional as at the date of extraction, 14 September 2018.</w:t>
      </w:r>
    </w:p>
  </w:footnote>
  <w:footnote w:id="3">
    <w:p w:rsidR="00FD4048" w:rsidRPr="00BA11E1" w:rsidRDefault="00FD4048" w:rsidP="00B47977">
      <w:pPr>
        <w:rPr>
          <w:sz w:val="20"/>
          <w:szCs w:val="20"/>
        </w:rPr>
      </w:pPr>
      <w:r w:rsidRPr="00BA11E1">
        <w:rPr>
          <w:rStyle w:val="FootnoteReference"/>
          <w:sz w:val="20"/>
          <w:szCs w:val="20"/>
        </w:rPr>
        <w:footnoteRef/>
      </w:r>
      <w:r w:rsidRPr="00BA11E1">
        <w:rPr>
          <w:sz w:val="20"/>
          <w:szCs w:val="20"/>
        </w:rPr>
        <w:t>For example, the discharge data excludes short stay emergency department discharges, and patients attending outpatient units and clinics.</w:t>
      </w:r>
    </w:p>
    <w:p w:rsidR="00FD4048" w:rsidRDefault="00FD4048" w:rsidP="00B479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Default="00FD4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Default="00FD4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8" w:rsidRDefault="00FD4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92A"/>
    <w:multiLevelType w:val="hybridMultilevel"/>
    <w:tmpl w:val="30442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D42518"/>
    <w:multiLevelType w:val="hybridMultilevel"/>
    <w:tmpl w:val="A2447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C8F4F72"/>
    <w:multiLevelType w:val="hybridMultilevel"/>
    <w:tmpl w:val="3E84A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4">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55F3436"/>
    <w:multiLevelType w:val="hybridMultilevel"/>
    <w:tmpl w:val="CEB481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80557CB"/>
    <w:multiLevelType w:val="hybridMultilevel"/>
    <w:tmpl w:val="9ED8324C"/>
    <w:lvl w:ilvl="0" w:tplc="A5C64EA8">
      <w:start w:val="1"/>
      <w:numFmt w:val="bullet"/>
      <w:lvlText w:val=""/>
      <w:lvlJc w:val="left"/>
      <w:pPr>
        <w:ind w:left="644" w:hanging="360"/>
      </w:pPr>
      <w:rPr>
        <w:rFonts w:ascii="Symbol" w:hAnsi="Symbol" w:hint="default"/>
        <w:b w:val="0"/>
        <w:i w:val="0"/>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330817"/>
    <w:multiLevelType w:val="hybridMultilevel"/>
    <w:tmpl w:val="49D4D23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D0869EF"/>
    <w:multiLevelType w:val="hybridMultilevel"/>
    <w:tmpl w:val="85D00CC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nsid w:val="54865856"/>
    <w:multiLevelType w:val="hybridMultilevel"/>
    <w:tmpl w:val="2D8CA4C2"/>
    <w:lvl w:ilvl="0" w:tplc="A5C64EA8">
      <w:start w:val="1"/>
      <w:numFmt w:val="bullet"/>
      <w:lvlText w:val=""/>
      <w:lvlJc w:val="left"/>
      <w:pPr>
        <w:ind w:left="644" w:hanging="360"/>
      </w:pPr>
      <w:rPr>
        <w:rFonts w:ascii="Symbol" w:hAnsi="Symbol" w:hint="default"/>
        <w:b w:val="0"/>
        <w:i w:val="0"/>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nsid w:val="56606EC2"/>
    <w:multiLevelType w:val="hybridMultilevel"/>
    <w:tmpl w:val="9ED03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0EF4236"/>
    <w:multiLevelType w:val="hybridMultilevel"/>
    <w:tmpl w:val="A1748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1534D0D"/>
    <w:multiLevelType w:val="hybridMultilevel"/>
    <w:tmpl w:val="3EB06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3EE45F9"/>
    <w:multiLevelType w:val="hybridMultilevel"/>
    <w:tmpl w:val="93360800"/>
    <w:lvl w:ilvl="0" w:tplc="A5C64EA8">
      <w:start w:val="1"/>
      <w:numFmt w:val="bullet"/>
      <w:lvlText w:val=""/>
      <w:lvlJc w:val="left"/>
      <w:pPr>
        <w:ind w:left="644" w:hanging="360"/>
      </w:pPr>
      <w:rPr>
        <w:rFonts w:ascii="Symbol" w:hAnsi="Symbol" w:hint="default"/>
        <w:b w:val="0"/>
        <w:i w:val="0"/>
        <w:sz w:val="24"/>
        <w:szCs w:val="24"/>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abstractNum w:abstractNumId="16">
    <w:nsid w:val="7EF30784"/>
    <w:multiLevelType w:val="hybridMultilevel"/>
    <w:tmpl w:val="E0A83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2"/>
  </w:num>
  <w:num w:numId="5">
    <w:abstractNumId w:val="13"/>
  </w:num>
  <w:num w:numId="6">
    <w:abstractNumId w:val="0"/>
  </w:num>
  <w:num w:numId="7">
    <w:abstractNumId w:val="4"/>
  </w:num>
  <w:num w:numId="8">
    <w:abstractNumId w:val="8"/>
  </w:num>
  <w:num w:numId="9">
    <w:abstractNumId w:val="1"/>
  </w:num>
  <w:num w:numId="10">
    <w:abstractNumId w:val="3"/>
  </w:num>
  <w:num w:numId="11">
    <w:abstractNumId w:val="9"/>
  </w:num>
  <w:num w:numId="12">
    <w:abstractNumId w:val="6"/>
  </w:num>
  <w:num w:numId="13">
    <w:abstractNumId w:val="10"/>
  </w:num>
  <w:num w:numId="14">
    <w:abstractNumId w:val="16"/>
  </w:num>
  <w:num w:numId="15">
    <w:abstractNumId w:val="7"/>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51A4"/>
    <w:rsid w:val="000055C3"/>
    <w:rsid w:val="0000669A"/>
    <w:rsid w:val="000067BD"/>
    <w:rsid w:val="0000680B"/>
    <w:rsid w:val="00006FCF"/>
    <w:rsid w:val="0000705D"/>
    <w:rsid w:val="000076F1"/>
    <w:rsid w:val="00007766"/>
    <w:rsid w:val="00007796"/>
    <w:rsid w:val="00010801"/>
    <w:rsid w:val="000109CA"/>
    <w:rsid w:val="00010FC7"/>
    <w:rsid w:val="00011224"/>
    <w:rsid w:val="00011494"/>
    <w:rsid w:val="000115AC"/>
    <w:rsid w:val="000115BC"/>
    <w:rsid w:val="00011652"/>
    <w:rsid w:val="00011D83"/>
    <w:rsid w:val="000123F2"/>
    <w:rsid w:val="0001264B"/>
    <w:rsid w:val="000128B9"/>
    <w:rsid w:val="00012B15"/>
    <w:rsid w:val="00012D8B"/>
    <w:rsid w:val="000141AA"/>
    <w:rsid w:val="00014260"/>
    <w:rsid w:val="00014AD9"/>
    <w:rsid w:val="00015355"/>
    <w:rsid w:val="00015BA0"/>
    <w:rsid w:val="00015EBA"/>
    <w:rsid w:val="0001684E"/>
    <w:rsid w:val="000169F6"/>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891"/>
    <w:rsid w:val="00025BCA"/>
    <w:rsid w:val="00025D53"/>
    <w:rsid w:val="0002626E"/>
    <w:rsid w:val="000265B8"/>
    <w:rsid w:val="0002668A"/>
    <w:rsid w:val="00026948"/>
    <w:rsid w:val="00026AD1"/>
    <w:rsid w:val="00027A68"/>
    <w:rsid w:val="00027AC7"/>
    <w:rsid w:val="000301DE"/>
    <w:rsid w:val="00030722"/>
    <w:rsid w:val="000308B4"/>
    <w:rsid w:val="00030C45"/>
    <w:rsid w:val="0003102D"/>
    <w:rsid w:val="000311DA"/>
    <w:rsid w:val="0003129A"/>
    <w:rsid w:val="000313F0"/>
    <w:rsid w:val="00031901"/>
    <w:rsid w:val="00031D61"/>
    <w:rsid w:val="00031DE0"/>
    <w:rsid w:val="00032776"/>
    <w:rsid w:val="000337C0"/>
    <w:rsid w:val="00034D18"/>
    <w:rsid w:val="0003538F"/>
    <w:rsid w:val="000353B9"/>
    <w:rsid w:val="00035822"/>
    <w:rsid w:val="0003645A"/>
    <w:rsid w:val="000367C1"/>
    <w:rsid w:val="00036995"/>
    <w:rsid w:val="00036C5B"/>
    <w:rsid w:val="00036CB3"/>
    <w:rsid w:val="00036E3A"/>
    <w:rsid w:val="0003725E"/>
    <w:rsid w:val="000373A9"/>
    <w:rsid w:val="0004080E"/>
    <w:rsid w:val="00040C12"/>
    <w:rsid w:val="00040FD3"/>
    <w:rsid w:val="00041359"/>
    <w:rsid w:val="0004197F"/>
    <w:rsid w:val="00041FFF"/>
    <w:rsid w:val="00042551"/>
    <w:rsid w:val="00042B9A"/>
    <w:rsid w:val="00042FD5"/>
    <w:rsid w:val="000431EE"/>
    <w:rsid w:val="000462E4"/>
    <w:rsid w:val="0004631F"/>
    <w:rsid w:val="00046900"/>
    <w:rsid w:val="00046972"/>
    <w:rsid w:val="00046B42"/>
    <w:rsid w:val="00046D31"/>
    <w:rsid w:val="00046FD4"/>
    <w:rsid w:val="00047495"/>
    <w:rsid w:val="00047E9D"/>
    <w:rsid w:val="000501C9"/>
    <w:rsid w:val="0005026E"/>
    <w:rsid w:val="000503B2"/>
    <w:rsid w:val="00050671"/>
    <w:rsid w:val="000506C1"/>
    <w:rsid w:val="00050A60"/>
    <w:rsid w:val="00050B16"/>
    <w:rsid w:val="0005117B"/>
    <w:rsid w:val="000518B0"/>
    <w:rsid w:val="00051E67"/>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134"/>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8B9"/>
    <w:rsid w:val="00066B64"/>
    <w:rsid w:val="000677CD"/>
    <w:rsid w:val="00067BB8"/>
    <w:rsid w:val="00070288"/>
    <w:rsid w:val="0007040F"/>
    <w:rsid w:val="00070776"/>
    <w:rsid w:val="00071171"/>
    <w:rsid w:val="000713E8"/>
    <w:rsid w:val="00072A8C"/>
    <w:rsid w:val="000730B6"/>
    <w:rsid w:val="000730EA"/>
    <w:rsid w:val="0007322F"/>
    <w:rsid w:val="00073557"/>
    <w:rsid w:val="00073996"/>
    <w:rsid w:val="0007467F"/>
    <w:rsid w:val="00074772"/>
    <w:rsid w:val="00074D9E"/>
    <w:rsid w:val="000753FC"/>
    <w:rsid w:val="00075AEB"/>
    <w:rsid w:val="00075D76"/>
    <w:rsid w:val="00076965"/>
    <w:rsid w:val="00076CD6"/>
    <w:rsid w:val="0007714A"/>
    <w:rsid w:val="0007730F"/>
    <w:rsid w:val="00077FA0"/>
    <w:rsid w:val="000801BA"/>
    <w:rsid w:val="00080564"/>
    <w:rsid w:val="0008104A"/>
    <w:rsid w:val="0008260F"/>
    <w:rsid w:val="00082689"/>
    <w:rsid w:val="00082D18"/>
    <w:rsid w:val="00082F8E"/>
    <w:rsid w:val="00083747"/>
    <w:rsid w:val="0008411C"/>
    <w:rsid w:val="00084421"/>
    <w:rsid w:val="00084889"/>
    <w:rsid w:val="00084AFE"/>
    <w:rsid w:val="00084F39"/>
    <w:rsid w:val="000854AE"/>
    <w:rsid w:val="000855C3"/>
    <w:rsid w:val="00085D73"/>
    <w:rsid w:val="00086010"/>
    <w:rsid w:val="00086FE8"/>
    <w:rsid w:val="000872CE"/>
    <w:rsid w:val="00090868"/>
    <w:rsid w:val="000908F1"/>
    <w:rsid w:val="00090A30"/>
    <w:rsid w:val="00091C97"/>
    <w:rsid w:val="00092313"/>
    <w:rsid w:val="0009255E"/>
    <w:rsid w:val="0009284C"/>
    <w:rsid w:val="00094A1C"/>
    <w:rsid w:val="00095164"/>
    <w:rsid w:val="0009557D"/>
    <w:rsid w:val="0009576A"/>
    <w:rsid w:val="00095820"/>
    <w:rsid w:val="00095BEA"/>
    <w:rsid w:val="000965D1"/>
    <w:rsid w:val="00096A15"/>
    <w:rsid w:val="00096A29"/>
    <w:rsid w:val="000972DA"/>
    <w:rsid w:val="00097461"/>
    <w:rsid w:val="00097866"/>
    <w:rsid w:val="00097989"/>
    <w:rsid w:val="00097A0C"/>
    <w:rsid w:val="000A05BD"/>
    <w:rsid w:val="000A0BCE"/>
    <w:rsid w:val="000A0DE1"/>
    <w:rsid w:val="000A12CF"/>
    <w:rsid w:val="000A1A8B"/>
    <w:rsid w:val="000A1BEC"/>
    <w:rsid w:val="000A2018"/>
    <w:rsid w:val="000A29A6"/>
    <w:rsid w:val="000A31ED"/>
    <w:rsid w:val="000A4738"/>
    <w:rsid w:val="000A56F4"/>
    <w:rsid w:val="000A585E"/>
    <w:rsid w:val="000A5B4C"/>
    <w:rsid w:val="000A5D7C"/>
    <w:rsid w:val="000A5D8F"/>
    <w:rsid w:val="000A6275"/>
    <w:rsid w:val="000A67C1"/>
    <w:rsid w:val="000A718B"/>
    <w:rsid w:val="000A72CC"/>
    <w:rsid w:val="000B048F"/>
    <w:rsid w:val="000B0789"/>
    <w:rsid w:val="000B07E5"/>
    <w:rsid w:val="000B081D"/>
    <w:rsid w:val="000B0A4D"/>
    <w:rsid w:val="000B0B46"/>
    <w:rsid w:val="000B158B"/>
    <w:rsid w:val="000B1842"/>
    <w:rsid w:val="000B2764"/>
    <w:rsid w:val="000B34CD"/>
    <w:rsid w:val="000B3A1D"/>
    <w:rsid w:val="000B44DD"/>
    <w:rsid w:val="000B485A"/>
    <w:rsid w:val="000B49EA"/>
    <w:rsid w:val="000B52C6"/>
    <w:rsid w:val="000B5334"/>
    <w:rsid w:val="000B58E0"/>
    <w:rsid w:val="000B5936"/>
    <w:rsid w:val="000B5E01"/>
    <w:rsid w:val="000B676C"/>
    <w:rsid w:val="000B6EB6"/>
    <w:rsid w:val="000B7183"/>
    <w:rsid w:val="000B74C7"/>
    <w:rsid w:val="000B7877"/>
    <w:rsid w:val="000B791B"/>
    <w:rsid w:val="000B7CAA"/>
    <w:rsid w:val="000C006A"/>
    <w:rsid w:val="000C0577"/>
    <w:rsid w:val="000C126F"/>
    <w:rsid w:val="000C178F"/>
    <w:rsid w:val="000C1E4F"/>
    <w:rsid w:val="000C2191"/>
    <w:rsid w:val="000C2361"/>
    <w:rsid w:val="000C26FB"/>
    <w:rsid w:val="000C277A"/>
    <w:rsid w:val="000C278C"/>
    <w:rsid w:val="000C3003"/>
    <w:rsid w:val="000C30B7"/>
    <w:rsid w:val="000C39A4"/>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532"/>
    <w:rsid w:val="000D092E"/>
    <w:rsid w:val="000D0D19"/>
    <w:rsid w:val="000D1E68"/>
    <w:rsid w:val="000D21AD"/>
    <w:rsid w:val="000D2451"/>
    <w:rsid w:val="000D256D"/>
    <w:rsid w:val="000D29B8"/>
    <w:rsid w:val="000D2D59"/>
    <w:rsid w:val="000D336E"/>
    <w:rsid w:val="000D35F2"/>
    <w:rsid w:val="000D3976"/>
    <w:rsid w:val="000D488E"/>
    <w:rsid w:val="000D49F9"/>
    <w:rsid w:val="000D4DFF"/>
    <w:rsid w:val="000D52E0"/>
    <w:rsid w:val="000D5354"/>
    <w:rsid w:val="000D5D72"/>
    <w:rsid w:val="000D6FC7"/>
    <w:rsid w:val="000D751E"/>
    <w:rsid w:val="000D77DE"/>
    <w:rsid w:val="000D7AE3"/>
    <w:rsid w:val="000D7F2F"/>
    <w:rsid w:val="000E0739"/>
    <w:rsid w:val="000E07E3"/>
    <w:rsid w:val="000E13C5"/>
    <w:rsid w:val="000E1F92"/>
    <w:rsid w:val="000E1FC0"/>
    <w:rsid w:val="000E25C2"/>
    <w:rsid w:val="000E2832"/>
    <w:rsid w:val="000E2BBD"/>
    <w:rsid w:val="000E301E"/>
    <w:rsid w:val="000E319C"/>
    <w:rsid w:val="000E38CB"/>
    <w:rsid w:val="000E38F2"/>
    <w:rsid w:val="000E3DE3"/>
    <w:rsid w:val="000E433B"/>
    <w:rsid w:val="000E4659"/>
    <w:rsid w:val="000E4662"/>
    <w:rsid w:val="000E4BBA"/>
    <w:rsid w:val="000E4C54"/>
    <w:rsid w:val="000E4C6B"/>
    <w:rsid w:val="000E51B5"/>
    <w:rsid w:val="000E555C"/>
    <w:rsid w:val="000E5C41"/>
    <w:rsid w:val="000E6BA4"/>
    <w:rsid w:val="000E6E3A"/>
    <w:rsid w:val="000E7ACB"/>
    <w:rsid w:val="000F01E3"/>
    <w:rsid w:val="000F05AC"/>
    <w:rsid w:val="000F0D2E"/>
    <w:rsid w:val="000F0EB0"/>
    <w:rsid w:val="000F128D"/>
    <w:rsid w:val="000F12AB"/>
    <w:rsid w:val="000F17F7"/>
    <w:rsid w:val="000F1960"/>
    <w:rsid w:val="000F1BFB"/>
    <w:rsid w:val="000F1DD9"/>
    <w:rsid w:val="000F2AC5"/>
    <w:rsid w:val="000F2DE2"/>
    <w:rsid w:val="000F3150"/>
    <w:rsid w:val="000F3414"/>
    <w:rsid w:val="000F3AAA"/>
    <w:rsid w:val="000F3FC7"/>
    <w:rsid w:val="000F40AD"/>
    <w:rsid w:val="000F4210"/>
    <w:rsid w:val="000F42C7"/>
    <w:rsid w:val="000F4A11"/>
    <w:rsid w:val="000F4CF4"/>
    <w:rsid w:val="000F54BC"/>
    <w:rsid w:val="000F5704"/>
    <w:rsid w:val="000F6025"/>
    <w:rsid w:val="000F7F2F"/>
    <w:rsid w:val="001005F1"/>
    <w:rsid w:val="00100F66"/>
    <w:rsid w:val="001011A9"/>
    <w:rsid w:val="001015C7"/>
    <w:rsid w:val="0010168B"/>
    <w:rsid w:val="00101CE2"/>
    <w:rsid w:val="001023CB"/>
    <w:rsid w:val="00102BDE"/>
    <w:rsid w:val="0010356A"/>
    <w:rsid w:val="001037BB"/>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1B37"/>
    <w:rsid w:val="00112820"/>
    <w:rsid w:val="001130B0"/>
    <w:rsid w:val="0011440E"/>
    <w:rsid w:val="0011470E"/>
    <w:rsid w:val="0011476C"/>
    <w:rsid w:val="00114785"/>
    <w:rsid w:val="00114786"/>
    <w:rsid w:val="00114B9F"/>
    <w:rsid w:val="00114D38"/>
    <w:rsid w:val="00114FD6"/>
    <w:rsid w:val="00116458"/>
    <w:rsid w:val="0011685F"/>
    <w:rsid w:val="00117499"/>
    <w:rsid w:val="00117B37"/>
    <w:rsid w:val="001200E4"/>
    <w:rsid w:val="001205D6"/>
    <w:rsid w:val="0012062E"/>
    <w:rsid w:val="001206F6"/>
    <w:rsid w:val="00120701"/>
    <w:rsid w:val="00120DA7"/>
    <w:rsid w:val="00120FE6"/>
    <w:rsid w:val="00120FFC"/>
    <w:rsid w:val="00121484"/>
    <w:rsid w:val="00121BB7"/>
    <w:rsid w:val="00122DED"/>
    <w:rsid w:val="0012311E"/>
    <w:rsid w:val="00123208"/>
    <w:rsid w:val="00123813"/>
    <w:rsid w:val="00125235"/>
    <w:rsid w:val="001255A9"/>
    <w:rsid w:val="00125F07"/>
    <w:rsid w:val="001263AF"/>
    <w:rsid w:val="001263C5"/>
    <w:rsid w:val="001267F0"/>
    <w:rsid w:val="00126B97"/>
    <w:rsid w:val="001271FC"/>
    <w:rsid w:val="0012759E"/>
    <w:rsid w:val="001276D8"/>
    <w:rsid w:val="00130084"/>
    <w:rsid w:val="001304B4"/>
    <w:rsid w:val="00130520"/>
    <w:rsid w:val="00130FFF"/>
    <w:rsid w:val="00131166"/>
    <w:rsid w:val="00132210"/>
    <w:rsid w:val="00132310"/>
    <w:rsid w:val="00132687"/>
    <w:rsid w:val="00132771"/>
    <w:rsid w:val="00132C99"/>
    <w:rsid w:val="00132CF1"/>
    <w:rsid w:val="00133295"/>
    <w:rsid w:val="0013333B"/>
    <w:rsid w:val="001334BB"/>
    <w:rsid w:val="0013353F"/>
    <w:rsid w:val="001336A6"/>
    <w:rsid w:val="00134012"/>
    <w:rsid w:val="00134696"/>
    <w:rsid w:val="0013471D"/>
    <w:rsid w:val="00134D86"/>
    <w:rsid w:val="0013507B"/>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519"/>
    <w:rsid w:val="00143995"/>
    <w:rsid w:val="001449F2"/>
    <w:rsid w:val="00144A82"/>
    <w:rsid w:val="00144BD4"/>
    <w:rsid w:val="00145602"/>
    <w:rsid w:val="00145A13"/>
    <w:rsid w:val="001461A5"/>
    <w:rsid w:val="001465FB"/>
    <w:rsid w:val="00146EC2"/>
    <w:rsid w:val="00147055"/>
    <w:rsid w:val="001474C0"/>
    <w:rsid w:val="00147682"/>
    <w:rsid w:val="00147838"/>
    <w:rsid w:val="001502A6"/>
    <w:rsid w:val="0015035E"/>
    <w:rsid w:val="00150BCE"/>
    <w:rsid w:val="00150C83"/>
    <w:rsid w:val="00150F0E"/>
    <w:rsid w:val="0015111A"/>
    <w:rsid w:val="0015145C"/>
    <w:rsid w:val="0015146E"/>
    <w:rsid w:val="001517F7"/>
    <w:rsid w:val="00152132"/>
    <w:rsid w:val="00152208"/>
    <w:rsid w:val="00153061"/>
    <w:rsid w:val="001538B0"/>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89A"/>
    <w:rsid w:val="00160CC3"/>
    <w:rsid w:val="00160D46"/>
    <w:rsid w:val="001610B0"/>
    <w:rsid w:val="00161213"/>
    <w:rsid w:val="00161927"/>
    <w:rsid w:val="00161D5F"/>
    <w:rsid w:val="0016204F"/>
    <w:rsid w:val="001622C1"/>
    <w:rsid w:val="00162500"/>
    <w:rsid w:val="001625C4"/>
    <w:rsid w:val="001638AA"/>
    <w:rsid w:val="00163E95"/>
    <w:rsid w:val="00164739"/>
    <w:rsid w:val="00164814"/>
    <w:rsid w:val="00164949"/>
    <w:rsid w:val="00164E82"/>
    <w:rsid w:val="00164EEF"/>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F97"/>
    <w:rsid w:val="001760F5"/>
    <w:rsid w:val="00176220"/>
    <w:rsid w:val="00176A05"/>
    <w:rsid w:val="00177169"/>
    <w:rsid w:val="0017720A"/>
    <w:rsid w:val="0017731F"/>
    <w:rsid w:val="0017767C"/>
    <w:rsid w:val="001777A8"/>
    <w:rsid w:val="00177F79"/>
    <w:rsid w:val="00180329"/>
    <w:rsid w:val="00180D7A"/>
    <w:rsid w:val="0018108A"/>
    <w:rsid w:val="00181714"/>
    <w:rsid w:val="001818F9"/>
    <w:rsid w:val="001819A2"/>
    <w:rsid w:val="00181DBA"/>
    <w:rsid w:val="0018206C"/>
    <w:rsid w:val="00182513"/>
    <w:rsid w:val="001830D3"/>
    <w:rsid w:val="001831B5"/>
    <w:rsid w:val="001832B1"/>
    <w:rsid w:val="0018338B"/>
    <w:rsid w:val="001835BB"/>
    <w:rsid w:val="001841FE"/>
    <w:rsid w:val="00184C29"/>
    <w:rsid w:val="00184D78"/>
    <w:rsid w:val="00185152"/>
    <w:rsid w:val="0018518A"/>
    <w:rsid w:val="0018518D"/>
    <w:rsid w:val="001856C9"/>
    <w:rsid w:val="001858CB"/>
    <w:rsid w:val="0018598D"/>
    <w:rsid w:val="001859E0"/>
    <w:rsid w:val="00185F65"/>
    <w:rsid w:val="001860D6"/>
    <w:rsid w:val="00186D73"/>
    <w:rsid w:val="00186FE6"/>
    <w:rsid w:val="00187B74"/>
    <w:rsid w:val="00187BD6"/>
    <w:rsid w:val="00190977"/>
    <w:rsid w:val="00190DD5"/>
    <w:rsid w:val="001916DC"/>
    <w:rsid w:val="001918F2"/>
    <w:rsid w:val="00191F5B"/>
    <w:rsid w:val="00191F8C"/>
    <w:rsid w:val="001921A4"/>
    <w:rsid w:val="00193444"/>
    <w:rsid w:val="001934BD"/>
    <w:rsid w:val="00193DAA"/>
    <w:rsid w:val="00195032"/>
    <w:rsid w:val="001950A1"/>
    <w:rsid w:val="0019665B"/>
    <w:rsid w:val="00196699"/>
    <w:rsid w:val="001966A0"/>
    <w:rsid w:val="00197534"/>
    <w:rsid w:val="00197757"/>
    <w:rsid w:val="00197C11"/>
    <w:rsid w:val="001A01EA"/>
    <w:rsid w:val="001A028F"/>
    <w:rsid w:val="001A0625"/>
    <w:rsid w:val="001A1478"/>
    <w:rsid w:val="001A1EE7"/>
    <w:rsid w:val="001A2BB2"/>
    <w:rsid w:val="001A2EA9"/>
    <w:rsid w:val="001A3101"/>
    <w:rsid w:val="001A32AF"/>
    <w:rsid w:val="001A3BBE"/>
    <w:rsid w:val="001A3F75"/>
    <w:rsid w:val="001A3FC8"/>
    <w:rsid w:val="001A45B3"/>
    <w:rsid w:val="001A4DC3"/>
    <w:rsid w:val="001A51BF"/>
    <w:rsid w:val="001A5238"/>
    <w:rsid w:val="001A56C3"/>
    <w:rsid w:val="001A5C58"/>
    <w:rsid w:val="001A5E6B"/>
    <w:rsid w:val="001A64E6"/>
    <w:rsid w:val="001A6932"/>
    <w:rsid w:val="001A6B49"/>
    <w:rsid w:val="001A6D56"/>
    <w:rsid w:val="001A6F7E"/>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5E0"/>
    <w:rsid w:val="001C0ABF"/>
    <w:rsid w:val="001C0CA6"/>
    <w:rsid w:val="001C1976"/>
    <w:rsid w:val="001C1C1E"/>
    <w:rsid w:val="001C1DFA"/>
    <w:rsid w:val="001C211F"/>
    <w:rsid w:val="001C2397"/>
    <w:rsid w:val="001C2515"/>
    <w:rsid w:val="001C2660"/>
    <w:rsid w:val="001C2686"/>
    <w:rsid w:val="001C2AB2"/>
    <w:rsid w:val="001C2DE8"/>
    <w:rsid w:val="001C3395"/>
    <w:rsid w:val="001C3637"/>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1E28"/>
    <w:rsid w:val="001D32FD"/>
    <w:rsid w:val="001D36E4"/>
    <w:rsid w:val="001D3B11"/>
    <w:rsid w:val="001D40BF"/>
    <w:rsid w:val="001D5334"/>
    <w:rsid w:val="001D5CB6"/>
    <w:rsid w:val="001D63BB"/>
    <w:rsid w:val="001D683E"/>
    <w:rsid w:val="001D69DF"/>
    <w:rsid w:val="001D6DCB"/>
    <w:rsid w:val="001D6E8A"/>
    <w:rsid w:val="001D70DF"/>
    <w:rsid w:val="001D7735"/>
    <w:rsid w:val="001D7BE0"/>
    <w:rsid w:val="001D7BED"/>
    <w:rsid w:val="001E0020"/>
    <w:rsid w:val="001E012B"/>
    <w:rsid w:val="001E0373"/>
    <w:rsid w:val="001E0CA7"/>
    <w:rsid w:val="001E0F97"/>
    <w:rsid w:val="001E119E"/>
    <w:rsid w:val="001E2282"/>
    <w:rsid w:val="001E25D7"/>
    <w:rsid w:val="001E26F5"/>
    <w:rsid w:val="001E2E5B"/>
    <w:rsid w:val="001E30D7"/>
    <w:rsid w:val="001E33AC"/>
    <w:rsid w:val="001E3879"/>
    <w:rsid w:val="001E4465"/>
    <w:rsid w:val="001E4BFC"/>
    <w:rsid w:val="001E5667"/>
    <w:rsid w:val="001E5777"/>
    <w:rsid w:val="001E5E29"/>
    <w:rsid w:val="001E6314"/>
    <w:rsid w:val="001E6451"/>
    <w:rsid w:val="001E68C7"/>
    <w:rsid w:val="001E6D32"/>
    <w:rsid w:val="001E73B5"/>
    <w:rsid w:val="001E7D80"/>
    <w:rsid w:val="001F039F"/>
    <w:rsid w:val="001F0402"/>
    <w:rsid w:val="001F1078"/>
    <w:rsid w:val="001F1188"/>
    <w:rsid w:val="001F1475"/>
    <w:rsid w:val="001F1515"/>
    <w:rsid w:val="001F16A6"/>
    <w:rsid w:val="001F18F2"/>
    <w:rsid w:val="001F1B21"/>
    <w:rsid w:val="001F1BBC"/>
    <w:rsid w:val="001F1C6D"/>
    <w:rsid w:val="001F1EBE"/>
    <w:rsid w:val="001F1EF3"/>
    <w:rsid w:val="001F20A9"/>
    <w:rsid w:val="001F21D3"/>
    <w:rsid w:val="001F2505"/>
    <w:rsid w:val="001F2AD8"/>
    <w:rsid w:val="001F2AEC"/>
    <w:rsid w:val="001F2BE7"/>
    <w:rsid w:val="001F2CF7"/>
    <w:rsid w:val="001F30EF"/>
    <w:rsid w:val="001F44C1"/>
    <w:rsid w:val="001F4B5F"/>
    <w:rsid w:val="001F52CE"/>
    <w:rsid w:val="001F5767"/>
    <w:rsid w:val="001F656E"/>
    <w:rsid w:val="001F6E39"/>
    <w:rsid w:val="001F6EB5"/>
    <w:rsid w:val="001F701C"/>
    <w:rsid w:val="001F7636"/>
    <w:rsid w:val="001F771A"/>
    <w:rsid w:val="00200817"/>
    <w:rsid w:val="00200C04"/>
    <w:rsid w:val="002018EA"/>
    <w:rsid w:val="00202B2D"/>
    <w:rsid w:val="00202EE9"/>
    <w:rsid w:val="00203196"/>
    <w:rsid w:val="00203478"/>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984"/>
    <w:rsid w:val="00210AF8"/>
    <w:rsid w:val="00211039"/>
    <w:rsid w:val="00211CF1"/>
    <w:rsid w:val="002131B7"/>
    <w:rsid w:val="0021391D"/>
    <w:rsid w:val="00213DD2"/>
    <w:rsid w:val="00213F65"/>
    <w:rsid w:val="00213FB7"/>
    <w:rsid w:val="002146BD"/>
    <w:rsid w:val="00214AB1"/>
    <w:rsid w:val="00214D30"/>
    <w:rsid w:val="00214D5F"/>
    <w:rsid w:val="0021517C"/>
    <w:rsid w:val="00215346"/>
    <w:rsid w:val="0021575E"/>
    <w:rsid w:val="002158C4"/>
    <w:rsid w:val="00215C7E"/>
    <w:rsid w:val="00215CB9"/>
    <w:rsid w:val="0021635B"/>
    <w:rsid w:val="002169E1"/>
    <w:rsid w:val="00216B81"/>
    <w:rsid w:val="00216EA3"/>
    <w:rsid w:val="002172C4"/>
    <w:rsid w:val="00217458"/>
    <w:rsid w:val="002200ED"/>
    <w:rsid w:val="00220531"/>
    <w:rsid w:val="0022096F"/>
    <w:rsid w:val="00220B2D"/>
    <w:rsid w:val="00220C79"/>
    <w:rsid w:val="0022181A"/>
    <w:rsid w:val="00222084"/>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2144"/>
    <w:rsid w:val="002325FA"/>
    <w:rsid w:val="002329D2"/>
    <w:rsid w:val="0023342F"/>
    <w:rsid w:val="0023365E"/>
    <w:rsid w:val="00234148"/>
    <w:rsid w:val="002341DC"/>
    <w:rsid w:val="00234497"/>
    <w:rsid w:val="002344B3"/>
    <w:rsid w:val="002356FA"/>
    <w:rsid w:val="002358C2"/>
    <w:rsid w:val="00235945"/>
    <w:rsid w:val="00235BCA"/>
    <w:rsid w:val="00235C87"/>
    <w:rsid w:val="00236A48"/>
    <w:rsid w:val="00236CC7"/>
    <w:rsid w:val="00236E6A"/>
    <w:rsid w:val="00236E86"/>
    <w:rsid w:val="00236F57"/>
    <w:rsid w:val="0024039E"/>
    <w:rsid w:val="00241170"/>
    <w:rsid w:val="00241608"/>
    <w:rsid w:val="002416C7"/>
    <w:rsid w:val="00241765"/>
    <w:rsid w:val="0024178D"/>
    <w:rsid w:val="0024188B"/>
    <w:rsid w:val="00241CC6"/>
    <w:rsid w:val="002428C1"/>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B48"/>
    <w:rsid w:val="00246F1D"/>
    <w:rsid w:val="002472C4"/>
    <w:rsid w:val="002476FD"/>
    <w:rsid w:val="0024788E"/>
    <w:rsid w:val="00247BCF"/>
    <w:rsid w:val="00250E5D"/>
    <w:rsid w:val="00250E72"/>
    <w:rsid w:val="0025126B"/>
    <w:rsid w:val="0025151D"/>
    <w:rsid w:val="0025161C"/>
    <w:rsid w:val="002516A6"/>
    <w:rsid w:val="002517E7"/>
    <w:rsid w:val="00251F28"/>
    <w:rsid w:val="00252669"/>
    <w:rsid w:val="00252CB2"/>
    <w:rsid w:val="00252DC4"/>
    <w:rsid w:val="00252FEC"/>
    <w:rsid w:val="0025356A"/>
    <w:rsid w:val="00253711"/>
    <w:rsid w:val="00254201"/>
    <w:rsid w:val="00254246"/>
    <w:rsid w:val="002547B4"/>
    <w:rsid w:val="0025497D"/>
    <w:rsid w:val="002549A0"/>
    <w:rsid w:val="00254A28"/>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08A"/>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24"/>
    <w:rsid w:val="00273ADE"/>
    <w:rsid w:val="00273C1B"/>
    <w:rsid w:val="00273E23"/>
    <w:rsid w:val="00274560"/>
    <w:rsid w:val="00274764"/>
    <w:rsid w:val="00275CCB"/>
    <w:rsid w:val="002760BD"/>
    <w:rsid w:val="0027623F"/>
    <w:rsid w:val="00276CBB"/>
    <w:rsid w:val="00276DA4"/>
    <w:rsid w:val="002772BE"/>
    <w:rsid w:val="00280058"/>
    <w:rsid w:val="00280087"/>
    <w:rsid w:val="002804EE"/>
    <w:rsid w:val="00280DB1"/>
    <w:rsid w:val="00280F32"/>
    <w:rsid w:val="0028192D"/>
    <w:rsid w:val="0028236D"/>
    <w:rsid w:val="0028270D"/>
    <w:rsid w:val="00282B19"/>
    <w:rsid w:val="00282D28"/>
    <w:rsid w:val="00282F65"/>
    <w:rsid w:val="00283086"/>
    <w:rsid w:val="0028358E"/>
    <w:rsid w:val="00283F13"/>
    <w:rsid w:val="00284185"/>
    <w:rsid w:val="0028425E"/>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BE"/>
    <w:rsid w:val="00294609"/>
    <w:rsid w:val="00294A32"/>
    <w:rsid w:val="00294B19"/>
    <w:rsid w:val="00294FDF"/>
    <w:rsid w:val="002955EE"/>
    <w:rsid w:val="00295BDD"/>
    <w:rsid w:val="00295DFB"/>
    <w:rsid w:val="00295F19"/>
    <w:rsid w:val="00296A57"/>
    <w:rsid w:val="002971FC"/>
    <w:rsid w:val="0029749A"/>
    <w:rsid w:val="0029751F"/>
    <w:rsid w:val="002A0644"/>
    <w:rsid w:val="002A08DD"/>
    <w:rsid w:val="002A0B5C"/>
    <w:rsid w:val="002A11BC"/>
    <w:rsid w:val="002A13DD"/>
    <w:rsid w:val="002A196E"/>
    <w:rsid w:val="002A20B1"/>
    <w:rsid w:val="002A23AF"/>
    <w:rsid w:val="002A2D82"/>
    <w:rsid w:val="002A36A5"/>
    <w:rsid w:val="002A3F0F"/>
    <w:rsid w:val="002A3F6C"/>
    <w:rsid w:val="002A42E2"/>
    <w:rsid w:val="002A471B"/>
    <w:rsid w:val="002A48A7"/>
    <w:rsid w:val="002A4BAF"/>
    <w:rsid w:val="002A4FF1"/>
    <w:rsid w:val="002A50E7"/>
    <w:rsid w:val="002A527E"/>
    <w:rsid w:val="002A5B65"/>
    <w:rsid w:val="002A5C1E"/>
    <w:rsid w:val="002A5D94"/>
    <w:rsid w:val="002A5E14"/>
    <w:rsid w:val="002A6063"/>
    <w:rsid w:val="002A6816"/>
    <w:rsid w:val="002A6BBE"/>
    <w:rsid w:val="002A6E55"/>
    <w:rsid w:val="002A70B4"/>
    <w:rsid w:val="002B0018"/>
    <w:rsid w:val="002B0A90"/>
    <w:rsid w:val="002B0B2C"/>
    <w:rsid w:val="002B1034"/>
    <w:rsid w:val="002B2105"/>
    <w:rsid w:val="002B2822"/>
    <w:rsid w:val="002B2ADC"/>
    <w:rsid w:val="002B2B90"/>
    <w:rsid w:val="002B2EF2"/>
    <w:rsid w:val="002B2F40"/>
    <w:rsid w:val="002B4124"/>
    <w:rsid w:val="002B4966"/>
    <w:rsid w:val="002B4B70"/>
    <w:rsid w:val="002B4D86"/>
    <w:rsid w:val="002B4E1D"/>
    <w:rsid w:val="002B5222"/>
    <w:rsid w:val="002B5540"/>
    <w:rsid w:val="002B55C6"/>
    <w:rsid w:val="002B5CF1"/>
    <w:rsid w:val="002B5F20"/>
    <w:rsid w:val="002B6450"/>
    <w:rsid w:val="002B646C"/>
    <w:rsid w:val="002B6478"/>
    <w:rsid w:val="002B6F1A"/>
    <w:rsid w:val="002B750B"/>
    <w:rsid w:val="002C0575"/>
    <w:rsid w:val="002C0826"/>
    <w:rsid w:val="002C1B40"/>
    <w:rsid w:val="002C1EE4"/>
    <w:rsid w:val="002C1F16"/>
    <w:rsid w:val="002C2B01"/>
    <w:rsid w:val="002C3314"/>
    <w:rsid w:val="002C36E2"/>
    <w:rsid w:val="002C4037"/>
    <w:rsid w:val="002C421E"/>
    <w:rsid w:val="002C42D2"/>
    <w:rsid w:val="002C4AD7"/>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651"/>
    <w:rsid w:val="002D78B8"/>
    <w:rsid w:val="002D7AF9"/>
    <w:rsid w:val="002E07E4"/>
    <w:rsid w:val="002E0913"/>
    <w:rsid w:val="002E14D1"/>
    <w:rsid w:val="002E2073"/>
    <w:rsid w:val="002E2153"/>
    <w:rsid w:val="002E26C9"/>
    <w:rsid w:val="002E2B6D"/>
    <w:rsid w:val="002E2C0A"/>
    <w:rsid w:val="002E3137"/>
    <w:rsid w:val="002E3D2C"/>
    <w:rsid w:val="002E3D3E"/>
    <w:rsid w:val="002E3E73"/>
    <w:rsid w:val="002E456A"/>
    <w:rsid w:val="002E5252"/>
    <w:rsid w:val="002E5437"/>
    <w:rsid w:val="002E594D"/>
    <w:rsid w:val="002E59FE"/>
    <w:rsid w:val="002E5D15"/>
    <w:rsid w:val="002E60DD"/>
    <w:rsid w:val="002E60E4"/>
    <w:rsid w:val="002E6DD0"/>
    <w:rsid w:val="002E7183"/>
    <w:rsid w:val="002F01EA"/>
    <w:rsid w:val="002F06B6"/>
    <w:rsid w:val="002F0780"/>
    <w:rsid w:val="002F082D"/>
    <w:rsid w:val="002F1602"/>
    <w:rsid w:val="002F1E79"/>
    <w:rsid w:val="002F2658"/>
    <w:rsid w:val="002F26E5"/>
    <w:rsid w:val="002F2751"/>
    <w:rsid w:val="002F2899"/>
    <w:rsid w:val="002F2A7E"/>
    <w:rsid w:val="002F2C4E"/>
    <w:rsid w:val="002F2C95"/>
    <w:rsid w:val="002F30C9"/>
    <w:rsid w:val="002F320A"/>
    <w:rsid w:val="002F32A7"/>
    <w:rsid w:val="002F346C"/>
    <w:rsid w:val="002F37FA"/>
    <w:rsid w:val="002F3863"/>
    <w:rsid w:val="002F3FD5"/>
    <w:rsid w:val="002F4781"/>
    <w:rsid w:val="002F55D6"/>
    <w:rsid w:val="002F5AD2"/>
    <w:rsid w:val="002F6379"/>
    <w:rsid w:val="002F704E"/>
    <w:rsid w:val="002F7318"/>
    <w:rsid w:val="002F7CF8"/>
    <w:rsid w:val="002F7F51"/>
    <w:rsid w:val="003003B3"/>
    <w:rsid w:val="00300A1E"/>
    <w:rsid w:val="00300ACA"/>
    <w:rsid w:val="00300D00"/>
    <w:rsid w:val="00301049"/>
    <w:rsid w:val="00301402"/>
    <w:rsid w:val="0030196B"/>
    <w:rsid w:val="00301F19"/>
    <w:rsid w:val="00302652"/>
    <w:rsid w:val="003026EF"/>
    <w:rsid w:val="003028CA"/>
    <w:rsid w:val="00302EA9"/>
    <w:rsid w:val="003031BE"/>
    <w:rsid w:val="003033A8"/>
    <w:rsid w:val="00303A70"/>
    <w:rsid w:val="00303D35"/>
    <w:rsid w:val="00303DDD"/>
    <w:rsid w:val="00303FA0"/>
    <w:rsid w:val="003047D2"/>
    <w:rsid w:val="00304FE4"/>
    <w:rsid w:val="00305007"/>
    <w:rsid w:val="003051E2"/>
    <w:rsid w:val="0030586D"/>
    <w:rsid w:val="00305C5C"/>
    <w:rsid w:val="00305CB4"/>
    <w:rsid w:val="003064E1"/>
    <w:rsid w:val="003064FD"/>
    <w:rsid w:val="003066E5"/>
    <w:rsid w:val="00306823"/>
    <w:rsid w:val="00306C7B"/>
    <w:rsid w:val="00307A78"/>
    <w:rsid w:val="00310000"/>
    <w:rsid w:val="0031044E"/>
    <w:rsid w:val="00310CBA"/>
    <w:rsid w:val="003118ED"/>
    <w:rsid w:val="00311FE3"/>
    <w:rsid w:val="00312169"/>
    <w:rsid w:val="00312A60"/>
    <w:rsid w:val="00312F29"/>
    <w:rsid w:val="00313449"/>
    <w:rsid w:val="0031366F"/>
    <w:rsid w:val="0031389B"/>
    <w:rsid w:val="00313FE9"/>
    <w:rsid w:val="003146A7"/>
    <w:rsid w:val="003150BA"/>
    <w:rsid w:val="00315127"/>
    <w:rsid w:val="00315AB6"/>
    <w:rsid w:val="00316068"/>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30CD"/>
    <w:rsid w:val="0032313D"/>
    <w:rsid w:val="00323CF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30332"/>
    <w:rsid w:val="0033193A"/>
    <w:rsid w:val="0033302C"/>
    <w:rsid w:val="0033377D"/>
    <w:rsid w:val="00333962"/>
    <w:rsid w:val="00334269"/>
    <w:rsid w:val="0033498F"/>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1C20"/>
    <w:rsid w:val="00354124"/>
    <w:rsid w:val="00354164"/>
    <w:rsid w:val="00354541"/>
    <w:rsid w:val="003545EF"/>
    <w:rsid w:val="00354676"/>
    <w:rsid w:val="00354AFE"/>
    <w:rsid w:val="003556D0"/>
    <w:rsid w:val="00355A15"/>
    <w:rsid w:val="003563A7"/>
    <w:rsid w:val="00356585"/>
    <w:rsid w:val="00356670"/>
    <w:rsid w:val="00356E93"/>
    <w:rsid w:val="0035706D"/>
    <w:rsid w:val="00357338"/>
    <w:rsid w:val="00360228"/>
    <w:rsid w:val="00360EF9"/>
    <w:rsid w:val="00361040"/>
    <w:rsid w:val="00361869"/>
    <w:rsid w:val="00361A8B"/>
    <w:rsid w:val="00362199"/>
    <w:rsid w:val="00362E9D"/>
    <w:rsid w:val="003630FB"/>
    <w:rsid w:val="00363C64"/>
    <w:rsid w:val="003642E3"/>
    <w:rsid w:val="003645FB"/>
    <w:rsid w:val="00364CAE"/>
    <w:rsid w:val="00364CC4"/>
    <w:rsid w:val="003651FD"/>
    <w:rsid w:val="0036544D"/>
    <w:rsid w:val="00365457"/>
    <w:rsid w:val="0036569E"/>
    <w:rsid w:val="0036581A"/>
    <w:rsid w:val="00365ACE"/>
    <w:rsid w:val="00365B81"/>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08C"/>
    <w:rsid w:val="0037416A"/>
    <w:rsid w:val="003744BB"/>
    <w:rsid w:val="00374626"/>
    <w:rsid w:val="00374EE5"/>
    <w:rsid w:val="0037539A"/>
    <w:rsid w:val="00375715"/>
    <w:rsid w:val="00375AEC"/>
    <w:rsid w:val="00375FEA"/>
    <w:rsid w:val="003760B6"/>
    <w:rsid w:val="00376F06"/>
    <w:rsid w:val="00377989"/>
    <w:rsid w:val="003779F4"/>
    <w:rsid w:val="00377D5E"/>
    <w:rsid w:val="0038072E"/>
    <w:rsid w:val="00380B83"/>
    <w:rsid w:val="00381AFB"/>
    <w:rsid w:val="00381B73"/>
    <w:rsid w:val="00381E85"/>
    <w:rsid w:val="00382257"/>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4BB"/>
    <w:rsid w:val="0039052B"/>
    <w:rsid w:val="00390572"/>
    <w:rsid w:val="00390835"/>
    <w:rsid w:val="0039085F"/>
    <w:rsid w:val="0039086F"/>
    <w:rsid w:val="00391821"/>
    <w:rsid w:val="00391A1C"/>
    <w:rsid w:val="003924AA"/>
    <w:rsid w:val="003926FB"/>
    <w:rsid w:val="00392B70"/>
    <w:rsid w:val="00392FEB"/>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8E3"/>
    <w:rsid w:val="00397B31"/>
    <w:rsid w:val="00397D02"/>
    <w:rsid w:val="003A0587"/>
    <w:rsid w:val="003A07F1"/>
    <w:rsid w:val="003A0FB8"/>
    <w:rsid w:val="003A1207"/>
    <w:rsid w:val="003A18D0"/>
    <w:rsid w:val="003A1CF2"/>
    <w:rsid w:val="003A1ED5"/>
    <w:rsid w:val="003A266F"/>
    <w:rsid w:val="003A34A8"/>
    <w:rsid w:val="003A3A01"/>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777"/>
    <w:rsid w:val="003B080C"/>
    <w:rsid w:val="003B0876"/>
    <w:rsid w:val="003B0A3A"/>
    <w:rsid w:val="003B0C3E"/>
    <w:rsid w:val="003B0F93"/>
    <w:rsid w:val="003B12F4"/>
    <w:rsid w:val="003B1642"/>
    <w:rsid w:val="003B2341"/>
    <w:rsid w:val="003B262E"/>
    <w:rsid w:val="003B279D"/>
    <w:rsid w:val="003B27D8"/>
    <w:rsid w:val="003B2E28"/>
    <w:rsid w:val="003B36C0"/>
    <w:rsid w:val="003B399F"/>
    <w:rsid w:val="003B4127"/>
    <w:rsid w:val="003B41E5"/>
    <w:rsid w:val="003B456D"/>
    <w:rsid w:val="003B463E"/>
    <w:rsid w:val="003B4B1D"/>
    <w:rsid w:val="003B4B6D"/>
    <w:rsid w:val="003B4D67"/>
    <w:rsid w:val="003B51B1"/>
    <w:rsid w:val="003B51B2"/>
    <w:rsid w:val="003B5BC0"/>
    <w:rsid w:val="003B666B"/>
    <w:rsid w:val="003B67F6"/>
    <w:rsid w:val="003B70B0"/>
    <w:rsid w:val="003B79B6"/>
    <w:rsid w:val="003C00B9"/>
    <w:rsid w:val="003C011C"/>
    <w:rsid w:val="003C025A"/>
    <w:rsid w:val="003C0B43"/>
    <w:rsid w:val="003C131F"/>
    <w:rsid w:val="003C1BB2"/>
    <w:rsid w:val="003C2274"/>
    <w:rsid w:val="003C2990"/>
    <w:rsid w:val="003C2E09"/>
    <w:rsid w:val="003C300A"/>
    <w:rsid w:val="003C323C"/>
    <w:rsid w:val="003C32B6"/>
    <w:rsid w:val="003C3A5A"/>
    <w:rsid w:val="003C3DDF"/>
    <w:rsid w:val="003C3E56"/>
    <w:rsid w:val="003C3EC9"/>
    <w:rsid w:val="003C4296"/>
    <w:rsid w:val="003C476E"/>
    <w:rsid w:val="003C5554"/>
    <w:rsid w:val="003C55FE"/>
    <w:rsid w:val="003C5E9D"/>
    <w:rsid w:val="003C610F"/>
    <w:rsid w:val="003C6D38"/>
    <w:rsid w:val="003C6DA9"/>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2C86"/>
    <w:rsid w:val="003D321C"/>
    <w:rsid w:val="003D3580"/>
    <w:rsid w:val="003D37B2"/>
    <w:rsid w:val="003D3BFD"/>
    <w:rsid w:val="003D47FB"/>
    <w:rsid w:val="003D4A5B"/>
    <w:rsid w:val="003D4C7E"/>
    <w:rsid w:val="003D5226"/>
    <w:rsid w:val="003D5461"/>
    <w:rsid w:val="003D5627"/>
    <w:rsid w:val="003D5F3D"/>
    <w:rsid w:val="003D6458"/>
    <w:rsid w:val="003D6704"/>
    <w:rsid w:val="003D701C"/>
    <w:rsid w:val="003D7058"/>
    <w:rsid w:val="003D7B04"/>
    <w:rsid w:val="003D7B8E"/>
    <w:rsid w:val="003D7E13"/>
    <w:rsid w:val="003D7EA3"/>
    <w:rsid w:val="003D7EDA"/>
    <w:rsid w:val="003E0C53"/>
    <w:rsid w:val="003E11BB"/>
    <w:rsid w:val="003E11C8"/>
    <w:rsid w:val="003E288F"/>
    <w:rsid w:val="003E3963"/>
    <w:rsid w:val="003E43B1"/>
    <w:rsid w:val="003E4A4D"/>
    <w:rsid w:val="003E4E15"/>
    <w:rsid w:val="003E5019"/>
    <w:rsid w:val="003E5263"/>
    <w:rsid w:val="003E5875"/>
    <w:rsid w:val="003E6353"/>
    <w:rsid w:val="003E63B8"/>
    <w:rsid w:val="003E645C"/>
    <w:rsid w:val="003E6C93"/>
    <w:rsid w:val="003E6EF4"/>
    <w:rsid w:val="003E75BB"/>
    <w:rsid w:val="003E7877"/>
    <w:rsid w:val="003F0415"/>
    <w:rsid w:val="003F045A"/>
    <w:rsid w:val="003F07FB"/>
    <w:rsid w:val="003F11F2"/>
    <w:rsid w:val="003F1949"/>
    <w:rsid w:val="003F1CB7"/>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70A2"/>
    <w:rsid w:val="003F796A"/>
    <w:rsid w:val="003F7A33"/>
    <w:rsid w:val="003F7BC2"/>
    <w:rsid w:val="003F7D93"/>
    <w:rsid w:val="004000EA"/>
    <w:rsid w:val="0040164C"/>
    <w:rsid w:val="00401A9D"/>
    <w:rsid w:val="00401DD6"/>
    <w:rsid w:val="00401EAB"/>
    <w:rsid w:val="00402109"/>
    <w:rsid w:val="00402AF5"/>
    <w:rsid w:val="00402C64"/>
    <w:rsid w:val="00403271"/>
    <w:rsid w:val="00403378"/>
    <w:rsid w:val="00403883"/>
    <w:rsid w:val="00404714"/>
    <w:rsid w:val="00404856"/>
    <w:rsid w:val="00404C31"/>
    <w:rsid w:val="00404EFC"/>
    <w:rsid w:val="00404FA4"/>
    <w:rsid w:val="00406247"/>
    <w:rsid w:val="004064DF"/>
    <w:rsid w:val="004064F9"/>
    <w:rsid w:val="00406A7B"/>
    <w:rsid w:val="004072BB"/>
    <w:rsid w:val="004072EC"/>
    <w:rsid w:val="00410FE9"/>
    <w:rsid w:val="004110EC"/>
    <w:rsid w:val="0041114D"/>
    <w:rsid w:val="00411808"/>
    <w:rsid w:val="00412332"/>
    <w:rsid w:val="004124A3"/>
    <w:rsid w:val="00412B62"/>
    <w:rsid w:val="004130D2"/>
    <w:rsid w:val="004131ED"/>
    <w:rsid w:val="00413A99"/>
    <w:rsid w:val="00413B38"/>
    <w:rsid w:val="00413C5E"/>
    <w:rsid w:val="004143D6"/>
    <w:rsid w:val="00414465"/>
    <w:rsid w:val="00414956"/>
    <w:rsid w:val="00414A58"/>
    <w:rsid w:val="00414CB1"/>
    <w:rsid w:val="00414D82"/>
    <w:rsid w:val="0041599B"/>
    <w:rsid w:val="00415B9E"/>
    <w:rsid w:val="00415EFE"/>
    <w:rsid w:val="004160F7"/>
    <w:rsid w:val="004162EE"/>
    <w:rsid w:val="004167DA"/>
    <w:rsid w:val="00416EE5"/>
    <w:rsid w:val="00417C8A"/>
    <w:rsid w:val="00417F83"/>
    <w:rsid w:val="004207BE"/>
    <w:rsid w:val="00420A3A"/>
    <w:rsid w:val="00420D27"/>
    <w:rsid w:val="00420D50"/>
    <w:rsid w:val="00421D5E"/>
    <w:rsid w:val="00421F41"/>
    <w:rsid w:val="0042220C"/>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4F1"/>
    <w:rsid w:val="0043062F"/>
    <w:rsid w:val="00430CDF"/>
    <w:rsid w:val="004317F9"/>
    <w:rsid w:val="00431E0F"/>
    <w:rsid w:val="004323F0"/>
    <w:rsid w:val="00433020"/>
    <w:rsid w:val="0043308E"/>
    <w:rsid w:val="00433210"/>
    <w:rsid w:val="00433284"/>
    <w:rsid w:val="0043341A"/>
    <w:rsid w:val="0043356D"/>
    <w:rsid w:val="004336B3"/>
    <w:rsid w:val="00433969"/>
    <w:rsid w:val="00433B14"/>
    <w:rsid w:val="00433D43"/>
    <w:rsid w:val="00434838"/>
    <w:rsid w:val="00434FC2"/>
    <w:rsid w:val="00435326"/>
    <w:rsid w:val="004357D2"/>
    <w:rsid w:val="0043661D"/>
    <w:rsid w:val="00436A62"/>
    <w:rsid w:val="00440222"/>
    <w:rsid w:val="004402AC"/>
    <w:rsid w:val="00440561"/>
    <w:rsid w:val="00440739"/>
    <w:rsid w:val="00440D50"/>
    <w:rsid w:val="004417E6"/>
    <w:rsid w:val="00441C62"/>
    <w:rsid w:val="00442628"/>
    <w:rsid w:val="00442A50"/>
    <w:rsid w:val="00442B8C"/>
    <w:rsid w:val="0044303D"/>
    <w:rsid w:val="00444428"/>
    <w:rsid w:val="00444A5D"/>
    <w:rsid w:val="00444DD4"/>
    <w:rsid w:val="00444DE2"/>
    <w:rsid w:val="00445187"/>
    <w:rsid w:val="004459F2"/>
    <w:rsid w:val="00446161"/>
    <w:rsid w:val="00446B49"/>
    <w:rsid w:val="00446C19"/>
    <w:rsid w:val="00447647"/>
    <w:rsid w:val="004477ED"/>
    <w:rsid w:val="004477F6"/>
    <w:rsid w:val="00447B11"/>
    <w:rsid w:val="004502F7"/>
    <w:rsid w:val="00450611"/>
    <w:rsid w:val="00450B93"/>
    <w:rsid w:val="00451035"/>
    <w:rsid w:val="004510A7"/>
    <w:rsid w:val="004510F1"/>
    <w:rsid w:val="004511DD"/>
    <w:rsid w:val="004515B2"/>
    <w:rsid w:val="00452621"/>
    <w:rsid w:val="00452A4B"/>
    <w:rsid w:val="00452FED"/>
    <w:rsid w:val="004532F1"/>
    <w:rsid w:val="00453D6E"/>
    <w:rsid w:val="00454A4D"/>
    <w:rsid w:val="00455201"/>
    <w:rsid w:val="00455619"/>
    <w:rsid w:val="00455A1D"/>
    <w:rsid w:val="00455B2A"/>
    <w:rsid w:val="004561B7"/>
    <w:rsid w:val="004566C1"/>
    <w:rsid w:val="00456B79"/>
    <w:rsid w:val="00456F09"/>
    <w:rsid w:val="00457639"/>
    <w:rsid w:val="004577D7"/>
    <w:rsid w:val="004578F6"/>
    <w:rsid w:val="00457AEB"/>
    <w:rsid w:val="0046012A"/>
    <w:rsid w:val="004614CE"/>
    <w:rsid w:val="00461611"/>
    <w:rsid w:val="00461C98"/>
    <w:rsid w:val="0046228A"/>
    <w:rsid w:val="004626BC"/>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7232"/>
    <w:rsid w:val="004674F6"/>
    <w:rsid w:val="00467F85"/>
    <w:rsid w:val="0047063C"/>
    <w:rsid w:val="00470817"/>
    <w:rsid w:val="0047082D"/>
    <w:rsid w:val="00470998"/>
    <w:rsid w:val="004711CF"/>
    <w:rsid w:val="00471284"/>
    <w:rsid w:val="004713CD"/>
    <w:rsid w:val="00471F6C"/>
    <w:rsid w:val="00472718"/>
    <w:rsid w:val="00472A8B"/>
    <w:rsid w:val="00472C52"/>
    <w:rsid w:val="00472D6F"/>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331B"/>
    <w:rsid w:val="004835BB"/>
    <w:rsid w:val="00483608"/>
    <w:rsid w:val="00483737"/>
    <w:rsid w:val="004838AB"/>
    <w:rsid w:val="00483C27"/>
    <w:rsid w:val="00483FB9"/>
    <w:rsid w:val="00484451"/>
    <w:rsid w:val="004844B1"/>
    <w:rsid w:val="00484708"/>
    <w:rsid w:val="00485112"/>
    <w:rsid w:val="0048531B"/>
    <w:rsid w:val="00485512"/>
    <w:rsid w:val="004855C4"/>
    <w:rsid w:val="00486046"/>
    <w:rsid w:val="00486203"/>
    <w:rsid w:val="0048626D"/>
    <w:rsid w:val="0048650F"/>
    <w:rsid w:val="004866AB"/>
    <w:rsid w:val="004867C3"/>
    <w:rsid w:val="00486E34"/>
    <w:rsid w:val="004874A9"/>
    <w:rsid w:val="004902D5"/>
    <w:rsid w:val="00490CD7"/>
    <w:rsid w:val="004915DA"/>
    <w:rsid w:val="00491603"/>
    <w:rsid w:val="00491780"/>
    <w:rsid w:val="00491BBF"/>
    <w:rsid w:val="004920D3"/>
    <w:rsid w:val="00492930"/>
    <w:rsid w:val="00492B84"/>
    <w:rsid w:val="00493117"/>
    <w:rsid w:val="004934D5"/>
    <w:rsid w:val="0049359D"/>
    <w:rsid w:val="0049360B"/>
    <w:rsid w:val="00493942"/>
    <w:rsid w:val="00493E1B"/>
    <w:rsid w:val="00494706"/>
    <w:rsid w:val="00494C68"/>
    <w:rsid w:val="00495745"/>
    <w:rsid w:val="004959E1"/>
    <w:rsid w:val="00495A64"/>
    <w:rsid w:val="00495F59"/>
    <w:rsid w:val="00496CAA"/>
    <w:rsid w:val="00496FC7"/>
    <w:rsid w:val="004977F9"/>
    <w:rsid w:val="00497D1E"/>
    <w:rsid w:val="004A03DD"/>
    <w:rsid w:val="004A07C6"/>
    <w:rsid w:val="004A07F8"/>
    <w:rsid w:val="004A0D18"/>
    <w:rsid w:val="004A1270"/>
    <w:rsid w:val="004A1535"/>
    <w:rsid w:val="004A1537"/>
    <w:rsid w:val="004A1801"/>
    <w:rsid w:val="004A1A42"/>
    <w:rsid w:val="004A20C8"/>
    <w:rsid w:val="004A23AF"/>
    <w:rsid w:val="004A24EE"/>
    <w:rsid w:val="004A2682"/>
    <w:rsid w:val="004A280B"/>
    <w:rsid w:val="004A2CD6"/>
    <w:rsid w:val="004A2E34"/>
    <w:rsid w:val="004A30F5"/>
    <w:rsid w:val="004A4AB4"/>
    <w:rsid w:val="004A4D5E"/>
    <w:rsid w:val="004A5A08"/>
    <w:rsid w:val="004A5A4F"/>
    <w:rsid w:val="004A5BB5"/>
    <w:rsid w:val="004A5EAA"/>
    <w:rsid w:val="004A5F9C"/>
    <w:rsid w:val="004A62B1"/>
    <w:rsid w:val="004A63FD"/>
    <w:rsid w:val="004A689C"/>
    <w:rsid w:val="004A6A44"/>
    <w:rsid w:val="004A6AA5"/>
    <w:rsid w:val="004A6EC5"/>
    <w:rsid w:val="004A7AD3"/>
    <w:rsid w:val="004A7F74"/>
    <w:rsid w:val="004B03C9"/>
    <w:rsid w:val="004B0439"/>
    <w:rsid w:val="004B113A"/>
    <w:rsid w:val="004B127E"/>
    <w:rsid w:val="004B16DF"/>
    <w:rsid w:val="004B1C77"/>
    <w:rsid w:val="004B1EB7"/>
    <w:rsid w:val="004B2549"/>
    <w:rsid w:val="004B2E17"/>
    <w:rsid w:val="004B2F04"/>
    <w:rsid w:val="004B486D"/>
    <w:rsid w:val="004B48E3"/>
    <w:rsid w:val="004B4F14"/>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80C"/>
    <w:rsid w:val="004C0B41"/>
    <w:rsid w:val="004C0C71"/>
    <w:rsid w:val="004C0CD6"/>
    <w:rsid w:val="004C0D40"/>
    <w:rsid w:val="004C18D6"/>
    <w:rsid w:val="004C1F77"/>
    <w:rsid w:val="004C2154"/>
    <w:rsid w:val="004C28A5"/>
    <w:rsid w:val="004C2AE1"/>
    <w:rsid w:val="004C44A4"/>
    <w:rsid w:val="004C4633"/>
    <w:rsid w:val="004C4F0F"/>
    <w:rsid w:val="004C59E0"/>
    <w:rsid w:val="004C6B21"/>
    <w:rsid w:val="004C745A"/>
    <w:rsid w:val="004C74E4"/>
    <w:rsid w:val="004C755B"/>
    <w:rsid w:val="004C77BE"/>
    <w:rsid w:val="004C7CCD"/>
    <w:rsid w:val="004D0136"/>
    <w:rsid w:val="004D026C"/>
    <w:rsid w:val="004D0411"/>
    <w:rsid w:val="004D0609"/>
    <w:rsid w:val="004D1CD1"/>
    <w:rsid w:val="004D20A4"/>
    <w:rsid w:val="004D315F"/>
    <w:rsid w:val="004D3179"/>
    <w:rsid w:val="004D3640"/>
    <w:rsid w:val="004D3A38"/>
    <w:rsid w:val="004D3BF8"/>
    <w:rsid w:val="004D4693"/>
    <w:rsid w:val="004D51E0"/>
    <w:rsid w:val="004D5215"/>
    <w:rsid w:val="004D5852"/>
    <w:rsid w:val="004D5895"/>
    <w:rsid w:val="004D5A3A"/>
    <w:rsid w:val="004D5DE6"/>
    <w:rsid w:val="004D6266"/>
    <w:rsid w:val="004D6456"/>
    <w:rsid w:val="004D6774"/>
    <w:rsid w:val="004D6DC1"/>
    <w:rsid w:val="004D6E16"/>
    <w:rsid w:val="004E014F"/>
    <w:rsid w:val="004E0E21"/>
    <w:rsid w:val="004E0FA0"/>
    <w:rsid w:val="004E12AA"/>
    <w:rsid w:val="004E1F2B"/>
    <w:rsid w:val="004E220B"/>
    <w:rsid w:val="004E3378"/>
    <w:rsid w:val="004E3384"/>
    <w:rsid w:val="004E3BB5"/>
    <w:rsid w:val="004E3C79"/>
    <w:rsid w:val="004E3EE8"/>
    <w:rsid w:val="004E43B0"/>
    <w:rsid w:val="004E43C1"/>
    <w:rsid w:val="004E4457"/>
    <w:rsid w:val="004E4B3D"/>
    <w:rsid w:val="004E4E15"/>
    <w:rsid w:val="004E4F96"/>
    <w:rsid w:val="004E5EDE"/>
    <w:rsid w:val="004E691F"/>
    <w:rsid w:val="004E7331"/>
    <w:rsid w:val="004E7A6E"/>
    <w:rsid w:val="004E7CDC"/>
    <w:rsid w:val="004E7DC1"/>
    <w:rsid w:val="004E7EB3"/>
    <w:rsid w:val="004F01E4"/>
    <w:rsid w:val="004F05F9"/>
    <w:rsid w:val="004F0A72"/>
    <w:rsid w:val="004F1916"/>
    <w:rsid w:val="004F2623"/>
    <w:rsid w:val="004F2654"/>
    <w:rsid w:val="004F3138"/>
    <w:rsid w:val="004F337C"/>
    <w:rsid w:val="004F3846"/>
    <w:rsid w:val="004F3CEE"/>
    <w:rsid w:val="004F401E"/>
    <w:rsid w:val="004F41CB"/>
    <w:rsid w:val="004F462E"/>
    <w:rsid w:val="004F4A2F"/>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4D12"/>
    <w:rsid w:val="005053B3"/>
    <w:rsid w:val="0050559C"/>
    <w:rsid w:val="00506722"/>
    <w:rsid w:val="00506D5E"/>
    <w:rsid w:val="00506D99"/>
    <w:rsid w:val="00506DCC"/>
    <w:rsid w:val="005076ED"/>
    <w:rsid w:val="0050797F"/>
    <w:rsid w:val="00507D41"/>
    <w:rsid w:val="00510CA1"/>
    <w:rsid w:val="00511458"/>
    <w:rsid w:val="005119A4"/>
    <w:rsid w:val="00511F98"/>
    <w:rsid w:val="00512175"/>
    <w:rsid w:val="00512CF2"/>
    <w:rsid w:val="00512DAB"/>
    <w:rsid w:val="00513B20"/>
    <w:rsid w:val="0051474A"/>
    <w:rsid w:val="00515399"/>
    <w:rsid w:val="0051546E"/>
    <w:rsid w:val="00515722"/>
    <w:rsid w:val="0051595D"/>
    <w:rsid w:val="00515F64"/>
    <w:rsid w:val="00516235"/>
    <w:rsid w:val="0051684F"/>
    <w:rsid w:val="00516ABB"/>
    <w:rsid w:val="00516D74"/>
    <w:rsid w:val="00517069"/>
    <w:rsid w:val="00517766"/>
    <w:rsid w:val="00520001"/>
    <w:rsid w:val="0052012A"/>
    <w:rsid w:val="00520483"/>
    <w:rsid w:val="005209E2"/>
    <w:rsid w:val="00520D65"/>
    <w:rsid w:val="00520E95"/>
    <w:rsid w:val="00521958"/>
    <w:rsid w:val="005219E1"/>
    <w:rsid w:val="00521B2D"/>
    <w:rsid w:val="00521B5D"/>
    <w:rsid w:val="00521C7A"/>
    <w:rsid w:val="0052247B"/>
    <w:rsid w:val="00522597"/>
    <w:rsid w:val="00522F1C"/>
    <w:rsid w:val="00523AD3"/>
    <w:rsid w:val="00523EA3"/>
    <w:rsid w:val="005243F7"/>
    <w:rsid w:val="005247F0"/>
    <w:rsid w:val="00525673"/>
    <w:rsid w:val="00526113"/>
    <w:rsid w:val="00526F50"/>
    <w:rsid w:val="005270CD"/>
    <w:rsid w:val="00527164"/>
    <w:rsid w:val="00527A2C"/>
    <w:rsid w:val="005300AF"/>
    <w:rsid w:val="005304FE"/>
    <w:rsid w:val="005307AF"/>
    <w:rsid w:val="00530C89"/>
    <w:rsid w:val="0053143C"/>
    <w:rsid w:val="0053165E"/>
    <w:rsid w:val="0053198F"/>
    <w:rsid w:val="00531A48"/>
    <w:rsid w:val="00531E6D"/>
    <w:rsid w:val="00533311"/>
    <w:rsid w:val="005338A2"/>
    <w:rsid w:val="005338D4"/>
    <w:rsid w:val="0053448C"/>
    <w:rsid w:val="005345BE"/>
    <w:rsid w:val="005349A0"/>
    <w:rsid w:val="00534DB1"/>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1E84"/>
    <w:rsid w:val="00541F06"/>
    <w:rsid w:val="00542487"/>
    <w:rsid w:val="00542638"/>
    <w:rsid w:val="005428C4"/>
    <w:rsid w:val="00542C42"/>
    <w:rsid w:val="00543055"/>
    <w:rsid w:val="005431F3"/>
    <w:rsid w:val="005439D9"/>
    <w:rsid w:val="00543A8E"/>
    <w:rsid w:val="00543EC8"/>
    <w:rsid w:val="0054484A"/>
    <w:rsid w:val="00544A64"/>
    <w:rsid w:val="00544E36"/>
    <w:rsid w:val="00545429"/>
    <w:rsid w:val="005454D4"/>
    <w:rsid w:val="00545BB8"/>
    <w:rsid w:val="005467DD"/>
    <w:rsid w:val="0054689B"/>
    <w:rsid w:val="00546DA7"/>
    <w:rsid w:val="00546F2A"/>
    <w:rsid w:val="00547573"/>
    <w:rsid w:val="00547E58"/>
    <w:rsid w:val="00550866"/>
    <w:rsid w:val="00550ABA"/>
    <w:rsid w:val="005511EB"/>
    <w:rsid w:val="00551A66"/>
    <w:rsid w:val="00551EC4"/>
    <w:rsid w:val="00552287"/>
    <w:rsid w:val="005522E2"/>
    <w:rsid w:val="0055251C"/>
    <w:rsid w:val="00553D1B"/>
    <w:rsid w:val="005540A0"/>
    <w:rsid w:val="00554D79"/>
    <w:rsid w:val="0055527E"/>
    <w:rsid w:val="00555B00"/>
    <w:rsid w:val="00556009"/>
    <w:rsid w:val="00556167"/>
    <w:rsid w:val="00556376"/>
    <w:rsid w:val="0055651F"/>
    <w:rsid w:val="0055665E"/>
    <w:rsid w:val="00556F8F"/>
    <w:rsid w:val="0055744C"/>
    <w:rsid w:val="00557526"/>
    <w:rsid w:val="00557768"/>
    <w:rsid w:val="0056023D"/>
    <w:rsid w:val="0056057C"/>
    <w:rsid w:val="00561838"/>
    <w:rsid w:val="00561D2C"/>
    <w:rsid w:val="00561F4A"/>
    <w:rsid w:val="00562341"/>
    <w:rsid w:val="00563256"/>
    <w:rsid w:val="005638B7"/>
    <w:rsid w:val="00563EFA"/>
    <w:rsid w:val="0056403A"/>
    <w:rsid w:val="00564D63"/>
    <w:rsid w:val="00565951"/>
    <w:rsid w:val="005662A1"/>
    <w:rsid w:val="00566381"/>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765"/>
    <w:rsid w:val="00575578"/>
    <w:rsid w:val="0057571D"/>
    <w:rsid w:val="00575A17"/>
    <w:rsid w:val="00575A21"/>
    <w:rsid w:val="00576DE4"/>
    <w:rsid w:val="00577791"/>
    <w:rsid w:val="005777A1"/>
    <w:rsid w:val="00577922"/>
    <w:rsid w:val="005802C4"/>
    <w:rsid w:val="00581F5D"/>
    <w:rsid w:val="00583F43"/>
    <w:rsid w:val="00584432"/>
    <w:rsid w:val="00584721"/>
    <w:rsid w:val="00585D8A"/>
    <w:rsid w:val="00585F71"/>
    <w:rsid w:val="005864ED"/>
    <w:rsid w:val="0058694D"/>
    <w:rsid w:val="00586961"/>
    <w:rsid w:val="00586C08"/>
    <w:rsid w:val="00587018"/>
    <w:rsid w:val="00587090"/>
    <w:rsid w:val="005871AB"/>
    <w:rsid w:val="00587950"/>
    <w:rsid w:val="00587ABE"/>
    <w:rsid w:val="005907FF"/>
    <w:rsid w:val="00590F25"/>
    <w:rsid w:val="005913FE"/>
    <w:rsid w:val="00591D15"/>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6419"/>
    <w:rsid w:val="005972DC"/>
    <w:rsid w:val="00597539"/>
    <w:rsid w:val="0059766C"/>
    <w:rsid w:val="005977B9"/>
    <w:rsid w:val="00597B4F"/>
    <w:rsid w:val="00597D52"/>
    <w:rsid w:val="00597F65"/>
    <w:rsid w:val="005A031B"/>
    <w:rsid w:val="005A04C4"/>
    <w:rsid w:val="005A203B"/>
    <w:rsid w:val="005A20C9"/>
    <w:rsid w:val="005A22DC"/>
    <w:rsid w:val="005A2FBB"/>
    <w:rsid w:val="005A307E"/>
    <w:rsid w:val="005A3457"/>
    <w:rsid w:val="005A397A"/>
    <w:rsid w:val="005A39C2"/>
    <w:rsid w:val="005A4C7F"/>
    <w:rsid w:val="005A4DDE"/>
    <w:rsid w:val="005A567D"/>
    <w:rsid w:val="005A59CF"/>
    <w:rsid w:val="005A5A50"/>
    <w:rsid w:val="005A5BAF"/>
    <w:rsid w:val="005A6063"/>
    <w:rsid w:val="005A644B"/>
    <w:rsid w:val="005A66DA"/>
    <w:rsid w:val="005A6B8F"/>
    <w:rsid w:val="005A6D65"/>
    <w:rsid w:val="005A7155"/>
    <w:rsid w:val="005A77C3"/>
    <w:rsid w:val="005A7910"/>
    <w:rsid w:val="005B0162"/>
    <w:rsid w:val="005B0466"/>
    <w:rsid w:val="005B087E"/>
    <w:rsid w:val="005B0C9A"/>
    <w:rsid w:val="005B0E6B"/>
    <w:rsid w:val="005B1164"/>
    <w:rsid w:val="005B11D6"/>
    <w:rsid w:val="005B1802"/>
    <w:rsid w:val="005B29D0"/>
    <w:rsid w:val="005B3218"/>
    <w:rsid w:val="005B3C2D"/>
    <w:rsid w:val="005B3DCF"/>
    <w:rsid w:val="005B3F59"/>
    <w:rsid w:val="005B4C6B"/>
    <w:rsid w:val="005B4D90"/>
    <w:rsid w:val="005B4EDE"/>
    <w:rsid w:val="005B55B9"/>
    <w:rsid w:val="005B5D02"/>
    <w:rsid w:val="005B6A87"/>
    <w:rsid w:val="005B7185"/>
    <w:rsid w:val="005B74D3"/>
    <w:rsid w:val="005B7B3B"/>
    <w:rsid w:val="005C046F"/>
    <w:rsid w:val="005C078A"/>
    <w:rsid w:val="005C0B8D"/>
    <w:rsid w:val="005C1230"/>
    <w:rsid w:val="005C1837"/>
    <w:rsid w:val="005C1C6F"/>
    <w:rsid w:val="005C25D4"/>
    <w:rsid w:val="005C2F16"/>
    <w:rsid w:val="005C33FF"/>
    <w:rsid w:val="005C3EAB"/>
    <w:rsid w:val="005C40B3"/>
    <w:rsid w:val="005C40D7"/>
    <w:rsid w:val="005C4274"/>
    <w:rsid w:val="005C46B2"/>
    <w:rsid w:val="005C47E5"/>
    <w:rsid w:val="005C48EA"/>
    <w:rsid w:val="005C545E"/>
    <w:rsid w:val="005C54F0"/>
    <w:rsid w:val="005C5CCA"/>
    <w:rsid w:val="005C5FC6"/>
    <w:rsid w:val="005C6380"/>
    <w:rsid w:val="005C64FD"/>
    <w:rsid w:val="005C6611"/>
    <w:rsid w:val="005C6B36"/>
    <w:rsid w:val="005C709A"/>
    <w:rsid w:val="005C72D9"/>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AB0"/>
    <w:rsid w:val="005D7EF3"/>
    <w:rsid w:val="005D7F6B"/>
    <w:rsid w:val="005E01F6"/>
    <w:rsid w:val="005E07FC"/>
    <w:rsid w:val="005E0A42"/>
    <w:rsid w:val="005E14C1"/>
    <w:rsid w:val="005E157E"/>
    <w:rsid w:val="005E1613"/>
    <w:rsid w:val="005E1EBC"/>
    <w:rsid w:val="005E2332"/>
    <w:rsid w:val="005E265F"/>
    <w:rsid w:val="005E2A82"/>
    <w:rsid w:val="005E2DB7"/>
    <w:rsid w:val="005E3282"/>
    <w:rsid w:val="005E3448"/>
    <w:rsid w:val="005E3814"/>
    <w:rsid w:val="005E38BE"/>
    <w:rsid w:val="005E4616"/>
    <w:rsid w:val="005E4C45"/>
    <w:rsid w:val="005E4E34"/>
    <w:rsid w:val="005E4F50"/>
    <w:rsid w:val="005E6082"/>
    <w:rsid w:val="005E6463"/>
    <w:rsid w:val="005E7181"/>
    <w:rsid w:val="005E7374"/>
    <w:rsid w:val="005E7BC5"/>
    <w:rsid w:val="005F01B9"/>
    <w:rsid w:val="005F096B"/>
    <w:rsid w:val="005F0C23"/>
    <w:rsid w:val="005F0CD7"/>
    <w:rsid w:val="005F0F0F"/>
    <w:rsid w:val="005F0F18"/>
    <w:rsid w:val="005F128C"/>
    <w:rsid w:val="005F1CBE"/>
    <w:rsid w:val="005F277D"/>
    <w:rsid w:val="005F2C64"/>
    <w:rsid w:val="005F2CFA"/>
    <w:rsid w:val="005F2D8A"/>
    <w:rsid w:val="005F2FC7"/>
    <w:rsid w:val="005F42DA"/>
    <w:rsid w:val="005F459C"/>
    <w:rsid w:val="005F5073"/>
    <w:rsid w:val="005F530F"/>
    <w:rsid w:val="005F638B"/>
    <w:rsid w:val="005F697F"/>
    <w:rsid w:val="005F6AF2"/>
    <w:rsid w:val="005F6D50"/>
    <w:rsid w:val="005F7178"/>
    <w:rsid w:val="005F7437"/>
    <w:rsid w:val="005F7562"/>
    <w:rsid w:val="00600314"/>
    <w:rsid w:val="0060039E"/>
    <w:rsid w:val="00600520"/>
    <w:rsid w:val="00601214"/>
    <w:rsid w:val="00601386"/>
    <w:rsid w:val="006013E1"/>
    <w:rsid w:val="00601461"/>
    <w:rsid w:val="006015B0"/>
    <w:rsid w:val="00601FC3"/>
    <w:rsid w:val="00602876"/>
    <w:rsid w:val="00602E21"/>
    <w:rsid w:val="006033A2"/>
    <w:rsid w:val="006035AF"/>
    <w:rsid w:val="006037C4"/>
    <w:rsid w:val="00604147"/>
    <w:rsid w:val="0060488E"/>
    <w:rsid w:val="0060490E"/>
    <w:rsid w:val="00604A49"/>
    <w:rsid w:val="00604CDE"/>
    <w:rsid w:val="00605080"/>
    <w:rsid w:val="0060571F"/>
    <w:rsid w:val="0060588D"/>
    <w:rsid w:val="00605B17"/>
    <w:rsid w:val="00605C4B"/>
    <w:rsid w:val="0060608D"/>
    <w:rsid w:val="006065B5"/>
    <w:rsid w:val="00606D0E"/>
    <w:rsid w:val="006076EB"/>
    <w:rsid w:val="00610126"/>
    <w:rsid w:val="00610330"/>
    <w:rsid w:val="0061039C"/>
    <w:rsid w:val="006104D9"/>
    <w:rsid w:val="00610788"/>
    <w:rsid w:val="00610E83"/>
    <w:rsid w:val="0061105A"/>
    <w:rsid w:val="0061174C"/>
    <w:rsid w:val="00611906"/>
    <w:rsid w:val="00611B2E"/>
    <w:rsid w:val="00611C4E"/>
    <w:rsid w:val="00611EC4"/>
    <w:rsid w:val="00612086"/>
    <w:rsid w:val="0061219A"/>
    <w:rsid w:val="00612832"/>
    <w:rsid w:val="00612D7E"/>
    <w:rsid w:val="006130C0"/>
    <w:rsid w:val="00613158"/>
    <w:rsid w:val="006135EB"/>
    <w:rsid w:val="00613AFB"/>
    <w:rsid w:val="00613B7A"/>
    <w:rsid w:val="00613F5D"/>
    <w:rsid w:val="00614149"/>
    <w:rsid w:val="00614D23"/>
    <w:rsid w:val="00614D29"/>
    <w:rsid w:val="00614D6E"/>
    <w:rsid w:val="00614DA8"/>
    <w:rsid w:val="006153BC"/>
    <w:rsid w:val="006155DE"/>
    <w:rsid w:val="00615975"/>
    <w:rsid w:val="006165D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D2"/>
    <w:rsid w:val="0062748A"/>
    <w:rsid w:val="00627A9C"/>
    <w:rsid w:val="00627C3B"/>
    <w:rsid w:val="00627E36"/>
    <w:rsid w:val="0063004F"/>
    <w:rsid w:val="0063026C"/>
    <w:rsid w:val="00630357"/>
    <w:rsid w:val="00630392"/>
    <w:rsid w:val="00630937"/>
    <w:rsid w:val="00630D43"/>
    <w:rsid w:val="00630D52"/>
    <w:rsid w:val="00631139"/>
    <w:rsid w:val="006314B4"/>
    <w:rsid w:val="006315AC"/>
    <w:rsid w:val="00631EFD"/>
    <w:rsid w:val="00633130"/>
    <w:rsid w:val="00633423"/>
    <w:rsid w:val="00634168"/>
    <w:rsid w:val="0063439D"/>
    <w:rsid w:val="006348B6"/>
    <w:rsid w:val="006348B7"/>
    <w:rsid w:val="00634BFD"/>
    <w:rsid w:val="00634C05"/>
    <w:rsid w:val="00634D29"/>
    <w:rsid w:val="00634DC6"/>
    <w:rsid w:val="00635635"/>
    <w:rsid w:val="0063590D"/>
    <w:rsid w:val="00635B8F"/>
    <w:rsid w:val="00635F65"/>
    <w:rsid w:val="00636502"/>
    <w:rsid w:val="00636611"/>
    <w:rsid w:val="00636965"/>
    <w:rsid w:val="00636A02"/>
    <w:rsid w:val="00636CED"/>
    <w:rsid w:val="006372F3"/>
    <w:rsid w:val="006374F4"/>
    <w:rsid w:val="006375E2"/>
    <w:rsid w:val="00637A29"/>
    <w:rsid w:val="006406E2"/>
    <w:rsid w:val="00641231"/>
    <w:rsid w:val="006412D4"/>
    <w:rsid w:val="00641544"/>
    <w:rsid w:val="00641583"/>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AB2"/>
    <w:rsid w:val="00646B46"/>
    <w:rsid w:val="00647281"/>
    <w:rsid w:val="006478B5"/>
    <w:rsid w:val="00647E2A"/>
    <w:rsid w:val="00650CF7"/>
    <w:rsid w:val="0065108F"/>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3C7"/>
    <w:rsid w:val="00660483"/>
    <w:rsid w:val="00660CD0"/>
    <w:rsid w:val="006619DD"/>
    <w:rsid w:val="00662979"/>
    <w:rsid w:val="006629B0"/>
    <w:rsid w:val="00662A09"/>
    <w:rsid w:val="006633D5"/>
    <w:rsid w:val="006638CE"/>
    <w:rsid w:val="00663E04"/>
    <w:rsid w:val="00663EC6"/>
    <w:rsid w:val="00664196"/>
    <w:rsid w:val="006642E4"/>
    <w:rsid w:val="00664B50"/>
    <w:rsid w:val="00664BA8"/>
    <w:rsid w:val="00664DE5"/>
    <w:rsid w:val="00664EB6"/>
    <w:rsid w:val="0066501D"/>
    <w:rsid w:val="00665686"/>
    <w:rsid w:val="00665A3F"/>
    <w:rsid w:val="00665C41"/>
    <w:rsid w:val="00665E13"/>
    <w:rsid w:val="00665F86"/>
    <w:rsid w:val="00666905"/>
    <w:rsid w:val="00666BAC"/>
    <w:rsid w:val="00666C92"/>
    <w:rsid w:val="006670D2"/>
    <w:rsid w:val="00667663"/>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897"/>
    <w:rsid w:val="00674ACB"/>
    <w:rsid w:val="006750AF"/>
    <w:rsid w:val="0067573D"/>
    <w:rsid w:val="00675B14"/>
    <w:rsid w:val="00675BC2"/>
    <w:rsid w:val="00675DB4"/>
    <w:rsid w:val="006764A0"/>
    <w:rsid w:val="006764B6"/>
    <w:rsid w:val="00676801"/>
    <w:rsid w:val="0067687C"/>
    <w:rsid w:val="00676F1A"/>
    <w:rsid w:val="00677356"/>
    <w:rsid w:val="00677495"/>
    <w:rsid w:val="00677A93"/>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1EAE"/>
    <w:rsid w:val="00691F30"/>
    <w:rsid w:val="00692165"/>
    <w:rsid w:val="0069268A"/>
    <w:rsid w:val="0069365D"/>
    <w:rsid w:val="00693BD7"/>
    <w:rsid w:val="00693C1D"/>
    <w:rsid w:val="006944A6"/>
    <w:rsid w:val="0069492F"/>
    <w:rsid w:val="00694D5F"/>
    <w:rsid w:val="006957AC"/>
    <w:rsid w:val="00695872"/>
    <w:rsid w:val="006959C1"/>
    <w:rsid w:val="00695FBC"/>
    <w:rsid w:val="0069619D"/>
    <w:rsid w:val="00696576"/>
    <w:rsid w:val="00696A44"/>
    <w:rsid w:val="00696E96"/>
    <w:rsid w:val="006976DC"/>
    <w:rsid w:val="006A0559"/>
    <w:rsid w:val="006A084E"/>
    <w:rsid w:val="006A0974"/>
    <w:rsid w:val="006A0FFF"/>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1335"/>
    <w:rsid w:val="006B194B"/>
    <w:rsid w:val="006B19E7"/>
    <w:rsid w:val="006B1BD6"/>
    <w:rsid w:val="006B1D45"/>
    <w:rsid w:val="006B1F38"/>
    <w:rsid w:val="006B2753"/>
    <w:rsid w:val="006B3263"/>
    <w:rsid w:val="006B3A57"/>
    <w:rsid w:val="006B3CF5"/>
    <w:rsid w:val="006B3CFA"/>
    <w:rsid w:val="006B3D53"/>
    <w:rsid w:val="006B3D90"/>
    <w:rsid w:val="006B3DDF"/>
    <w:rsid w:val="006B4228"/>
    <w:rsid w:val="006B44F8"/>
    <w:rsid w:val="006B4783"/>
    <w:rsid w:val="006B481F"/>
    <w:rsid w:val="006B5B97"/>
    <w:rsid w:val="006B600A"/>
    <w:rsid w:val="006B652C"/>
    <w:rsid w:val="006B668A"/>
    <w:rsid w:val="006B6CE5"/>
    <w:rsid w:val="006B7AAA"/>
    <w:rsid w:val="006B7BFA"/>
    <w:rsid w:val="006B7C21"/>
    <w:rsid w:val="006B7F78"/>
    <w:rsid w:val="006C00E7"/>
    <w:rsid w:val="006C016B"/>
    <w:rsid w:val="006C01A8"/>
    <w:rsid w:val="006C177C"/>
    <w:rsid w:val="006C20EE"/>
    <w:rsid w:val="006C212C"/>
    <w:rsid w:val="006C21BD"/>
    <w:rsid w:val="006C2F26"/>
    <w:rsid w:val="006C3699"/>
    <w:rsid w:val="006C3760"/>
    <w:rsid w:val="006C39F6"/>
    <w:rsid w:val="006C3F34"/>
    <w:rsid w:val="006C4034"/>
    <w:rsid w:val="006C4794"/>
    <w:rsid w:val="006C53CB"/>
    <w:rsid w:val="006C559E"/>
    <w:rsid w:val="006C59E8"/>
    <w:rsid w:val="006C5C96"/>
    <w:rsid w:val="006C60DE"/>
    <w:rsid w:val="006C696C"/>
    <w:rsid w:val="006C6EB2"/>
    <w:rsid w:val="006C6EB4"/>
    <w:rsid w:val="006C6ED0"/>
    <w:rsid w:val="006C72BE"/>
    <w:rsid w:val="006C7C41"/>
    <w:rsid w:val="006D0140"/>
    <w:rsid w:val="006D0724"/>
    <w:rsid w:val="006D099B"/>
    <w:rsid w:val="006D129D"/>
    <w:rsid w:val="006D1753"/>
    <w:rsid w:val="006D1ADC"/>
    <w:rsid w:val="006D1E46"/>
    <w:rsid w:val="006D2232"/>
    <w:rsid w:val="006D29ED"/>
    <w:rsid w:val="006D2AAA"/>
    <w:rsid w:val="006D33C4"/>
    <w:rsid w:val="006D352B"/>
    <w:rsid w:val="006D3A49"/>
    <w:rsid w:val="006D3F5B"/>
    <w:rsid w:val="006D40BE"/>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7CF"/>
    <w:rsid w:val="006E1BD1"/>
    <w:rsid w:val="006E1F4D"/>
    <w:rsid w:val="006E22D9"/>
    <w:rsid w:val="006E2B7B"/>
    <w:rsid w:val="006E2DEE"/>
    <w:rsid w:val="006E315A"/>
    <w:rsid w:val="006E31B7"/>
    <w:rsid w:val="006E37B7"/>
    <w:rsid w:val="006E39D2"/>
    <w:rsid w:val="006E3A45"/>
    <w:rsid w:val="006E433B"/>
    <w:rsid w:val="006E4427"/>
    <w:rsid w:val="006E4C11"/>
    <w:rsid w:val="006E4D31"/>
    <w:rsid w:val="006E52D4"/>
    <w:rsid w:val="006E5A43"/>
    <w:rsid w:val="006E5BE1"/>
    <w:rsid w:val="006E6111"/>
    <w:rsid w:val="006E6147"/>
    <w:rsid w:val="006E6D09"/>
    <w:rsid w:val="006E7328"/>
    <w:rsid w:val="006E78B8"/>
    <w:rsid w:val="006E7CF2"/>
    <w:rsid w:val="006F0002"/>
    <w:rsid w:val="006F28AF"/>
    <w:rsid w:val="006F29EB"/>
    <w:rsid w:val="006F302A"/>
    <w:rsid w:val="006F31C4"/>
    <w:rsid w:val="006F325A"/>
    <w:rsid w:val="006F361A"/>
    <w:rsid w:val="006F3C38"/>
    <w:rsid w:val="006F4886"/>
    <w:rsid w:val="006F48BF"/>
    <w:rsid w:val="006F4CA4"/>
    <w:rsid w:val="006F5063"/>
    <w:rsid w:val="006F514E"/>
    <w:rsid w:val="006F5739"/>
    <w:rsid w:val="006F6C7B"/>
    <w:rsid w:val="006F79F4"/>
    <w:rsid w:val="006F7FA0"/>
    <w:rsid w:val="007004DC"/>
    <w:rsid w:val="00700DC3"/>
    <w:rsid w:val="00701295"/>
    <w:rsid w:val="0070135E"/>
    <w:rsid w:val="00701427"/>
    <w:rsid w:val="007016CF"/>
    <w:rsid w:val="00701A95"/>
    <w:rsid w:val="0070212A"/>
    <w:rsid w:val="00703498"/>
    <w:rsid w:val="00703499"/>
    <w:rsid w:val="00703587"/>
    <w:rsid w:val="0070378F"/>
    <w:rsid w:val="00704179"/>
    <w:rsid w:val="00704294"/>
    <w:rsid w:val="0070513B"/>
    <w:rsid w:val="00705549"/>
    <w:rsid w:val="007057C4"/>
    <w:rsid w:val="00705900"/>
    <w:rsid w:val="00705DA5"/>
    <w:rsid w:val="0070627C"/>
    <w:rsid w:val="00706A34"/>
    <w:rsid w:val="0070735A"/>
    <w:rsid w:val="00707521"/>
    <w:rsid w:val="0070752B"/>
    <w:rsid w:val="00707578"/>
    <w:rsid w:val="00707D6A"/>
    <w:rsid w:val="00711232"/>
    <w:rsid w:val="00711BD8"/>
    <w:rsid w:val="00711CB7"/>
    <w:rsid w:val="007120D2"/>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71F7"/>
    <w:rsid w:val="00717996"/>
    <w:rsid w:val="00717CD2"/>
    <w:rsid w:val="00717FD5"/>
    <w:rsid w:val="00720D99"/>
    <w:rsid w:val="00720DDE"/>
    <w:rsid w:val="00720F31"/>
    <w:rsid w:val="007211C3"/>
    <w:rsid w:val="007219E1"/>
    <w:rsid w:val="00721AE1"/>
    <w:rsid w:val="00721B33"/>
    <w:rsid w:val="00721DF6"/>
    <w:rsid w:val="007224AF"/>
    <w:rsid w:val="00722516"/>
    <w:rsid w:val="007226C2"/>
    <w:rsid w:val="0072270E"/>
    <w:rsid w:val="00722D68"/>
    <w:rsid w:val="007232E7"/>
    <w:rsid w:val="007232FE"/>
    <w:rsid w:val="007234DE"/>
    <w:rsid w:val="00724018"/>
    <w:rsid w:val="00724A86"/>
    <w:rsid w:val="00724F10"/>
    <w:rsid w:val="0072575C"/>
    <w:rsid w:val="007257FD"/>
    <w:rsid w:val="0072580C"/>
    <w:rsid w:val="007259EE"/>
    <w:rsid w:val="007268D5"/>
    <w:rsid w:val="007271B6"/>
    <w:rsid w:val="00727374"/>
    <w:rsid w:val="0072739F"/>
    <w:rsid w:val="00727AC2"/>
    <w:rsid w:val="00727BE7"/>
    <w:rsid w:val="00727EF2"/>
    <w:rsid w:val="00727F1C"/>
    <w:rsid w:val="00731ED0"/>
    <w:rsid w:val="00732243"/>
    <w:rsid w:val="007329A1"/>
    <w:rsid w:val="0073317F"/>
    <w:rsid w:val="0073374F"/>
    <w:rsid w:val="007338AA"/>
    <w:rsid w:val="007339A8"/>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2086"/>
    <w:rsid w:val="00742C09"/>
    <w:rsid w:val="00742CBD"/>
    <w:rsid w:val="00742E2E"/>
    <w:rsid w:val="00742E42"/>
    <w:rsid w:val="00743030"/>
    <w:rsid w:val="00743B33"/>
    <w:rsid w:val="007442DF"/>
    <w:rsid w:val="0074452D"/>
    <w:rsid w:val="007452AB"/>
    <w:rsid w:val="00745A0C"/>
    <w:rsid w:val="00745BAE"/>
    <w:rsid w:val="007469B3"/>
    <w:rsid w:val="00746ACF"/>
    <w:rsid w:val="00747161"/>
    <w:rsid w:val="0074780A"/>
    <w:rsid w:val="007478FB"/>
    <w:rsid w:val="007479AD"/>
    <w:rsid w:val="00747A73"/>
    <w:rsid w:val="00747EF4"/>
    <w:rsid w:val="00750DB2"/>
    <w:rsid w:val="00750F4B"/>
    <w:rsid w:val="00751672"/>
    <w:rsid w:val="00751B1D"/>
    <w:rsid w:val="00752015"/>
    <w:rsid w:val="00752258"/>
    <w:rsid w:val="00752BAA"/>
    <w:rsid w:val="007530E6"/>
    <w:rsid w:val="00753238"/>
    <w:rsid w:val="00753611"/>
    <w:rsid w:val="0075373D"/>
    <w:rsid w:val="007538B1"/>
    <w:rsid w:val="00753BB7"/>
    <w:rsid w:val="00753CA0"/>
    <w:rsid w:val="00753EEE"/>
    <w:rsid w:val="00754234"/>
    <w:rsid w:val="0075462A"/>
    <w:rsid w:val="00754A60"/>
    <w:rsid w:val="00754CA6"/>
    <w:rsid w:val="00755144"/>
    <w:rsid w:val="00755F32"/>
    <w:rsid w:val="007561DC"/>
    <w:rsid w:val="007565CE"/>
    <w:rsid w:val="00756AA6"/>
    <w:rsid w:val="0075760C"/>
    <w:rsid w:val="007604F5"/>
    <w:rsid w:val="0076099E"/>
    <w:rsid w:val="007609DA"/>
    <w:rsid w:val="00760DE6"/>
    <w:rsid w:val="00761032"/>
    <w:rsid w:val="007610F3"/>
    <w:rsid w:val="00761133"/>
    <w:rsid w:val="00761560"/>
    <w:rsid w:val="0076163E"/>
    <w:rsid w:val="0076187B"/>
    <w:rsid w:val="00762287"/>
    <w:rsid w:val="00762CBC"/>
    <w:rsid w:val="00762E86"/>
    <w:rsid w:val="00764221"/>
    <w:rsid w:val="00764274"/>
    <w:rsid w:val="00764F5B"/>
    <w:rsid w:val="007652B8"/>
    <w:rsid w:val="00765331"/>
    <w:rsid w:val="00765CC9"/>
    <w:rsid w:val="0076672D"/>
    <w:rsid w:val="00767260"/>
    <w:rsid w:val="00767F1E"/>
    <w:rsid w:val="0077036C"/>
    <w:rsid w:val="007706C3"/>
    <w:rsid w:val="00770D90"/>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4A3"/>
    <w:rsid w:val="007765F6"/>
    <w:rsid w:val="00776ADA"/>
    <w:rsid w:val="00777606"/>
    <w:rsid w:val="00777970"/>
    <w:rsid w:val="007779F7"/>
    <w:rsid w:val="007802E5"/>
    <w:rsid w:val="007810A3"/>
    <w:rsid w:val="00781218"/>
    <w:rsid w:val="0078146A"/>
    <w:rsid w:val="0078165C"/>
    <w:rsid w:val="007819A9"/>
    <w:rsid w:val="00781A5F"/>
    <w:rsid w:val="00782253"/>
    <w:rsid w:val="0078237B"/>
    <w:rsid w:val="007825CE"/>
    <w:rsid w:val="007825F7"/>
    <w:rsid w:val="00782927"/>
    <w:rsid w:val="00782A09"/>
    <w:rsid w:val="007834F6"/>
    <w:rsid w:val="0078386C"/>
    <w:rsid w:val="007838FB"/>
    <w:rsid w:val="0078438B"/>
    <w:rsid w:val="00784486"/>
    <w:rsid w:val="007849A6"/>
    <w:rsid w:val="00784E4F"/>
    <w:rsid w:val="00785C94"/>
    <w:rsid w:val="00785C9F"/>
    <w:rsid w:val="00786469"/>
    <w:rsid w:val="0078658D"/>
    <w:rsid w:val="0078667F"/>
    <w:rsid w:val="007867AC"/>
    <w:rsid w:val="007871C6"/>
    <w:rsid w:val="00787C9B"/>
    <w:rsid w:val="00787D5B"/>
    <w:rsid w:val="00790BCC"/>
    <w:rsid w:val="00791076"/>
    <w:rsid w:val="0079123A"/>
    <w:rsid w:val="0079162D"/>
    <w:rsid w:val="00791871"/>
    <w:rsid w:val="00792672"/>
    <w:rsid w:val="00792792"/>
    <w:rsid w:val="0079294B"/>
    <w:rsid w:val="00792DF2"/>
    <w:rsid w:val="00793359"/>
    <w:rsid w:val="0079429C"/>
    <w:rsid w:val="0079532A"/>
    <w:rsid w:val="00795BA3"/>
    <w:rsid w:val="00795DE4"/>
    <w:rsid w:val="00795ED5"/>
    <w:rsid w:val="00796773"/>
    <w:rsid w:val="0079683A"/>
    <w:rsid w:val="00796CD2"/>
    <w:rsid w:val="0079784C"/>
    <w:rsid w:val="0079790F"/>
    <w:rsid w:val="00797F0C"/>
    <w:rsid w:val="007A0068"/>
    <w:rsid w:val="007A097D"/>
    <w:rsid w:val="007A11AA"/>
    <w:rsid w:val="007A1548"/>
    <w:rsid w:val="007A193F"/>
    <w:rsid w:val="007A1EE2"/>
    <w:rsid w:val="007A255B"/>
    <w:rsid w:val="007A2590"/>
    <w:rsid w:val="007A28CE"/>
    <w:rsid w:val="007A2E1C"/>
    <w:rsid w:val="007A30B2"/>
    <w:rsid w:val="007A371B"/>
    <w:rsid w:val="007A4223"/>
    <w:rsid w:val="007A4231"/>
    <w:rsid w:val="007A4639"/>
    <w:rsid w:val="007A553D"/>
    <w:rsid w:val="007A599C"/>
    <w:rsid w:val="007A59AB"/>
    <w:rsid w:val="007A61DD"/>
    <w:rsid w:val="007A64CB"/>
    <w:rsid w:val="007A6952"/>
    <w:rsid w:val="007A6E21"/>
    <w:rsid w:val="007B08E8"/>
    <w:rsid w:val="007B0AB8"/>
    <w:rsid w:val="007B0B96"/>
    <w:rsid w:val="007B1226"/>
    <w:rsid w:val="007B138D"/>
    <w:rsid w:val="007B165C"/>
    <w:rsid w:val="007B1F15"/>
    <w:rsid w:val="007B2B80"/>
    <w:rsid w:val="007B2F4D"/>
    <w:rsid w:val="007B3132"/>
    <w:rsid w:val="007B31CC"/>
    <w:rsid w:val="007B3CED"/>
    <w:rsid w:val="007B44A7"/>
    <w:rsid w:val="007B4B28"/>
    <w:rsid w:val="007B4C59"/>
    <w:rsid w:val="007B4D5D"/>
    <w:rsid w:val="007B54C9"/>
    <w:rsid w:val="007B5ACB"/>
    <w:rsid w:val="007B7298"/>
    <w:rsid w:val="007B7AB6"/>
    <w:rsid w:val="007B7B7D"/>
    <w:rsid w:val="007B7D9F"/>
    <w:rsid w:val="007C0414"/>
    <w:rsid w:val="007C0427"/>
    <w:rsid w:val="007C0914"/>
    <w:rsid w:val="007C0AE8"/>
    <w:rsid w:val="007C0B6B"/>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1A0"/>
    <w:rsid w:val="007C4231"/>
    <w:rsid w:val="007C44FC"/>
    <w:rsid w:val="007C45C3"/>
    <w:rsid w:val="007C491B"/>
    <w:rsid w:val="007C4EC8"/>
    <w:rsid w:val="007C51CF"/>
    <w:rsid w:val="007C5357"/>
    <w:rsid w:val="007C5A02"/>
    <w:rsid w:val="007C5A3D"/>
    <w:rsid w:val="007C6289"/>
    <w:rsid w:val="007C6707"/>
    <w:rsid w:val="007C73B6"/>
    <w:rsid w:val="007D00B9"/>
    <w:rsid w:val="007D074D"/>
    <w:rsid w:val="007D0D64"/>
    <w:rsid w:val="007D1F1E"/>
    <w:rsid w:val="007D398D"/>
    <w:rsid w:val="007D3EB4"/>
    <w:rsid w:val="007D3EBA"/>
    <w:rsid w:val="007D425A"/>
    <w:rsid w:val="007D4366"/>
    <w:rsid w:val="007D4E4E"/>
    <w:rsid w:val="007D54CA"/>
    <w:rsid w:val="007D5A60"/>
    <w:rsid w:val="007D5DC7"/>
    <w:rsid w:val="007D64CC"/>
    <w:rsid w:val="007D67AD"/>
    <w:rsid w:val="007D72C3"/>
    <w:rsid w:val="007D75F2"/>
    <w:rsid w:val="007D79CC"/>
    <w:rsid w:val="007D7BF9"/>
    <w:rsid w:val="007D7C64"/>
    <w:rsid w:val="007E0B90"/>
    <w:rsid w:val="007E0EA4"/>
    <w:rsid w:val="007E0EE7"/>
    <w:rsid w:val="007E145F"/>
    <w:rsid w:val="007E2E68"/>
    <w:rsid w:val="007E31DC"/>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638F"/>
    <w:rsid w:val="008072A8"/>
    <w:rsid w:val="00807BA4"/>
    <w:rsid w:val="00810F3C"/>
    <w:rsid w:val="0081101B"/>
    <w:rsid w:val="0081149D"/>
    <w:rsid w:val="00812189"/>
    <w:rsid w:val="00812767"/>
    <w:rsid w:val="00812836"/>
    <w:rsid w:val="00812B4C"/>
    <w:rsid w:val="00813072"/>
    <w:rsid w:val="00814DBB"/>
    <w:rsid w:val="00815413"/>
    <w:rsid w:val="008154C3"/>
    <w:rsid w:val="00815687"/>
    <w:rsid w:val="00815C7B"/>
    <w:rsid w:val="00815EB1"/>
    <w:rsid w:val="00815FCA"/>
    <w:rsid w:val="008160FB"/>
    <w:rsid w:val="0081661A"/>
    <w:rsid w:val="008166E2"/>
    <w:rsid w:val="008167C9"/>
    <w:rsid w:val="008168D9"/>
    <w:rsid w:val="0081754C"/>
    <w:rsid w:val="00817CA8"/>
    <w:rsid w:val="00820220"/>
    <w:rsid w:val="00820319"/>
    <w:rsid w:val="0082064E"/>
    <w:rsid w:val="00820CB5"/>
    <w:rsid w:val="0082172C"/>
    <w:rsid w:val="00821E08"/>
    <w:rsid w:val="0082266F"/>
    <w:rsid w:val="00822A31"/>
    <w:rsid w:val="00822C5A"/>
    <w:rsid w:val="00823783"/>
    <w:rsid w:val="00823A9D"/>
    <w:rsid w:val="00823EDF"/>
    <w:rsid w:val="0082447D"/>
    <w:rsid w:val="0082453C"/>
    <w:rsid w:val="00824604"/>
    <w:rsid w:val="00824704"/>
    <w:rsid w:val="0082547D"/>
    <w:rsid w:val="00825490"/>
    <w:rsid w:val="008255E9"/>
    <w:rsid w:val="00825752"/>
    <w:rsid w:val="0082764B"/>
    <w:rsid w:val="00830368"/>
    <w:rsid w:val="00830556"/>
    <w:rsid w:val="00830590"/>
    <w:rsid w:val="00830B9F"/>
    <w:rsid w:val="00830F8E"/>
    <w:rsid w:val="008312B0"/>
    <w:rsid w:val="0083134A"/>
    <w:rsid w:val="00831456"/>
    <w:rsid w:val="0083180A"/>
    <w:rsid w:val="00831FFA"/>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227"/>
    <w:rsid w:val="0083779B"/>
    <w:rsid w:val="00837AB6"/>
    <w:rsid w:val="00837BDE"/>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C97"/>
    <w:rsid w:val="008513A9"/>
    <w:rsid w:val="00852DEA"/>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0E78"/>
    <w:rsid w:val="00861165"/>
    <w:rsid w:val="008612F7"/>
    <w:rsid w:val="008613D0"/>
    <w:rsid w:val="008616EB"/>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AF8"/>
    <w:rsid w:val="00871BEB"/>
    <w:rsid w:val="00871C13"/>
    <w:rsid w:val="00872156"/>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246"/>
    <w:rsid w:val="00880932"/>
    <w:rsid w:val="008819B1"/>
    <w:rsid w:val="00881B6A"/>
    <w:rsid w:val="00881B9E"/>
    <w:rsid w:val="00883008"/>
    <w:rsid w:val="0088300E"/>
    <w:rsid w:val="0088318D"/>
    <w:rsid w:val="00883815"/>
    <w:rsid w:val="00883A8A"/>
    <w:rsid w:val="00883D46"/>
    <w:rsid w:val="00883D7F"/>
    <w:rsid w:val="00883ECE"/>
    <w:rsid w:val="00884068"/>
    <w:rsid w:val="0088499F"/>
    <w:rsid w:val="00884E99"/>
    <w:rsid w:val="00885FF6"/>
    <w:rsid w:val="00886F11"/>
    <w:rsid w:val="00886F35"/>
    <w:rsid w:val="0088713B"/>
    <w:rsid w:val="00887406"/>
    <w:rsid w:val="00887458"/>
    <w:rsid w:val="00887C49"/>
    <w:rsid w:val="00887D87"/>
    <w:rsid w:val="00890F29"/>
    <w:rsid w:val="00891550"/>
    <w:rsid w:val="00891D45"/>
    <w:rsid w:val="00891E2F"/>
    <w:rsid w:val="008923C7"/>
    <w:rsid w:val="00892452"/>
    <w:rsid w:val="00892944"/>
    <w:rsid w:val="008929C6"/>
    <w:rsid w:val="00892C22"/>
    <w:rsid w:val="00892D34"/>
    <w:rsid w:val="00893180"/>
    <w:rsid w:val="00893573"/>
    <w:rsid w:val="008935EB"/>
    <w:rsid w:val="00893992"/>
    <w:rsid w:val="00893E7A"/>
    <w:rsid w:val="00894CA4"/>
    <w:rsid w:val="0089517E"/>
    <w:rsid w:val="00895A1B"/>
    <w:rsid w:val="00895A9F"/>
    <w:rsid w:val="00896A4F"/>
    <w:rsid w:val="008975C4"/>
    <w:rsid w:val="00897CE0"/>
    <w:rsid w:val="008A0953"/>
    <w:rsid w:val="008A102D"/>
    <w:rsid w:val="008A2DD7"/>
    <w:rsid w:val="008A3350"/>
    <w:rsid w:val="008A337E"/>
    <w:rsid w:val="008A3637"/>
    <w:rsid w:val="008A3CD3"/>
    <w:rsid w:val="008A3E4C"/>
    <w:rsid w:val="008A43E5"/>
    <w:rsid w:val="008A48D8"/>
    <w:rsid w:val="008A5219"/>
    <w:rsid w:val="008A5344"/>
    <w:rsid w:val="008A57DF"/>
    <w:rsid w:val="008A5A78"/>
    <w:rsid w:val="008A65A3"/>
    <w:rsid w:val="008A673B"/>
    <w:rsid w:val="008A67AE"/>
    <w:rsid w:val="008A681C"/>
    <w:rsid w:val="008A6AB6"/>
    <w:rsid w:val="008A6B63"/>
    <w:rsid w:val="008A6E01"/>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668"/>
    <w:rsid w:val="008B581B"/>
    <w:rsid w:val="008B5AB9"/>
    <w:rsid w:val="008B6587"/>
    <w:rsid w:val="008B6611"/>
    <w:rsid w:val="008B70AE"/>
    <w:rsid w:val="008B71A7"/>
    <w:rsid w:val="008B747B"/>
    <w:rsid w:val="008B76E4"/>
    <w:rsid w:val="008B7CCF"/>
    <w:rsid w:val="008C063F"/>
    <w:rsid w:val="008C099E"/>
    <w:rsid w:val="008C1101"/>
    <w:rsid w:val="008C13B0"/>
    <w:rsid w:val="008C1578"/>
    <w:rsid w:val="008C16B8"/>
    <w:rsid w:val="008C22C1"/>
    <w:rsid w:val="008C23DF"/>
    <w:rsid w:val="008C2902"/>
    <w:rsid w:val="008C31DC"/>
    <w:rsid w:val="008C330E"/>
    <w:rsid w:val="008C3CA0"/>
    <w:rsid w:val="008C3F0C"/>
    <w:rsid w:val="008C4FDC"/>
    <w:rsid w:val="008C5ACF"/>
    <w:rsid w:val="008C6AE2"/>
    <w:rsid w:val="008C703A"/>
    <w:rsid w:val="008C7633"/>
    <w:rsid w:val="008C77D0"/>
    <w:rsid w:val="008D00FC"/>
    <w:rsid w:val="008D0916"/>
    <w:rsid w:val="008D0940"/>
    <w:rsid w:val="008D0C37"/>
    <w:rsid w:val="008D0D4E"/>
    <w:rsid w:val="008D0E4E"/>
    <w:rsid w:val="008D10F4"/>
    <w:rsid w:val="008D287C"/>
    <w:rsid w:val="008D2929"/>
    <w:rsid w:val="008D2E7A"/>
    <w:rsid w:val="008D3142"/>
    <w:rsid w:val="008D31D1"/>
    <w:rsid w:val="008D3734"/>
    <w:rsid w:val="008D38D6"/>
    <w:rsid w:val="008D3B4B"/>
    <w:rsid w:val="008D3EB6"/>
    <w:rsid w:val="008D402D"/>
    <w:rsid w:val="008D411D"/>
    <w:rsid w:val="008D4169"/>
    <w:rsid w:val="008D443C"/>
    <w:rsid w:val="008D4E65"/>
    <w:rsid w:val="008D57F3"/>
    <w:rsid w:val="008D5B20"/>
    <w:rsid w:val="008D6821"/>
    <w:rsid w:val="008D73DA"/>
    <w:rsid w:val="008D7923"/>
    <w:rsid w:val="008E051D"/>
    <w:rsid w:val="008E07C0"/>
    <w:rsid w:val="008E0842"/>
    <w:rsid w:val="008E159E"/>
    <w:rsid w:val="008E1751"/>
    <w:rsid w:val="008E176E"/>
    <w:rsid w:val="008E1DF2"/>
    <w:rsid w:val="008E21EC"/>
    <w:rsid w:val="008E2623"/>
    <w:rsid w:val="008E26D7"/>
    <w:rsid w:val="008E2BD8"/>
    <w:rsid w:val="008E340E"/>
    <w:rsid w:val="008E354C"/>
    <w:rsid w:val="008E35FD"/>
    <w:rsid w:val="008E3A10"/>
    <w:rsid w:val="008E3CA1"/>
    <w:rsid w:val="008E3D09"/>
    <w:rsid w:val="008E4896"/>
    <w:rsid w:val="008E536F"/>
    <w:rsid w:val="008E566E"/>
    <w:rsid w:val="008E5ABC"/>
    <w:rsid w:val="008E61EC"/>
    <w:rsid w:val="008E65FA"/>
    <w:rsid w:val="008E6AB3"/>
    <w:rsid w:val="008E6DA1"/>
    <w:rsid w:val="008E7820"/>
    <w:rsid w:val="008E7FFB"/>
    <w:rsid w:val="008F127C"/>
    <w:rsid w:val="008F17CF"/>
    <w:rsid w:val="008F1B62"/>
    <w:rsid w:val="008F2105"/>
    <w:rsid w:val="008F25EF"/>
    <w:rsid w:val="008F2A35"/>
    <w:rsid w:val="008F3203"/>
    <w:rsid w:val="008F323A"/>
    <w:rsid w:val="008F3AB2"/>
    <w:rsid w:val="008F41C8"/>
    <w:rsid w:val="008F4544"/>
    <w:rsid w:val="008F4743"/>
    <w:rsid w:val="008F47D5"/>
    <w:rsid w:val="008F5031"/>
    <w:rsid w:val="008F50D7"/>
    <w:rsid w:val="008F512E"/>
    <w:rsid w:val="008F52B6"/>
    <w:rsid w:val="008F6273"/>
    <w:rsid w:val="008F6724"/>
    <w:rsid w:val="008F6A9D"/>
    <w:rsid w:val="008F6AB2"/>
    <w:rsid w:val="008F6D08"/>
    <w:rsid w:val="008F6D4E"/>
    <w:rsid w:val="008F6F74"/>
    <w:rsid w:val="008F708C"/>
    <w:rsid w:val="008F7254"/>
    <w:rsid w:val="008F7762"/>
    <w:rsid w:val="008F7ABC"/>
    <w:rsid w:val="008F7DDC"/>
    <w:rsid w:val="008F7E31"/>
    <w:rsid w:val="008F7FA8"/>
    <w:rsid w:val="00900CC1"/>
    <w:rsid w:val="00900E7C"/>
    <w:rsid w:val="0090143B"/>
    <w:rsid w:val="00901811"/>
    <w:rsid w:val="00901D9C"/>
    <w:rsid w:val="009024BD"/>
    <w:rsid w:val="009033FA"/>
    <w:rsid w:val="009034AC"/>
    <w:rsid w:val="009042AD"/>
    <w:rsid w:val="009044AD"/>
    <w:rsid w:val="009047B4"/>
    <w:rsid w:val="00904A27"/>
    <w:rsid w:val="00904A7E"/>
    <w:rsid w:val="009052D1"/>
    <w:rsid w:val="009059B6"/>
    <w:rsid w:val="00905E4B"/>
    <w:rsid w:val="00906430"/>
    <w:rsid w:val="00906A32"/>
    <w:rsid w:val="00906C44"/>
    <w:rsid w:val="00906EAB"/>
    <w:rsid w:val="009071FE"/>
    <w:rsid w:val="00907242"/>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D68"/>
    <w:rsid w:val="00914F33"/>
    <w:rsid w:val="00915204"/>
    <w:rsid w:val="00915248"/>
    <w:rsid w:val="00915323"/>
    <w:rsid w:val="00916FA9"/>
    <w:rsid w:val="00917138"/>
    <w:rsid w:val="00917152"/>
    <w:rsid w:val="00917467"/>
    <w:rsid w:val="0091757E"/>
    <w:rsid w:val="009179EE"/>
    <w:rsid w:val="00917C20"/>
    <w:rsid w:val="009205A1"/>
    <w:rsid w:val="00920F09"/>
    <w:rsid w:val="00920F2D"/>
    <w:rsid w:val="00921671"/>
    <w:rsid w:val="0092183C"/>
    <w:rsid w:val="00922641"/>
    <w:rsid w:val="009226DD"/>
    <w:rsid w:val="00923500"/>
    <w:rsid w:val="00923C8E"/>
    <w:rsid w:val="00923ED7"/>
    <w:rsid w:val="009240E4"/>
    <w:rsid w:val="009241AD"/>
    <w:rsid w:val="0092498D"/>
    <w:rsid w:val="00924B3F"/>
    <w:rsid w:val="009255EE"/>
    <w:rsid w:val="00925C7E"/>
    <w:rsid w:val="009260C7"/>
    <w:rsid w:val="00926548"/>
    <w:rsid w:val="009268EA"/>
    <w:rsid w:val="00926AA8"/>
    <w:rsid w:val="0092752E"/>
    <w:rsid w:val="009278F3"/>
    <w:rsid w:val="00927B2D"/>
    <w:rsid w:val="00930D5A"/>
    <w:rsid w:val="00930FF9"/>
    <w:rsid w:val="00931525"/>
    <w:rsid w:val="009317D4"/>
    <w:rsid w:val="00931836"/>
    <w:rsid w:val="00931B08"/>
    <w:rsid w:val="00931CE4"/>
    <w:rsid w:val="00931DB2"/>
    <w:rsid w:val="00931E2B"/>
    <w:rsid w:val="00931EC7"/>
    <w:rsid w:val="00931FE4"/>
    <w:rsid w:val="009321E3"/>
    <w:rsid w:val="0093274D"/>
    <w:rsid w:val="00932901"/>
    <w:rsid w:val="00932A4D"/>
    <w:rsid w:val="00932AEC"/>
    <w:rsid w:val="009334B3"/>
    <w:rsid w:val="00933B7C"/>
    <w:rsid w:val="00933EC2"/>
    <w:rsid w:val="00934124"/>
    <w:rsid w:val="00934256"/>
    <w:rsid w:val="009343E8"/>
    <w:rsid w:val="009351FC"/>
    <w:rsid w:val="00935A2C"/>
    <w:rsid w:val="00935D02"/>
    <w:rsid w:val="00936181"/>
    <w:rsid w:val="009363E0"/>
    <w:rsid w:val="00936B18"/>
    <w:rsid w:val="009377EE"/>
    <w:rsid w:val="00937EF6"/>
    <w:rsid w:val="00940AD3"/>
    <w:rsid w:val="00941245"/>
    <w:rsid w:val="009416E5"/>
    <w:rsid w:val="00941A21"/>
    <w:rsid w:val="00941F09"/>
    <w:rsid w:val="009422E1"/>
    <w:rsid w:val="009427F5"/>
    <w:rsid w:val="00942E12"/>
    <w:rsid w:val="00942EC5"/>
    <w:rsid w:val="00944E17"/>
    <w:rsid w:val="00945253"/>
    <w:rsid w:val="00945529"/>
    <w:rsid w:val="00946409"/>
    <w:rsid w:val="00946624"/>
    <w:rsid w:val="00947433"/>
    <w:rsid w:val="009477B2"/>
    <w:rsid w:val="00947A1E"/>
    <w:rsid w:val="00947D3E"/>
    <w:rsid w:val="0095081A"/>
    <w:rsid w:val="00950FAA"/>
    <w:rsid w:val="0095189E"/>
    <w:rsid w:val="00951B35"/>
    <w:rsid w:val="00952196"/>
    <w:rsid w:val="00952806"/>
    <w:rsid w:val="00952F92"/>
    <w:rsid w:val="00953005"/>
    <w:rsid w:val="009531F0"/>
    <w:rsid w:val="00953433"/>
    <w:rsid w:val="00953883"/>
    <w:rsid w:val="009543FF"/>
    <w:rsid w:val="0095445F"/>
    <w:rsid w:val="00954DFF"/>
    <w:rsid w:val="00954E7E"/>
    <w:rsid w:val="00955B96"/>
    <w:rsid w:val="0095618D"/>
    <w:rsid w:val="00956B12"/>
    <w:rsid w:val="00957274"/>
    <w:rsid w:val="009577F0"/>
    <w:rsid w:val="009602B8"/>
    <w:rsid w:val="0096050D"/>
    <w:rsid w:val="0096103F"/>
    <w:rsid w:val="0096110F"/>
    <w:rsid w:val="00961D41"/>
    <w:rsid w:val="00961E75"/>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C6A"/>
    <w:rsid w:val="00967D71"/>
    <w:rsid w:val="0097092D"/>
    <w:rsid w:val="009711A6"/>
    <w:rsid w:val="00971562"/>
    <w:rsid w:val="0097169E"/>
    <w:rsid w:val="00971A32"/>
    <w:rsid w:val="00971B01"/>
    <w:rsid w:val="00971B32"/>
    <w:rsid w:val="00971F2F"/>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2427"/>
    <w:rsid w:val="00982527"/>
    <w:rsid w:val="00982C56"/>
    <w:rsid w:val="00983F2F"/>
    <w:rsid w:val="00984229"/>
    <w:rsid w:val="00984888"/>
    <w:rsid w:val="00984CD8"/>
    <w:rsid w:val="00985C48"/>
    <w:rsid w:val="0098604F"/>
    <w:rsid w:val="00986800"/>
    <w:rsid w:val="00986A3C"/>
    <w:rsid w:val="00986DB7"/>
    <w:rsid w:val="00986E0D"/>
    <w:rsid w:val="00987453"/>
    <w:rsid w:val="009879C9"/>
    <w:rsid w:val="00987BF6"/>
    <w:rsid w:val="00990065"/>
    <w:rsid w:val="00990314"/>
    <w:rsid w:val="009906AF"/>
    <w:rsid w:val="00990C45"/>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01"/>
    <w:rsid w:val="009A1336"/>
    <w:rsid w:val="009A160B"/>
    <w:rsid w:val="009A1CE7"/>
    <w:rsid w:val="009A1E02"/>
    <w:rsid w:val="009A239E"/>
    <w:rsid w:val="009A24A7"/>
    <w:rsid w:val="009A2F54"/>
    <w:rsid w:val="009A3789"/>
    <w:rsid w:val="009A37CC"/>
    <w:rsid w:val="009A3C70"/>
    <w:rsid w:val="009A3CCB"/>
    <w:rsid w:val="009A479C"/>
    <w:rsid w:val="009A544B"/>
    <w:rsid w:val="009A653E"/>
    <w:rsid w:val="009A6661"/>
    <w:rsid w:val="009A672F"/>
    <w:rsid w:val="009A70AC"/>
    <w:rsid w:val="009A7A48"/>
    <w:rsid w:val="009B075F"/>
    <w:rsid w:val="009B093B"/>
    <w:rsid w:val="009B0E2B"/>
    <w:rsid w:val="009B1607"/>
    <w:rsid w:val="009B1788"/>
    <w:rsid w:val="009B1D06"/>
    <w:rsid w:val="009B1F16"/>
    <w:rsid w:val="009B21FC"/>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91F"/>
    <w:rsid w:val="009C0F2F"/>
    <w:rsid w:val="009C1112"/>
    <w:rsid w:val="009C234E"/>
    <w:rsid w:val="009C2886"/>
    <w:rsid w:val="009C2E8C"/>
    <w:rsid w:val="009C2EEC"/>
    <w:rsid w:val="009C2F64"/>
    <w:rsid w:val="009C3386"/>
    <w:rsid w:val="009C3489"/>
    <w:rsid w:val="009C364D"/>
    <w:rsid w:val="009C3BAF"/>
    <w:rsid w:val="009C3E5C"/>
    <w:rsid w:val="009C429A"/>
    <w:rsid w:val="009C469F"/>
    <w:rsid w:val="009C4A58"/>
    <w:rsid w:val="009C4D79"/>
    <w:rsid w:val="009C4DF6"/>
    <w:rsid w:val="009C5310"/>
    <w:rsid w:val="009C5717"/>
    <w:rsid w:val="009C572B"/>
    <w:rsid w:val="009C6430"/>
    <w:rsid w:val="009C6991"/>
    <w:rsid w:val="009C7DB7"/>
    <w:rsid w:val="009D073A"/>
    <w:rsid w:val="009D0E70"/>
    <w:rsid w:val="009D0F51"/>
    <w:rsid w:val="009D11D0"/>
    <w:rsid w:val="009D121B"/>
    <w:rsid w:val="009D1382"/>
    <w:rsid w:val="009D163A"/>
    <w:rsid w:val="009D19DF"/>
    <w:rsid w:val="009D1B28"/>
    <w:rsid w:val="009D1DC0"/>
    <w:rsid w:val="009D1F21"/>
    <w:rsid w:val="009D305E"/>
    <w:rsid w:val="009D33C4"/>
    <w:rsid w:val="009D4392"/>
    <w:rsid w:val="009D4784"/>
    <w:rsid w:val="009D4F24"/>
    <w:rsid w:val="009D51DB"/>
    <w:rsid w:val="009D5718"/>
    <w:rsid w:val="009D57C5"/>
    <w:rsid w:val="009D6C01"/>
    <w:rsid w:val="009D71A9"/>
    <w:rsid w:val="009E0207"/>
    <w:rsid w:val="009E137F"/>
    <w:rsid w:val="009E1457"/>
    <w:rsid w:val="009E1717"/>
    <w:rsid w:val="009E1737"/>
    <w:rsid w:val="009E1F38"/>
    <w:rsid w:val="009E22C8"/>
    <w:rsid w:val="009E2537"/>
    <w:rsid w:val="009E26BA"/>
    <w:rsid w:val="009E3052"/>
    <w:rsid w:val="009E38E5"/>
    <w:rsid w:val="009E3EDF"/>
    <w:rsid w:val="009E4189"/>
    <w:rsid w:val="009E41C0"/>
    <w:rsid w:val="009E4261"/>
    <w:rsid w:val="009E4561"/>
    <w:rsid w:val="009E492A"/>
    <w:rsid w:val="009E4A46"/>
    <w:rsid w:val="009E5246"/>
    <w:rsid w:val="009E60DC"/>
    <w:rsid w:val="009E62BC"/>
    <w:rsid w:val="009E6315"/>
    <w:rsid w:val="009E6B21"/>
    <w:rsid w:val="009E7525"/>
    <w:rsid w:val="009E7E3B"/>
    <w:rsid w:val="009E7F6E"/>
    <w:rsid w:val="009F0336"/>
    <w:rsid w:val="009F0427"/>
    <w:rsid w:val="009F0538"/>
    <w:rsid w:val="009F0770"/>
    <w:rsid w:val="009F08AD"/>
    <w:rsid w:val="009F08EA"/>
    <w:rsid w:val="009F0F10"/>
    <w:rsid w:val="009F16BE"/>
    <w:rsid w:val="009F1EF6"/>
    <w:rsid w:val="009F20AA"/>
    <w:rsid w:val="009F222B"/>
    <w:rsid w:val="009F31F9"/>
    <w:rsid w:val="009F4657"/>
    <w:rsid w:val="009F47EE"/>
    <w:rsid w:val="009F52F8"/>
    <w:rsid w:val="009F5AE6"/>
    <w:rsid w:val="009F63AD"/>
    <w:rsid w:val="009F65AA"/>
    <w:rsid w:val="009F6689"/>
    <w:rsid w:val="009F6CF0"/>
    <w:rsid w:val="009F6E1C"/>
    <w:rsid w:val="009F6FE1"/>
    <w:rsid w:val="009F786D"/>
    <w:rsid w:val="009F7911"/>
    <w:rsid w:val="009F7914"/>
    <w:rsid w:val="009F7969"/>
    <w:rsid w:val="009F7975"/>
    <w:rsid w:val="009F7E9D"/>
    <w:rsid w:val="00A000F7"/>
    <w:rsid w:val="00A0019D"/>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4B19"/>
    <w:rsid w:val="00A14E4F"/>
    <w:rsid w:val="00A1568B"/>
    <w:rsid w:val="00A15FF1"/>
    <w:rsid w:val="00A16253"/>
    <w:rsid w:val="00A16714"/>
    <w:rsid w:val="00A16AD0"/>
    <w:rsid w:val="00A17306"/>
    <w:rsid w:val="00A17313"/>
    <w:rsid w:val="00A1783B"/>
    <w:rsid w:val="00A2002E"/>
    <w:rsid w:val="00A20470"/>
    <w:rsid w:val="00A206FD"/>
    <w:rsid w:val="00A20FD7"/>
    <w:rsid w:val="00A210D9"/>
    <w:rsid w:val="00A21829"/>
    <w:rsid w:val="00A219F1"/>
    <w:rsid w:val="00A21D9A"/>
    <w:rsid w:val="00A22940"/>
    <w:rsid w:val="00A22950"/>
    <w:rsid w:val="00A229C8"/>
    <w:rsid w:val="00A2329B"/>
    <w:rsid w:val="00A2370B"/>
    <w:rsid w:val="00A23E42"/>
    <w:rsid w:val="00A2472D"/>
    <w:rsid w:val="00A26534"/>
    <w:rsid w:val="00A2659A"/>
    <w:rsid w:val="00A268E3"/>
    <w:rsid w:val="00A26A4F"/>
    <w:rsid w:val="00A26BEB"/>
    <w:rsid w:val="00A270A2"/>
    <w:rsid w:val="00A27391"/>
    <w:rsid w:val="00A27427"/>
    <w:rsid w:val="00A2768A"/>
    <w:rsid w:val="00A279AE"/>
    <w:rsid w:val="00A27C79"/>
    <w:rsid w:val="00A27EE9"/>
    <w:rsid w:val="00A307C0"/>
    <w:rsid w:val="00A311B3"/>
    <w:rsid w:val="00A319DD"/>
    <w:rsid w:val="00A324D6"/>
    <w:rsid w:val="00A32761"/>
    <w:rsid w:val="00A32F0E"/>
    <w:rsid w:val="00A3321E"/>
    <w:rsid w:val="00A335F2"/>
    <w:rsid w:val="00A336DF"/>
    <w:rsid w:val="00A33A79"/>
    <w:rsid w:val="00A33D55"/>
    <w:rsid w:val="00A33EB4"/>
    <w:rsid w:val="00A35EA3"/>
    <w:rsid w:val="00A36770"/>
    <w:rsid w:val="00A36A24"/>
    <w:rsid w:val="00A36C2B"/>
    <w:rsid w:val="00A36F4E"/>
    <w:rsid w:val="00A3790E"/>
    <w:rsid w:val="00A37D61"/>
    <w:rsid w:val="00A40465"/>
    <w:rsid w:val="00A40718"/>
    <w:rsid w:val="00A40C28"/>
    <w:rsid w:val="00A40FC0"/>
    <w:rsid w:val="00A41195"/>
    <w:rsid w:val="00A41365"/>
    <w:rsid w:val="00A416CA"/>
    <w:rsid w:val="00A419C1"/>
    <w:rsid w:val="00A422C1"/>
    <w:rsid w:val="00A42BB1"/>
    <w:rsid w:val="00A4338C"/>
    <w:rsid w:val="00A43B64"/>
    <w:rsid w:val="00A440B1"/>
    <w:rsid w:val="00A4450C"/>
    <w:rsid w:val="00A448C2"/>
    <w:rsid w:val="00A44B6B"/>
    <w:rsid w:val="00A454F0"/>
    <w:rsid w:val="00A4563E"/>
    <w:rsid w:val="00A46176"/>
    <w:rsid w:val="00A46521"/>
    <w:rsid w:val="00A467AE"/>
    <w:rsid w:val="00A46E29"/>
    <w:rsid w:val="00A46E5F"/>
    <w:rsid w:val="00A47390"/>
    <w:rsid w:val="00A47766"/>
    <w:rsid w:val="00A47F1C"/>
    <w:rsid w:val="00A50246"/>
    <w:rsid w:val="00A50CDF"/>
    <w:rsid w:val="00A50F1F"/>
    <w:rsid w:val="00A51A11"/>
    <w:rsid w:val="00A51D73"/>
    <w:rsid w:val="00A51D80"/>
    <w:rsid w:val="00A52266"/>
    <w:rsid w:val="00A53277"/>
    <w:rsid w:val="00A53382"/>
    <w:rsid w:val="00A53813"/>
    <w:rsid w:val="00A53932"/>
    <w:rsid w:val="00A53B77"/>
    <w:rsid w:val="00A542BE"/>
    <w:rsid w:val="00A5456A"/>
    <w:rsid w:val="00A54A98"/>
    <w:rsid w:val="00A54F9B"/>
    <w:rsid w:val="00A55B5C"/>
    <w:rsid w:val="00A55EA8"/>
    <w:rsid w:val="00A56122"/>
    <w:rsid w:val="00A561AC"/>
    <w:rsid w:val="00A57727"/>
    <w:rsid w:val="00A57842"/>
    <w:rsid w:val="00A57987"/>
    <w:rsid w:val="00A60164"/>
    <w:rsid w:val="00A6036B"/>
    <w:rsid w:val="00A604D2"/>
    <w:rsid w:val="00A61040"/>
    <w:rsid w:val="00A61C60"/>
    <w:rsid w:val="00A61C79"/>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E5D"/>
    <w:rsid w:val="00A70FC2"/>
    <w:rsid w:val="00A71339"/>
    <w:rsid w:val="00A72031"/>
    <w:rsid w:val="00A72A13"/>
    <w:rsid w:val="00A73A57"/>
    <w:rsid w:val="00A744DB"/>
    <w:rsid w:val="00A7465D"/>
    <w:rsid w:val="00A74683"/>
    <w:rsid w:val="00A74E13"/>
    <w:rsid w:val="00A755D8"/>
    <w:rsid w:val="00A75A80"/>
    <w:rsid w:val="00A75DB0"/>
    <w:rsid w:val="00A764F2"/>
    <w:rsid w:val="00A76FEF"/>
    <w:rsid w:val="00A77188"/>
    <w:rsid w:val="00A774FF"/>
    <w:rsid w:val="00A77994"/>
    <w:rsid w:val="00A779BC"/>
    <w:rsid w:val="00A80267"/>
    <w:rsid w:val="00A804BA"/>
    <w:rsid w:val="00A80ACA"/>
    <w:rsid w:val="00A80DCA"/>
    <w:rsid w:val="00A80EF6"/>
    <w:rsid w:val="00A8159E"/>
    <w:rsid w:val="00A815CD"/>
    <w:rsid w:val="00A8174F"/>
    <w:rsid w:val="00A824A6"/>
    <w:rsid w:val="00A82E9C"/>
    <w:rsid w:val="00A836BF"/>
    <w:rsid w:val="00A83879"/>
    <w:rsid w:val="00A83B2E"/>
    <w:rsid w:val="00A83B4A"/>
    <w:rsid w:val="00A84223"/>
    <w:rsid w:val="00A844BE"/>
    <w:rsid w:val="00A84518"/>
    <w:rsid w:val="00A848EE"/>
    <w:rsid w:val="00A84B87"/>
    <w:rsid w:val="00A8553C"/>
    <w:rsid w:val="00A85DBC"/>
    <w:rsid w:val="00A8600F"/>
    <w:rsid w:val="00A86065"/>
    <w:rsid w:val="00A86124"/>
    <w:rsid w:val="00A86D04"/>
    <w:rsid w:val="00A872C1"/>
    <w:rsid w:val="00A874C7"/>
    <w:rsid w:val="00A87BE2"/>
    <w:rsid w:val="00A87F33"/>
    <w:rsid w:val="00A87F43"/>
    <w:rsid w:val="00A90291"/>
    <w:rsid w:val="00A90538"/>
    <w:rsid w:val="00A908DD"/>
    <w:rsid w:val="00A9097A"/>
    <w:rsid w:val="00A90CDA"/>
    <w:rsid w:val="00A91F8E"/>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55FC"/>
    <w:rsid w:val="00AA6B6E"/>
    <w:rsid w:val="00AA6D00"/>
    <w:rsid w:val="00AA7280"/>
    <w:rsid w:val="00AA740C"/>
    <w:rsid w:val="00AA7E3D"/>
    <w:rsid w:val="00AB0229"/>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18F6"/>
    <w:rsid w:val="00AC1A00"/>
    <w:rsid w:val="00AC1D67"/>
    <w:rsid w:val="00AC1F3C"/>
    <w:rsid w:val="00AC28D3"/>
    <w:rsid w:val="00AC2B6D"/>
    <w:rsid w:val="00AC30A5"/>
    <w:rsid w:val="00AC315C"/>
    <w:rsid w:val="00AC3373"/>
    <w:rsid w:val="00AC33D1"/>
    <w:rsid w:val="00AC3408"/>
    <w:rsid w:val="00AC35CF"/>
    <w:rsid w:val="00AC3F19"/>
    <w:rsid w:val="00AC437D"/>
    <w:rsid w:val="00AC4640"/>
    <w:rsid w:val="00AC5A9F"/>
    <w:rsid w:val="00AC5D32"/>
    <w:rsid w:val="00AC5E42"/>
    <w:rsid w:val="00AC5F79"/>
    <w:rsid w:val="00AC6139"/>
    <w:rsid w:val="00AC6AD7"/>
    <w:rsid w:val="00AC6AD9"/>
    <w:rsid w:val="00AC73A5"/>
    <w:rsid w:val="00AC7778"/>
    <w:rsid w:val="00AC7C8E"/>
    <w:rsid w:val="00AD0355"/>
    <w:rsid w:val="00AD0D14"/>
    <w:rsid w:val="00AD120E"/>
    <w:rsid w:val="00AD1426"/>
    <w:rsid w:val="00AD1623"/>
    <w:rsid w:val="00AD1B47"/>
    <w:rsid w:val="00AD23DD"/>
    <w:rsid w:val="00AD25A0"/>
    <w:rsid w:val="00AD2DE7"/>
    <w:rsid w:val="00AD2E18"/>
    <w:rsid w:val="00AD31E1"/>
    <w:rsid w:val="00AD3D8F"/>
    <w:rsid w:val="00AD3E91"/>
    <w:rsid w:val="00AD4148"/>
    <w:rsid w:val="00AD489B"/>
    <w:rsid w:val="00AD4B4A"/>
    <w:rsid w:val="00AD4C39"/>
    <w:rsid w:val="00AD5407"/>
    <w:rsid w:val="00AD5676"/>
    <w:rsid w:val="00AD5AFA"/>
    <w:rsid w:val="00AD5CCC"/>
    <w:rsid w:val="00AD65A7"/>
    <w:rsid w:val="00AD6EA1"/>
    <w:rsid w:val="00AD6F97"/>
    <w:rsid w:val="00AD7AAD"/>
    <w:rsid w:val="00AE0176"/>
    <w:rsid w:val="00AE0E06"/>
    <w:rsid w:val="00AE1989"/>
    <w:rsid w:val="00AE1DDE"/>
    <w:rsid w:val="00AE3219"/>
    <w:rsid w:val="00AE3A80"/>
    <w:rsid w:val="00AE3C09"/>
    <w:rsid w:val="00AE479D"/>
    <w:rsid w:val="00AE4A18"/>
    <w:rsid w:val="00AE4BCE"/>
    <w:rsid w:val="00AE4D1B"/>
    <w:rsid w:val="00AE4D73"/>
    <w:rsid w:val="00AE5129"/>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39A"/>
    <w:rsid w:val="00AF397A"/>
    <w:rsid w:val="00AF4215"/>
    <w:rsid w:val="00AF42C6"/>
    <w:rsid w:val="00AF42FB"/>
    <w:rsid w:val="00AF4B3C"/>
    <w:rsid w:val="00AF4E6A"/>
    <w:rsid w:val="00AF4FD3"/>
    <w:rsid w:val="00AF55A3"/>
    <w:rsid w:val="00AF5ED1"/>
    <w:rsid w:val="00AF6240"/>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20C"/>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5C2B"/>
    <w:rsid w:val="00B1632B"/>
    <w:rsid w:val="00B16489"/>
    <w:rsid w:val="00B16C7E"/>
    <w:rsid w:val="00B17850"/>
    <w:rsid w:val="00B20315"/>
    <w:rsid w:val="00B2077F"/>
    <w:rsid w:val="00B207E8"/>
    <w:rsid w:val="00B20BE6"/>
    <w:rsid w:val="00B20CC0"/>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DCD"/>
    <w:rsid w:val="00B3715B"/>
    <w:rsid w:val="00B37169"/>
    <w:rsid w:val="00B378E4"/>
    <w:rsid w:val="00B37993"/>
    <w:rsid w:val="00B37CAA"/>
    <w:rsid w:val="00B37E7D"/>
    <w:rsid w:val="00B410BE"/>
    <w:rsid w:val="00B410D5"/>
    <w:rsid w:val="00B41856"/>
    <w:rsid w:val="00B41AA1"/>
    <w:rsid w:val="00B41C40"/>
    <w:rsid w:val="00B42A27"/>
    <w:rsid w:val="00B431D1"/>
    <w:rsid w:val="00B43AAC"/>
    <w:rsid w:val="00B4468A"/>
    <w:rsid w:val="00B455DD"/>
    <w:rsid w:val="00B4622C"/>
    <w:rsid w:val="00B46718"/>
    <w:rsid w:val="00B46D60"/>
    <w:rsid w:val="00B46DE6"/>
    <w:rsid w:val="00B47977"/>
    <w:rsid w:val="00B47D93"/>
    <w:rsid w:val="00B505CC"/>
    <w:rsid w:val="00B506D0"/>
    <w:rsid w:val="00B50B9C"/>
    <w:rsid w:val="00B50E42"/>
    <w:rsid w:val="00B514AB"/>
    <w:rsid w:val="00B515F7"/>
    <w:rsid w:val="00B528AE"/>
    <w:rsid w:val="00B53972"/>
    <w:rsid w:val="00B54607"/>
    <w:rsid w:val="00B54771"/>
    <w:rsid w:val="00B54862"/>
    <w:rsid w:val="00B54880"/>
    <w:rsid w:val="00B55309"/>
    <w:rsid w:val="00B55A82"/>
    <w:rsid w:val="00B55CA9"/>
    <w:rsid w:val="00B55F8D"/>
    <w:rsid w:val="00B56409"/>
    <w:rsid w:val="00B566E7"/>
    <w:rsid w:val="00B577C3"/>
    <w:rsid w:val="00B5785F"/>
    <w:rsid w:val="00B603FF"/>
    <w:rsid w:val="00B606A8"/>
    <w:rsid w:val="00B6146C"/>
    <w:rsid w:val="00B61757"/>
    <w:rsid w:val="00B61E88"/>
    <w:rsid w:val="00B6201D"/>
    <w:rsid w:val="00B6269D"/>
    <w:rsid w:val="00B62B83"/>
    <w:rsid w:val="00B63007"/>
    <w:rsid w:val="00B64139"/>
    <w:rsid w:val="00B64C12"/>
    <w:rsid w:val="00B654AD"/>
    <w:rsid w:val="00B658B3"/>
    <w:rsid w:val="00B6594E"/>
    <w:rsid w:val="00B65C90"/>
    <w:rsid w:val="00B65DA5"/>
    <w:rsid w:val="00B65DF6"/>
    <w:rsid w:val="00B667CA"/>
    <w:rsid w:val="00B66B72"/>
    <w:rsid w:val="00B66B85"/>
    <w:rsid w:val="00B670AC"/>
    <w:rsid w:val="00B67170"/>
    <w:rsid w:val="00B674E9"/>
    <w:rsid w:val="00B676AF"/>
    <w:rsid w:val="00B67832"/>
    <w:rsid w:val="00B679D4"/>
    <w:rsid w:val="00B67D56"/>
    <w:rsid w:val="00B70AD2"/>
    <w:rsid w:val="00B70CF2"/>
    <w:rsid w:val="00B70DAF"/>
    <w:rsid w:val="00B71F5D"/>
    <w:rsid w:val="00B72530"/>
    <w:rsid w:val="00B7253A"/>
    <w:rsid w:val="00B72A19"/>
    <w:rsid w:val="00B72D7A"/>
    <w:rsid w:val="00B72DA4"/>
    <w:rsid w:val="00B72E1C"/>
    <w:rsid w:val="00B72F3C"/>
    <w:rsid w:val="00B7306F"/>
    <w:rsid w:val="00B73779"/>
    <w:rsid w:val="00B73FEE"/>
    <w:rsid w:val="00B73FF0"/>
    <w:rsid w:val="00B74D0A"/>
    <w:rsid w:val="00B74DD0"/>
    <w:rsid w:val="00B755B3"/>
    <w:rsid w:val="00B75D43"/>
    <w:rsid w:val="00B75FC5"/>
    <w:rsid w:val="00B76FA5"/>
    <w:rsid w:val="00B76FEE"/>
    <w:rsid w:val="00B77013"/>
    <w:rsid w:val="00B771AD"/>
    <w:rsid w:val="00B77215"/>
    <w:rsid w:val="00B7765F"/>
    <w:rsid w:val="00B7783F"/>
    <w:rsid w:val="00B807B9"/>
    <w:rsid w:val="00B809FD"/>
    <w:rsid w:val="00B80A12"/>
    <w:rsid w:val="00B80CCB"/>
    <w:rsid w:val="00B80FCA"/>
    <w:rsid w:val="00B8123D"/>
    <w:rsid w:val="00B8137F"/>
    <w:rsid w:val="00B81562"/>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1A"/>
    <w:rsid w:val="00B872BE"/>
    <w:rsid w:val="00B87568"/>
    <w:rsid w:val="00B878DD"/>
    <w:rsid w:val="00B87B79"/>
    <w:rsid w:val="00B87BC8"/>
    <w:rsid w:val="00B90224"/>
    <w:rsid w:val="00B90337"/>
    <w:rsid w:val="00B90779"/>
    <w:rsid w:val="00B90CD6"/>
    <w:rsid w:val="00B90F4B"/>
    <w:rsid w:val="00B918CA"/>
    <w:rsid w:val="00B92049"/>
    <w:rsid w:val="00B92490"/>
    <w:rsid w:val="00B934BA"/>
    <w:rsid w:val="00B937F7"/>
    <w:rsid w:val="00B93F30"/>
    <w:rsid w:val="00B94084"/>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36B"/>
    <w:rsid w:val="00BA040B"/>
    <w:rsid w:val="00BA09B8"/>
    <w:rsid w:val="00BA11E1"/>
    <w:rsid w:val="00BA1B86"/>
    <w:rsid w:val="00BA1E04"/>
    <w:rsid w:val="00BA29FA"/>
    <w:rsid w:val="00BA31B7"/>
    <w:rsid w:val="00BA4839"/>
    <w:rsid w:val="00BA4B5B"/>
    <w:rsid w:val="00BA4CE5"/>
    <w:rsid w:val="00BA558E"/>
    <w:rsid w:val="00BA5B80"/>
    <w:rsid w:val="00BA5CC5"/>
    <w:rsid w:val="00BA6440"/>
    <w:rsid w:val="00BA6851"/>
    <w:rsid w:val="00BA7234"/>
    <w:rsid w:val="00BB0C17"/>
    <w:rsid w:val="00BB15DF"/>
    <w:rsid w:val="00BB17B6"/>
    <w:rsid w:val="00BB1922"/>
    <w:rsid w:val="00BB1CBC"/>
    <w:rsid w:val="00BB1F11"/>
    <w:rsid w:val="00BB2762"/>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68BB"/>
    <w:rsid w:val="00BB7133"/>
    <w:rsid w:val="00BB7574"/>
    <w:rsid w:val="00BB76C0"/>
    <w:rsid w:val="00BB78BC"/>
    <w:rsid w:val="00BC0603"/>
    <w:rsid w:val="00BC0662"/>
    <w:rsid w:val="00BC1F5B"/>
    <w:rsid w:val="00BC29D7"/>
    <w:rsid w:val="00BC32A0"/>
    <w:rsid w:val="00BC3345"/>
    <w:rsid w:val="00BC33EB"/>
    <w:rsid w:val="00BC3677"/>
    <w:rsid w:val="00BC3678"/>
    <w:rsid w:val="00BC5145"/>
    <w:rsid w:val="00BC514A"/>
    <w:rsid w:val="00BC6122"/>
    <w:rsid w:val="00BC6E86"/>
    <w:rsid w:val="00BC6F43"/>
    <w:rsid w:val="00BC7118"/>
    <w:rsid w:val="00BC78E8"/>
    <w:rsid w:val="00BC799A"/>
    <w:rsid w:val="00BC7E61"/>
    <w:rsid w:val="00BD08ED"/>
    <w:rsid w:val="00BD15A1"/>
    <w:rsid w:val="00BD16AD"/>
    <w:rsid w:val="00BD1B91"/>
    <w:rsid w:val="00BD1DF7"/>
    <w:rsid w:val="00BD2466"/>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9A8"/>
    <w:rsid w:val="00BD6D71"/>
    <w:rsid w:val="00BD7346"/>
    <w:rsid w:val="00BE0A46"/>
    <w:rsid w:val="00BE0C61"/>
    <w:rsid w:val="00BE1B19"/>
    <w:rsid w:val="00BE1E07"/>
    <w:rsid w:val="00BE2049"/>
    <w:rsid w:val="00BE2374"/>
    <w:rsid w:val="00BE2D14"/>
    <w:rsid w:val="00BE2F7B"/>
    <w:rsid w:val="00BE359F"/>
    <w:rsid w:val="00BE36E8"/>
    <w:rsid w:val="00BE4311"/>
    <w:rsid w:val="00BE43DD"/>
    <w:rsid w:val="00BE4AC0"/>
    <w:rsid w:val="00BE4B82"/>
    <w:rsid w:val="00BE50D5"/>
    <w:rsid w:val="00BE6885"/>
    <w:rsid w:val="00BE74A1"/>
    <w:rsid w:val="00BF0498"/>
    <w:rsid w:val="00BF04E2"/>
    <w:rsid w:val="00BF05F5"/>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4A57"/>
    <w:rsid w:val="00C05273"/>
    <w:rsid w:val="00C05F65"/>
    <w:rsid w:val="00C06660"/>
    <w:rsid w:val="00C07289"/>
    <w:rsid w:val="00C07626"/>
    <w:rsid w:val="00C0778F"/>
    <w:rsid w:val="00C07EFC"/>
    <w:rsid w:val="00C101BC"/>
    <w:rsid w:val="00C10615"/>
    <w:rsid w:val="00C112E9"/>
    <w:rsid w:val="00C123DD"/>
    <w:rsid w:val="00C13279"/>
    <w:rsid w:val="00C134D6"/>
    <w:rsid w:val="00C137F8"/>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EC2"/>
    <w:rsid w:val="00C24394"/>
    <w:rsid w:val="00C24812"/>
    <w:rsid w:val="00C2496E"/>
    <w:rsid w:val="00C24E85"/>
    <w:rsid w:val="00C25C36"/>
    <w:rsid w:val="00C25CCA"/>
    <w:rsid w:val="00C25FAF"/>
    <w:rsid w:val="00C266A4"/>
    <w:rsid w:val="00C270D7"/>
    <w:rsid w:val="00C27137"/>
    <w:rsid w:val="00C27564"/>
    <w:rsid w:val="00C30C8F"/>
    <w:rsid w:val="00C30D2B"/>
    <w:rsid w:val="00C318CA"/>
    <w:rsid w:val="00C31C5D"/>
    <w:rsid w:val="00C31D8E"/>
    <w:rsid w:val="00C31E6F"/>
    <w:rsid w:val="00C325CB"/>
    <w:rsid w:val="00C328C2"/>
    <w:rsid w:val="00C32A66"/>
    <w:rsid w:val="00C33105"/>
    <w:rsid w:val="00C33CC1"/>
    <w:rsid w:val="00C33E5A"/>
    <w:rsid w:val="00C33FD7"/>
    <w:rsid w:val="00C3426A"/>
    <w:rsid w:val="00C34689"/>
    <w:rsid w:val="00C3497F"/>
    <w:rsid w:val="00C34A6D"/>
    <w:rsid w:val="00C34C85"/>
    <w:rsid w:val="00C34CB6"/>
    <w:rsid w:val="00C34E4A"/>
    <w:rsid w:val="00C35AE5"/>
    <w:rsid w:val="00C35D78"/>
    <w:rsid w:val="00C36322"/>
    <w:rsid w:val="00C3642C"/>
    <w:rsid w:val="00C365C0"/>
    <w:rsid w:val="00C3697A"/>
    <w:rsid w:val="00C3749E"/>
    <w:rsid w:val="00C3790D"/>
    <w:rsid w:val="00C37B3C"/>
    <w:rsid w:val="00C37BA1"/>
    <w:rsid w:val="00C37F52"/>
    <w:rsid w:val="00C404FD"/>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4F23"/>
    <w:rsid w:val="00C455F5"/>
    <w:rsid w:val="00C45BD9"/>
    <w:rsid w:val="00C45C38"/>
    <w:rsid w:val="00C46436"/>
    <w:rsid w:val="00C46C30"/>
    <w:rsid w:val="00C46D5D"/>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4B4"/>
    <w:rsid w:val="00C5788A"/>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AC"/>
    <w:rsid w:val="00C72202"/>
    <w:rsid w:val="00C723B7"/>
    <w:rsid w:val="00C72709"/>
    <w:rsid w:val="00C72A3F"/>
    <w:rsid w:val="00C74319"/>
    <w:rsid w:val="00C74793"/>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2C6B"/>
    <w:rsid w:val="00C839DE"/>
    <w:rsid w:val="00C83BE6"/>
    <w:rsid w:val="00C83CE5"/>
    <w:rsid w:val="00C83E23"/>
    <w:rsid w:val="00C84335"/>
    <w:rsid w:val="00C84D1F"/>
    <w:rsid w:val="00C858ED"/>
    <w:rsid w:val="00C85A2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809"/>
    <w:rsid w:val="00CA0242"/>
    <w:rsid w:val="00CA0FC3"/>
    <w:rsid w:val="00CA19ED"/>
    <w:rsid w:val="00CA1A00"/>
    <w:rsid w:val="00CA1BF7"/>
    <w:rsid w:val="00CA1C7F"/>
    <w:rsid w:val="00CA2B5A"/>
    <w:rsid w:val="00CA30B0"/>
    <w:rsid w:val="00CA31AF"/>
    <w:rsid w:val="00CA3E06"/>
    <w:rsid w:val="00CA43FB"/>
    <w:rsid w:val="00CA4595"/>
    <w:rsid w:val="00CA4DDB"/>
    <w:rsid w:val="00CA6581"/>
    <w:rsid w:val="00CA65AD"/>
    <w:rsid w:val="00CA7100"/>
    <w:rsid w:val="00CA75B8"/>
    <w:rsid w:val="00CA7DDC"/>
    <w:rsid w:val="00CA7EB8"/>
    <w:rsid w:val="00CB0316"/>
    <w:rsid w:val="00CB0578"/>
    <w:rsid w:val="00CB0DC6"/>
    <w:rsid w:val="00CB1877"/>
    <w:rsid w:val="00CB1B32"/>
    <w:rsid w:val="00CB1EC5"/>
    <w:rsid w:val="00CB253E"/>
    <w:rsid w:val="00CB2DF7"/>
    <w:rsid w:val="00CB2EE5"/>
    <w:rsid w:val="00CB31BD"/>
    <w:rsid w:val="00CB339D"/>
    <w:rsid w:val="00CB4188"/>
    <w:rsid w:val="00CB43E8"/>
    <w:rsid w:val="00CB4DB6"/>
    <w:rsid w:val="00CB52B3"/>
    <w:rsid w:val="00CB52B8"/>
    <w:rsid w:val="00CB5381"/>
    <w:rsid w:val="00CB5A0E"/>
    <w:rsid w:val="00CB5FC7"/>
    <w:rsid w:val="00CB6302"/>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A84"/>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9D9"/>
    <w:rsid w:val="00CD5BC4"/>
    <w:rsid w:val="00CD5E0C"/>
    <w:rsid w:val="00CD6060"/>
    <w:rsid w:val="00CD60D2"/>
    <w:rsid w:val="00CD60EB"/>
    <w:rsid w:val="00CD63B5"/>
    <w:rsid w:val="00CD690A"/>
    <w:rsid w:val="00CD6CA1"/>
    <w:rsid w:val="00CD6D65"/>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8EA"/>
    <w:rsid w:val="00CE6AC0"/>
    <w:rsid w:val="00CE6E78"/>
    <w:rsid w:val="00CE7217"/>
    <w:rsid w:val="00CE79A9"/>
    <w:rsid w:val="00CE7FD3"/>
    <w:rsid w:val="00CF02A2"/>
    <w:rsid w:val="00CF0C5C"/>
    <w:rsid w:val="00CF0D1A"/>
    <w:rsid w:val="00CF0D59"/>
    <w:rsid w:val="00CF0F60"/>
    <w:rsid w:val="00CF15A4"/>
    <w:rsid w:val="00CF241F"/>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96F"/>
    <w:rsid w:val="00CF6A87"/>
    <w:rsid w:val="00CF6E69"/>
    <w:rsid w:val="00CF7790"/>
    <w:rsid w:val="00D00334"/>
    <w:rsid w:val="00D003AA"/>
    <w:rsid w:val="00D00543"/>
    <w:rsid w:val="00D0106B"/>
    <w:rsid w:val="00D0110D"/>
    <w:rsid w:val="00D01390"/>
    <w:rsid w:val="00D017CC"/>
    <w:rsid w:val="00D01CB6"/>
    <w:rsid w:val="00D02162"/>
    <w:rsid w:val="00D025C9"/>
    <w:rsid w:val="00D028A2"/>
    <w:rsid w:val="00D02C36"/>
    <w:rsid w:val="00D03172"/>
    <w:rsid w:val="00D031C6"/>
    <w:rsid w:val="00D0350A"/>
    <w:rsid w:val="00D0364D"/>
    <w:rsid w:val="00D039C8"/>
    <w:rsid w:val="00D03B59"/>
    <w:rsid w:val="00D042F1"/>
    <w:rsid w:val="00D04335"/>
    <w:rsid w:val="00D0507B"/>
    <w:rsid w:val="00D0535C"/>
    <w:rsid w:val="00D058AB"/>
    <w:rsid w:val="00D05B28"/>
    <w:rsid w:val="00D05B3B"/>
    <w:rsid w:val="00D05F5C"/>
    <w:rsid w:val="00D06597"/>
    <w:rsid w:val="00D065A1"/>
    <w:rsid w:val="00D06BBE"/>
    <w:rsid w:val="00D07445"/>
    <w:rsid w:val="00D10020"/>
    <w:rsid w:val="00D10D58"/>
    <w:rsid w:val="00D1171A"/>
    <w:rsid w:val="00D11D13"/>
    <w:rsid w:val="00D11DBF"/>
    <w:rsid w:val="00D1239F"/>
    <w:rsid w:val="00D1253A"/>
    <w:rsid w:val="00D126C6"/>
    <w:rsid w:val="00D12741"/>
    <w:rsid w:val="00D12BF9"/>
    <w:rsid w:val="00D12ED8"/>
    <w:rsid w:val="00D133AD"/>
    <w:rsid w:val="00D14122"/>
    <w:rsid w:val="00D150D1"/>
    <w:rsid w:val="00D15418"/>
    <w:rsid w:val="00D15657"/>
    <w:rsid w:val="00D15BB5"/>
    <w:rsid w:val="00D1613F"/>
    <w:rsid w:val="00D16C15"/>
    <w:rsid w:val="00D16F0F"/>
    <w:rsid w:val="00D21CF4"/>
    <w:rsid w:val="00D22202"/>
    <w:rsid w:val="00D2240E"/>
    <w:rsid w:val="00D2280E"/>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5DE"/>
    <w:rsid w:val="00D33E04"/>
    <w:rsid w:val="00D34301"/>
    <w:rsid w:val="00D34AC1"/>
    <w:rsid w:val="00D34CCF"/>
    <w:rsid w:val="00D352D0"/>
    <w:rsid w:val="00D35614"/>
    <w:rsid w:val="00D3573B"/>
    <w:rsid w:val="00D35899"/>
    <w:rsid w:val="00D358D2"/>
    <w:rsid w:val="00D35A29"/>
    <w:rsid w:val="00D35A69"/>
    <w:rsid w:val="00D369B1"/>
    <w:rsid w:val="00D36C79"/>
    <w:rsid w:val="00D36DD6"/>
    <w:rsid w:val="00D36E6F"/>
    <w:rsid w:val="00D36EA1"/>
    <w:rsid w:val="00D371D6"/>
    <w:rsid w:val="00D37234"/>
    <w:rsid w:val="00D377A2"/>
    <w:rsid w:val="00D37A5A"/>
    <w:rsid w:val="00D400F3"/>
    <w:rsid w:val="00D411E4"/>
    <w:rsid w:val="00D412A8"/>
    <w:rsid w:val="00D4197E"/>
    <w:rsid w:val="00D41DFE"/>
    <w:rsid w:val="00D42347"/>
    <w:rsid w:val="00D4295A"/>
    <w:rsid w:val="00D42D47"/>
    <w:rsid w:val="00D42D96"/>
    <w:rsid w:val="00D43045"/>
    <w:rsid w:val="00D43F37"/>
    <w:rsid w:val="00D44260"/>
    <w:rsid w:val="00D45103"/>
    <w:rsid w:val="00D45DA6"/>
    <w:rsid w:val="00D46170"/>
    <w:rsid w:val="00D46326"/>
    <w:rsid w:val="00D47568"/>
    <w:rsid w:val="00D47AD4"/>
    <w:rsid w:val="00D47BAD"/>
    <w:rsid w:val="00D50607"/>
    <w:rsid w:val="00D506AA"/>
    <w:rsid w:val="00D50900"/>
    <w:rsid w:val="00D5107C"/>
    <w:rsid w:val="00D5274D"/>
    <w:rsid w:val="00D52960"/>
    <w:rsid w:val="00D5297B"/>
    <w:rsid w:val="00D53529"/>
    <w:rsid w:val="00D5364B"/>
    <w:rsid w:val="00D53880"/>
    <w:rsid w:val="00D53C14"/>
    <w:rsid w:val="00D53E43"/>
    <w:rsid w:val="00D54295"/>
    <w:rsid w:val="00D54507"/>
    <w:rsid w:val="00D55C84"/>
    <w:rsid w:val="00D5611C"/>
    <w:rsid w:val="00D5680B"/>
    <w:rsid w:val="00D56D92"/>
    <w:rsid w:val="00D56EB2"/>
    <w:rsid w:val="00D57113"/>
    <w:rsid w:val="00D579AC"/>
    <w:rsid w:val="00D60099"/>
    <w:rsid w:val="00D60A7A"/>
    <w:rsid w:val="00D61128"/>
    <w:rsid w:val="00D6136C"/>
    <w:rsid w:val="00D6208A"/>
    <w:rsid w:val="00D62193"/>
    <w:rsid w:val="00D62257"/>
    <w:rsid w:val="00D62442"/>
    <w:rsid w:val="00D62888"/>
    <w:rsid w:val="00D62ADB"/>
    <w:rsid w:val="00D6300B"/>
    <w:rsid w:val="00D632C9"/>
    <w:rsid w:val="00D634FD"/>
    <w:rsid w:val="00D6364C"/>
    <w:rsid w:val="00D638E0"/>
    <w:rsid w:val="00D63E73"/>
    <w:rsid w:val="00D6405C"/>
    <w:rsid w:val="00D6435D"/>
    <w:rsid w:val="00D6526A"/>
    <w:rsid w:val="00D65C51"/>
    <w:rsid w:val="00D65D5E"/>
    <w:rsid w:val="00D65EE4"/>
    <w:rsid w:val="00D6634D"/>
    <w:rsid w:val="00D663D5"/>
    <w:rsid w:val="00D6691D"/>
    <w:rsid w:val="00D66C86"/>
    <w:rsid w:val="00D67FA8"/>
    <w:rsid w:val="00D70026"/>
    <w:rsid w:val="00D700E9"/>
    <w:rsid w:val="00D714EB"/>
    <w:rsid w:val="00D719D6"/>
    <w:rsid w:val="00D71B3D"/>
    <w:rsid w:val="00D71CC7"/>
    <w:rsid w:val="00D71FB2"/>
    <w:rsid w:val="00D7226D"/>
    <w:rsid w:val="00D725F8"/>
    <w:rsid w:val="00D7261B"/>
    <w:rsid w:val="00D72D5A"/>
    <w:rsid w:val="00D73AB0"/>
    <w:rsid w:val="00D73B9F"/>
    <w:rsid w:val="00D73E9E"/>
    <w:rsid w:val="00D74391"/>
    <w:rsid w:val="00D74516"/>
    <w:rsid w:val="00D74A7A"/>
    <w:rsid w:val="00D74DE6"/>
    <w:rsid w:val="00D75137"/>
    <w:rsid w:val="00D75154"/>
    <w:rsid w:val="00D751CE"/>
    <w:rsid w:val="00D753E1"/>
    <w:rsid w:val="00D76089"/>
    <w:rsid w:val="00D7684C"/>
    <w:rsid w:val="00D76C15"/>
    <w:rsid w:val="00D772EA"/>
    <w:rsid w:val="00D77C2B"/>
    <w:rsid w:val="00D77E06"/>
    <w:rsid w:val="00D80743"/>
    <w:rsid w:val="00D80E9E"/>
    <w:rsid w:val="00D81199"/>
    <w:rsid w:val="00D81759"/>
    <w:rsid w:val="00D81D6A"/>
    <w:rsid w:val="00D82213"/>
    <w:rsid w:val="00D825C0"/>
    <w:rsid w:val="00D82BDA"/>
    <w:rsid w:val="00D83B79"/>
    <w:rsid w:val="00D841BA"/>
    <w:rsid w:val="00D8464C"/>
    <w:rsid w:val="00D84A0D"/>
    <w:rsid w:val="00D84D26"/>
    <w:rsid w:val="00D85813"/>
    <w:rsid w:val="00D86327"/>
    <w:rsid w:val="00D873FF"/>
    <w:rsid w:val="00D8772F"/>
    <w:rsid w:val="00D877FE"/>
    <w:rsid w:val="00D87DED"/>
    <w:rsid w:val="00D87E47"/>
    <w:rsid w:val="00D904DD"/>
    <w:rsid w:val="00D90C0E"/>
    <w:rsid w:val="00D911CA"/>
    <w:rsid w:val="00D9156B"/>
    <w:rsid w:val="00D91CA0"/>
    <w:rsid w:val="00D91D2E"/>
    <w:rsid w:val="00D91DF6"/>
    <w:rsid w:val="00D92177"/>
    <w:rsid w:val="00D922BA"/>
    <w:rsid w:val="00D924D7"/>
    <w:rsid w:val="00D9306B"/>
    <w:rsid w:val="00D936A9"/>
    <w:rsid w:val="00D94577"/>
    <w:rsid w:val="00D94725"/>
    <w:rsid w:val="00D948A9"/>
    <w:rsid w:val="00D950CE"/>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396"/>
    <w:rsid w:val="00DA55D7"/>
    <w:rsid w:val="00DA5FD3"/>
    <w:rsid w:val="00DA68D4"/>
    <w:rsid w:val="00DA6CBE"/>
    <w:rsid w:val="00DA7903"/>
    <w:rsid w:val="00DB0A3A"/>
    <w:rsid w:val="00DB111A"/>
    <w:rsid w:val="00DB1747"/>
    <w:rsid w:val="00DB18E9"/>
    <w:rsid w:val="00DB1C70"/>
    <w:rsid w:val="00DB1C7D"/>
    <w:rsid w:val="00DB1D7F"/>
    <w:rsid w:val="00DB2F0A"/>
    <w:rsid w:val="00DB3046"/>
    <w:rsid w:val="00DB3C29"/>
    <w:rsid w:val="00DB409D"/>
    <w:rsid w:val="00DB414A"/>
    <w:rsid w:val="00DB4B86"/>
    <w:rsid w:val="00DB4D5B"/>
    <w:rsid w:val="00DB5F8D"/>
    <w:rsid w:val="00DB5FFC"/>
    <w:rsid w:val="00DB6622"/>
    <w:rsid w:val="00DB676B"/>
    <w:rsid w:val="00DB694B"/>
    <w:rsid w:val="00DB7198"/>
    <w:rsid w:val="00DB7286"/>
    <w:rsid w:val="00DB7539"/>
    <w:rsid w:val="00DB7628"/>
    <w:rsid w:val="00DB7A5E"/>
    <w:rsid w:val="00DB7EFC"/>
    <w:rsid w:val="00DB7F26"/>
    <w:rsid w:val="00DC075C"/>
    <w:rsid w:val="00DC0846"/>
    <w:rsid w:val="00DC15A5"/>
    <w:rsid w:val="00DC1798"/>
    <w:rsid w:val="00DC1A65"/>
    <w:rsid w:val="00DC2C88"/>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C7F93"/>
    <w:rsid w:val="00DD0856"/>
    <w:rsid w:val="00DD0F1E"/>
    <w:rsid w:val="00DD1A67"/>
    <w:rsid w:val="00DD1C9A"/>
    <w:rsid w:val="00DD2400"/>
    <w:rsid w:val="00DD24B7"/>
    <w:rsid w:val="00DD2991"/>
    <w:rsid w:val="00DD3AD4"/>
    <w:rsid w:val="00DD4816"/>
    <w:rsid w:val="00DD4B3B"/>
    <w:rsid w:val="00DD4C3D"/>
    <w:rsid w:val="00DD5240"/>
    <w:rsid w:val="00DD5B20"/>
    <w:rsid w:val="00DD6493"/>
    <w:rsid w:val="00DD6DB1"/>
    <w:rsid w:val="00DD6EF2"/>
    <w:rsid w:val="00DD70D1"/>
    <w:rsid w:val="00DD7F89"/>
    <w:rsid w:val="00DE0429"/>
    <w:rsid w:val="00DE0AAA"/>
    <w:rsid w:val="00DE1523"/>
    <w:rsid w:val="00DE15D8"/>
    <w:rsid w:val="00DE1B78"/>
    <w:rsid w:val="00DE1FC0"/>
    <w:rsid w:val="00DE28C9"/>
    <w:rsid w:val="00DE2F6D"/>
    <w:rsid w:val="00DE3010"/>
    <w:rsid w:val="00DE36E2"/>
    <w:rsid w:val="00DE3863"/>
    <w:rsid w:val="00DE39BC"/>
    <w:rsid w:val="00DE3FF3"/>
    <w:rsid w:val="00DE4214"/>
    <w:rsid w:val="00DE433B"/>
    <w:rsid w:val="00DE4849"/>
    <w:rsid w:val="00DE4D60"/>
    <w:rsid w:val="00DE4F7D"/>
    <w:rsid w:val="00DE5584"/>
    <w:rsid w:val="00DE5753"/>
    <w:rsid w:val="00DE5969"/>
    <w:rsid w:val="00DE5EDD"/>
    <w:rsid w:val="00DE64D3"/>
    <w:rsid w:val="00DE6542"/>
    <w:rsid w:val="00DE6738"/>
    <w:rsid w:val="00DE697D"/>
    <w:rsid w:val="00DE6CFD"/>
    <w:rsid w:val="00DE6DBA"/>
    <w:rsid w:val="00DE6EC8"/>
    <w:rsid w:val="00DE6F01"/>
    <w:rsid w:val="00DE740F"/>
    <w:rsid w:val="00DF0147"/>
    <w:rsid w:val="00DF0442"/>
    <w:rsid w:val="00DF0553"/>
    <w:rsid w:val="00DF0908"/>
    <w:rsid w:val="00DF0991"/>
    <w:rsid w:val="00DF0D95"/>
    <w:rsid w:val="00DF10C2"/>
    <w:rsid w:val="00DF19A7"/>
    <w:rsid w:val="00DF2CBC"/>
    <w:rsid w:val="00DF2CDE"/>
    <w:rsid w:val="00DF32CA"/>
    <w:rsid w:val="00DF3402"/>
    <w:rsid w:val="00DF3437"/>
    <w:rsid w:val="00DF3EB2"/>
    <w:rsid w:val="00DF470E"/>
    <w:rsid w:val="00DF4FD8"/>
    <w:rsid w:val="00DF5089"/>
    <w:rsid w:val="00DF50B2"/>
    <w:rsid w:val="00DF5D3C"/>
    <w:rsid w:val="00DF5FAD"/>
    <w:rsid w:val="00DF5FE5"/>
    <w:rsid w:val="00DF6729"/>
    <w:rsid w:val="00DF683A"/>
    <w:rsid w:val="00DF7E08"/>
    <w:rsid w:val="00DF7E59"/>
    <w:rsid w:val="00DF7F5B"/>
    <w:rsid w:val="00E0114C"/>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ACA"/>
    <w:rsid w:val="00E07C6B"/>
    <w:rsid w:val="00E10627"/>
    <w:rsid w:val="00E1068A"/>
    <w:rsid w:val="00E10BE7"/>
    <w:rsid w:val="00E10C5A"/>
    <w:rsid w:val="00E10DCE"/>
    <w:rsid w:val="00E1137E"/>
    <w:rsid w:val="00E113B6"/>
    <w:rsid w:val="00E12536"/>
    <w:rsid w:val="00E128D9"/>
    <w:rsid w:val="00E129ED"/>
    <w:rsid w:val="00E12F28"/>
    <w:rsid w:val="00E13582"/>
    <w:rsid w:val="00E13C6E"/>
    <w:rsid w:val="00E13D12"/>
    <w:rsid w:val="00E14181"/>
    <w:rsid w:val="00E14190"/>
    <w:rsid w:val="00E1450F"/>
    <w:rsid w:val="00E1457B"/>
    <w:rsid w:val="00E14592"/>
    <w:rsid w:val="00E1467B"/>
    <w:rsid w:val="00E14705"/>
    <w:rsid w:val="00E1493C"/>
    <w:rsid w:val="00E1511F"/>
    <w:rsid w:val="00E157FD"/>
    <w:rsid w:val="00E15911"/>
    <w:rsid w:val="00E16521"/>
    <w:rsid w:val="00E1663D"/>
    <w:rsid w:val="00E1670D"/>
    <w:rsid w:val="00E1701B"/>
    <w:rsid w:val="00E1752D"/>
    <w:rsid w:val="00E1796E"/>
    <w:rsid w:val="00E17C26"/>
    <w:rsid w:val="00E202C9"/>
    <w:rsid w:val="00E20417"/>
    <w:rsid w:val="00E20606"/>
    <w:rsid w:val="00E20771"/>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770"/>
    <w:rsid w:val="00E25D36"/>
    <w:rsid w:val="00E264BC"/>
    <w:rsid w:val="00E26783"/>
    <w:rsid w:val="00E268E5"/>
    <w:rsid w:val="00E27071"/>
    <w:rsid w:val="00E30D01"/>
    <w:rsid w:val="00E31CA7"/>
    <w:rsid w:val="00E31D49"/>
    <w:rsid w:val="00E32078"/>
    <w:rsid w:val="00E3258B"/>
    <w:rsid w:val="00E327B0"/>
    <w:rsid w:val="00E328FB"/>
    <w:rsid w:val="00E32AFC"/>
    <w:rsid w:val="00E32B26"/>
    <w:rsid w:val="00E32B74"/>
    <w:rsid w:val="00E33343"/>
    <w:rsid w:val="00E33A73"/>
    <w:rsid w:val="00E33AB0"/>
    <w:rsid w:val="00E33D78"/>
    <w:rsid w:val="00E3499D"/>
    <w:rsid w:val="00E35B80"/>
    <w:rsid w:val="00E3699F"/>
    <w:rsid w:val="00E36CC5"/>
    <w:rsid w:val="00E3723D"/>
    <w:rsid w:val="00E37BBF"/>
    <w:rsid w:val="00E40223"/>
    <w:rsid w:val="00E403CC"/>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4C67"/>
    <w:rsid w:val="00E45147"/>
    <w:rsid w:val="00E4544C"/>
    <w:rsid w:val="00E4571A"/>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458A"/>
    <w:rsid w:val="00E55161"/>
    <w:rsid w:val="00E5558C"/>
    <w:rsid w:val="00E55A79"/>
    <w:rsid w:val="00E5609B"/>
    <w:rsid w:val="00E561CF"/>
    <w:rsid w:val="00E562C7"/>
    <w:rsid w:val="00E566DE"/>
    <w:rsid w:val="00E56D99"/>
    <w:rsid w:val="00E575FE"/>
    <w:rsid w:val="00E57F7D"/>
    <w:rsid w:val="00E60560"/>
    <w:rsid w:val="00E60C4A"/>
    <w:rsid w:val="00E62648"/>
    <w:rsid w:val="00E62B5F"/>
    <w:rsid w:val="00E62B9F"/>
    <w:rsid w:val="00E62D38"/>
    <w:rsid w:val="00E6320F"/>
    <w:rsid w:val="00E6335B"/>
    <w:rsid w:val="00E633B4"/>
    <w:rsid w:val="00E6340F"/>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DA1"/>
    <w:rsid w:val="00E70E55"/>
    <w:rsid w:val="00E71795"/>
    <w:rsid w:val="00E71A8A"/>
    <w:rsid w:val="00E71C4F"/>
    <w:rsid w:val="00E71CFC"/>
    <w:rsid w:val="00E72EED"/>
    <w:rsid w:val="00E731FD"/>
    <w:rsid w:val="00E736A1"/>
    <w:rsid w:val="00E73E15"/>
    <w:rsid w:val="00E73EDC"/>
    <w:rsid w:val="00E744A5"/>
    <w:rsid w:val="00E74D58"/>
    <w:rsid w:val="00E74DCF"/>
    <w:rsid w:val="00E74FB8"/>
    <w:rsid w:val="00E7535C"/>
    <w:rsid w:val="00E75777"/>
    <w:rsid w:val="00E757C3"/>
    <w:rsid w:val="00E75A6B"/>
    <w:rsid w:val="00E75D4C"/>
    <w:rsid w:val="00E75ED9"/>
    <w:rsid w:val="00E75F72"/>
    <w:rsid w:val="00E76792"/>
    <w:rsid w:val="00E76AE8"/>
    <w:rsid w:val="00E76BE4"/>
    <w:rsid w:val="00E76EC6"/>
    <w:rsid w:val="00E778A8"/>
    <w:rsid w:val="00E779C0"/>
    <w:rsid w:val="00E77BA0"/>
    <w:rsid w:val="00E77EEF"/>
    <w:rsid w:val="00E804AB"/>
    <w:rsid w:val="00E80758"/>
    <w:rsid w:val="00E80855"/>
    <w:rsid w:val="00E813F3"/>
    <w:rsid w:val="00E82089"/>
    <w:rsid w:val="00E824D6"/>
    <w:rsid w:val="00E824FC"/>
    <w:rsid w:val="00E82765"/>
    <w:rsid w:val="00E82A02"/>
    <w:rsid w:val="00E832CF"/>
    <w:rsid w:val="00E84183"/>
    <w:rsid w:val="00E84916"/>
    <w:rsid w:val="00E85EF7"/>
    <w:rsid w:val="00E86033"/>
    <w:rsid w:val="00E860FB"/>
    <w:rsid w:val="00E86325"/>
    <w:rsid w:val="00E86489"/>
    <w:rsid w:val="00E868E9"/>
    <w:rsid w:val="00E87994"/>
    <w:rsid w:val="00E87AF3"/>
    <w:rsid w:val="00E87DF6"/>
    <w:rsid w:val="00E87E06"/>
    <w:rsid w:val="00E90019"/>
    <w:rsid w:val="00E90040"/>
    <w:rsid w:val="00E905EF"/>
    <w:rsid w:val="00E90D55"/>
    <w:rsid w:val="00E917CF"/>
    <w:rsid w:val="00E91D5D"/>
    <w:rsid w:val="00E91DBE"/>
    <w:rsid w:val="00E922B1"/>
    <w:rsid w:val="00E92BC1"/>
    <w:rsid w:val="00E93598"/>
    <w:rsid w:val="00E93D79"/>
    <w:rsid w:val="00E941DA"/>
    <w:rsid w:val="00E94437"/>
    <w:rsid w:val="00E944BF"/>
    <w:rsid w:val="00E948F1"/>
    <w:rsid w:val="00E95042"/>
    <w:rsid w:val="00E96109"/>
    <w:rsid w:val="00E963D2"/>
    <w:rsid w:val="00E9685D"/>
    <w:rsid w:val="00E97864"/>
    <w:rsid w:val="00E97A84"/>
    <w:rsid w:val="00E97B78"/>
    <w:rsid w:val="00EA03B7"/>
    <w:rsid w:val="00EA059C"/>
    <w:rsid w:val="00EA0B59"/>
    <w:rsid w:val="00EA153E"/>
    <w:rsid w:val="00EA1B16"/>
    <w:rsid w:val="00EA1E30"/>
    <w:rsid w:val="00EA1EC8"/>
    <w:rsid w:val="00EA2767"/>
    <w:rsid w:val="00EA2C1B"/>
    <w:rsid w:val="00EA2CC1"/>
    <w:rsid w:val="00EA41DE"/>
    <w:rsid w:val="00EA43C2"/>
    <w:rsid w:val="00EA44DD"/>
    <w:rsid w:val="00EA48C7"/>
    <w:rsid w:val="00EA4CDC"/>
    <w:rsid w:val="00EA646F"/>
    <w:rsid w:val="00EA69A7"/>
    <w:rsid w:val="00EA6A68"/>
    <w:rsid w:val="00EA6CEB"/>
    <w:rsid w:val="00EA75B5"/>
    <w:rsid w:val="00EA7C69"/>
    <w:rsid w:val="00EB0237"/>
    <w:rsid w:val="00EB040B"/>
    <w:rsid w:val="00EB0A9F"/>
    <w:rsid w:val="00EB0EC6"/>
    <w:rsid w:val="00EB0F13"/>
    <w:rsid w:val="00EB13DD"/>
    <w:rsid w:val="00EB1979"/>
    <w:rsid w:val="00EB1A3F"/>
    <w:rsid w:val="00EB1A5E"/>
    <w:rsid w:val="00EB1DBC"/>
    <w:rsid w:val="00EB2601"/>
    <w:rsid w:val="00EB2DD6"/>
    <w:rsid w:val="00EB343C"/>
    <w:rsid w:val="00EB37EF"/>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A6D"/>
    <w:rsid w:val="00ED0B35"/>
    <w:rsid w:val="00ED0D4A"/>
    <w:rsid w:val="00ED0DB0"/>
    <w:rsid w:val="00ED1212"/>
    <w:rsid w:val="00ED169B"/>
    <w:rsid w:val="00ED1D21"/>
    <w:rsid w:val="00ED2B5D"/>
    <w:rsid w:val="00ED3858"/>
    <w:rsid w:val="00ED3C00"/>
    <w:rsid w:val="00ED49EB"/>
    <w:rsid w:val="00ED4B24"/>
    <w:rsid w:val="00ED4DA5"/>
    <w:rsid w:val="00ED5373"/>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4608"/>
    <w:rsid w:val="00EE50E2"/>
    <w:rsid w:val="00EE54F4"/>
    <w:rsid w:val="00EE5709"/>
    <w:rsid w:val="00EE5985"/>
    <w:rsid w:val="00EE5AB5"/>
    <w:rsid w:val="00EE5C54"/>
    <w:rsid w:val="00EE672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A26"/>
    <w:rsid w:val="00EF6CAD"/>
    <w:rsid w:val="00EF76C7"/>
    <w:rsid w:val="00EF7EF1"/>
    <w:rsid w:val="00F0014B"/>
    <w:rsid w:val="00F00448"/>
    <w:rsid w:val="00F00928"/>
    <w:rsid w:val="00F00E7C"/>
    <w:rsid w:val="00F01467"/>
    <w:rsid w:val="00F01AA6"/>
    <w:rsid w:val="00F01B8D"/>
    <w:rsid w:val="00F01D65"/>
    <w:rsid w:val="00F023E8"/>
    <w:rsid w:val="00F02632"/>
    <w:rsid w:val="00F028E3"/>
    <w:rsid w:val="00F02A3C"/>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248A"/>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F1B"/>
    <w:rsid w:val="00F202C0"/>
    <w:rsid w:val="00F20F49"/>
    <w:rsid w:val="00F2187F"/>
    <w:rsid w:val="00F2207E"/>
    <w:rsid w:val="00F22A21"/>
    <w:rsid w:val="00F22E3C"/>
    <w:rsid w:val="00F22E5D"/>
    <w:rsid w:val="00F23588"/>
    <w:rsid w:val="00F235C9"/>
    <w:rsid w:val="00F237C2"/>
    <w:rsid w:val="00F23808"/>
    <w:rsid w:val="00F23C1D"/>
    <w:rsid w:val="00F23D7E"/>
    <w:rsid w:val="00F23F31"/>
    <w:rsid w:val="00F23F98"/>
    <w:rsid w:val="00F254EB"/>
    <w:rsid w:val="00F25857"/>
    <w:rsid w:val="00F25C8C"/>
    <w:rsid w:val="00F272E8"/>
    <w:rsid w:val="00F27789"/>
    <w:rsid w:val="00F27B3D"/>
    <w:rsid w:val="00F27C7C"/>
    <w:rsid w:val="00F30731"/>
    <w:rsid w:val="00F30997"/>
    <w:rsid w:val="00F30CF4"/>
    <w:rsid w:val="00F30DCE"/>
    <w:rsid w:val="00F31641"/>
    <w:rsid w:val="00F32216"/>
    <w:rsid w:val="00F3227A"/>
    <w:rsid w:val="00F32E31"/>
    <w:rsid w:val="00F32E3F"/>
    <w:rsid w:val="00F33088"/>
    <w:rsid w:val="00F337FE"/>
    <w:rsid w:val="00F33DE2"/>
    <w:rsid w:val="00F33E60"/>
    <w:rsid w:val="00F3436A"/>
    <w:rsid w:val="00F34403"/>
    <w:rsid w:val="00F3456C"/>
    <w:rsid w:val="00F3461D"/>
    <w:rsid w:val="00F346CC"/>
    <w:rsid w:val="00F35391"/>
    <w:rsid w:val="00F35472"/>
    <w:rsid w:val="00F35707"/>
    <w:rsid w:val="00F370CD"/>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4D4"/>
    <w:rsid w:val="00F43861"/>
    <w:rsid w:val="00F4395C"/>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5C5"/>
    <w:rsid w:val="00F53AAC"/>
    <w:rsid w:val="00F53AD4"/>
    <w:rsid w:val="00F5495D"/>
    <w:rsid w:val="00F54965"/>
    <w:rsid w:val="00F54B1C"/>
    <w:rsid w:val="00F5551D"/>
    <w:rsid w:val="00F565B9"/>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29B3"/>
    <w:rsid w:val="00F632A5"/>
    <w:rsid w:val="00F63339"/>
    <w:rsid w:val="00F634F8"/>
    <w:rsid w:val="00F6369B"/>
    <w:rsid w:val="00F637B8"/>
    <w:rsid w:val="00F64843"/>
    <w:rsid w:val="00F65353"/>
    <w:rsid w:val="00F65361"/>
    <w:rsid w:val="00F65648"/>
    <w:rsid w:val="00F65900"/>
    <w:rsid w:val="00F65A38"/>
    <w:rsid w:val="00F66115"/>
    <w:rsid w:val="00F66B6E"/>
    <w:rsid w:val="00F67172"/>
    <w:rsid w:val="00F6757B"/>
    <w:rsid w:val="00F67D79"/>
    <w:rsid w:val="00F70007"/>
    <w:rsid w:val="00F70122"/>
    <w:rsid w:val="00F70C04"/>
    <w:rsid w:val="00F70FCE"/>
    <w:rsid w:val="00F71398"/>
    <w:rsid w:val="00F71790"/>
    <w:rsid w:val="00F719D3"/>
    <w:rsid w:val="00F71BE6"/>
    <w:rsid w:val="00F7239B"/>
    <w:rsid w:val="00F724B9"/>
    <w:rsid w:val="00F7298C"/>
    <w:rsid w:val="00F72C4B"/>
    <w:rsid w:val="00F72D35"/>
    <w:rsid w:val="00F730B4"/>
    <w:rsid w:val="00F730DE"/>
    <w:rsid w:val="00F73C5A"/>
    <w:rsid w:val="00F740DE"/>
    <w:rsid w:val="00F74406"/>
    <w:rsid w:val="00F7474E"/>
    <w:rsid w:val="00F74CF8"/>
    <w:rsid w:val="00F75362"/>
    <w:rsid w:val="00F763BD"/>
    <w:rsid w:val="00F76899"/>
    <w:rsid w:val="00F77939"/>
    <w:rsid w:val="00F77B8F"/>
    <w:rsid w:val="00F802DE"/>
    <w:rsid w:val="00F80380"/>
    <w:rsid w:val="00F80515"/>
    <w:rsid w:val="00F80954"/>
    <w:rsid w:val="00F8215E"/>
    <w:rsid w:val="00F8256E"/>
    <w:rsid w:val="00F828E9"/>
    <w:rsid w:val="00F82A23"/>
    <w:rsid w:val="00F82ABA"/>
    <w:rsid w:val="00F82C51"/>
    <w:rsid w:val="00F82CAE"/>
    <w:rsid w:val="00F82FB3"/>
    <w:rsid w:val="00F83300"/>
    <w:rsid w:val="00F8398F"/>
    <w:rsid w:val="00F83E03"/>
    <w:rsid w:val="00F84058"/>
    <w:rsid w:val="00F8406F"/>
    <w:rsid w:val="00F84542"/>
    <w:rsid w:val="00F84BC1"/>
    <w:rsid w:val="00F851F3"/>
    <w:rsid w:val="00F85294"/>
    <w:rsid w:val="00F85311"/>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885"/>
    <w:rsid w:val="00F92025"/>
    <w:rsid w:val="00F93CB3"/>
    <w:rsid w:val="00F93D9A"/>
    <w:rsid w:val="00F93FB2"/>
    <w:rsid w:val="00F9418C"/>
    <w:rsid w:val="00F94464"/>
    <w:rsid w:val="00F94697"/>
    <w:rsid w:val="00F94EBD"/>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5BE"/>
    <w:rsid w:val="00FA36EF"/>
    <w:rsid w:val="00FA3BA8"/>
    <w:rsid w:val="00FA3F84"/>
    <w:rsid w:val="00FA4C6E"/>
    <w:rsid w:val="00FA4FFE"/>
    <w:rsid w:val="00FA51EB"/>
    <w:rsid w:val="00FA550B"/>
    <w:rsid w:val="00FA5928"/>
    <w:rsid w:val="00FA623F"/>
    <w:rsid w:val="00FA6B28"/>
    <w:rsid w:val="00FA714C"/>
    <w:rsid w:val="00FA79CE"/>
    <w:rsid w:val="00FA7B46"/>
    <w:rsid w:val="00FA7D7C"/>
    <w:rsid w:val="00FB02CC"/>
    <w:rsid w:val="00FB20D3"/>
    <w:rsid w:val="00FB22E5"/>
    <w:rsid w:val="00FB2B5C"/>
    <w:rsid w:val="00FB3006"/>
    <w:rsid w:val="00FB3AC4"/>
    <w:rsid w:val="00FB3CDB"/>
    <w:rsid w:val="00FB4279"/>
    <w:rsid w:val="00FB4330"/>
    <w:rsid w:val="00FB443F"/>
    <w:rsid w:val="00FB4496"/>
    <w:rsid w:val="00FB45C5"/>
    <w:rsid w:val="00FB4F38"/>
    <w:rsid w:val="00FB538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779"/>
    <w:rsid w:val="00FC384C"/>
    <w:rsid w:val="00FC3A77"/>
    <w:rsid w:val="00FC3C23"/>
    <w:rsid w:val="00FC4241"/>
    <w:rsid w:val="00FC42C9"/>
    <w:rsid w:val="00FC4550"/>
    <w:rsid w:val="00FC4EEF"/>
    <w:rsid w:val="00FC4F80"/>
    <w:rsid w:val="00FC5125"/>
    <w:rsid w:val="00FC51FF"/>
    <w:rsid w:val="00FC5E52"/>
    <w:rsid w:val="00FC5FB4"/>
    <w:rsid w:val="00FC6544"/>
    <w:rsid w:val="00FC67F8"/>
    <w:rsid w:val="00FC6AD2"/>
    <w:rsid w:val="00FC6EB7"/>
    <w:rsid w:val="00FC742E"/>
    <w:rsid w:val="00FC7D61"/>
    <w:rsid w:val="00FC7E74"/>
    <w:rsid w:val="00FD0264"/>
    <w:rsid w:val="00FD0D02"/>
    <w:rsid w:val="00FD0D84"/>
    <w:rsid w:val="00FD109E"/>
    <w:rsid w:val="00FD1524"/>
    <w:rsid w:val="00FD2443"/>
    <w:rsid w:val="00FD356B"/>
    <w:rsid w:val="00FD3B6B"/>
    <w:rsid w:val="00FD4048"/>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1E9F"/>
    <w:rsid w:val="00FE3134"/>
    <w:rsid w:val="00FE40AE"/>
    <w:rsid w:val="00FE45A3"/>
    <w:rsid w:val="00FE4FBB"/>
    <w:rsid w:val="00FE55E8"/>
    <w:rsid w:val="00FE5BC9"/>
    <w:rsid w:val="00FE6D74"/>
    <w:rsid w:val="00FE790F"/>
    <w:rsid w:val="00FF017E"/>
    <w:rsid w:val="00FF0833"/>
    <w:rsid w:val="00FF0CE8"/>
    <w:rsid w:val="00FF129C"/>
    <w:rsid w:val="00FF1EC8"/>
    <w:rsid w:val="00FF23F0"/>
    <w:rsid w:val="00FF2C74"/>
    <w:rsid w:val="00FF2F27"/>
    <w:rsid w:val="00FF2FA1"/>
    <w:rsid w:val="00FF473D"/>
    <w:rsid w:val="00FF475B"/>
    <w:rsid w:val="00FF48BE"/>
    <w:rsid w:val="00FF4E65"/>
    <w:rsid w:val="00FF50AE"/>
    <w:rsid w:val="00FF50CA"/>
    <w:rsid w:val="00FF51DF"/>
    <w:rsid w:val="00FF5E97"/>
    <w:rsid w:val="00FF61B0"/>
    <w:rsid w:val="00FF61FF"/>
    <w:rsid w:val="00FF6305"/>
    <w:rsid w:val="00FF6524"/>
    <w:rsid w:val="00FF6E79"/>
    <w:rsid w:val="00FF6F65"/>
    <w:rsid w:val="00FF720E"/>
    <w:rsid w:val="00FF7552"/>
    <w:rsid w:val="00FF767E"/>
    <w:rsid w:val="00FF7804"/>
    <w:rsid w:val="00FF78D7"/>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3D7EDA"/>
    <w:pPr>
      <w:tabs>
        <w:tab w:val="right" w:leader="dot" w:pos="9072"/>
      </w:tabs>
      <w:spacing w:before="120" w:after="120"/>
      <w:jc w:val="left"/>
    </w:pPr>
    <w:rPr>
      <w:b/>
      <w:sz w:val="24"/>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paragraph" w:customStyle="1" w:styleId="Expertadvice">
    <w:name w:val="Expert advice"/>
    <w:basedOn w:val="Normal"/>
    <w:link w:val="ExpertadviceChar"/>
    <w:qFormat/>
    <w:rsid w:val="00CA6581"/>
    <w:pPr>
      <w:tabs>
        <w:tab w:val="left" w:pos="1134"/>
      </w:tabs>
      <w:spacing w:after="240"/>
      <w:ind w:left="426"/>
    </w:pPr>
    <w:rPr>
      <w:rFonts w:ascii="Times New Roman" w:hAnsi="Times New Roman"/>
      <w:sz w:val="24"/>
      <w:lang w:bidi="ar-SA"/>
    </w:rPr>
  </w:style>
  <w:style w:type="character" w:customStyle="1" w:styleId="ExpertadviceChar">
    <w:name w:val="Expert advice Char"/>
    <w:link w:val="Expertadvice"/>
    <w:rsid w:val="00CA6581"/>
    <w:rPr>
      <w:sz w:val="24"/>
      <w:szCs w:val="24"/>
      <w:lang w:eastAsia="en-US"/>
    </w:rPr>
  </w:style>
  <w:style w:type="paragraph" w:styleId="Quote">
    <w:name w:val="Quote"/>
    <w:basedOn w:val="Normal"/>
    <w:next w:val="Paranumbered"/>
    <w:link w:val="QuoteChar"/>
    <w:qFormat/>
    <w:rsid w:val="002C3314"/>
    <w:pPr>
      <w:tabs>
        <w:tab w:val="left" w:pos="1134"/>
        <w:tab w:val="left" w:pos="3686"/>
      </w:tabs>
      <w:spacing w:after="240"/>
      <w:ind w:left="425"/>
    </w:pPr>
    <w:rPr>
      <w:rFonts w:ascii="Times New Roman" w:hAnsi="Times New Roman"/>
      <w:sz w:val="24"/>
      <w:lang w:bidi="ar-SA"/>
    </w:rPr>
  </w:style>
  <w:style w:type="character" w:customStyle="1" w:styleId="QuoteChar">
    <w:name w:val="Quote Char"/>
    <w:basedOn w:val="DefaultParagraphFont"/>
    <w:link w:val="Quote"/>
    <w:rsid w:val="002C3314"/>
    <w:rPr>
      <w:sz w:val="24"/>
      <w:szCs w:val="24"/>
      <w:lang w:eastAsia="en-US"/>
    </w:rPr>
  </w:style>
  <w:style w:type="paragraph" w:customStyle="1" w:styleId="Paranumbered">
    <w:name w:val="Para numbered"/>
    <w:basedOn w:val="Normal"/>
    <w:rsid w:val="002C3314"/>
    <w:pPr>
      <w:spacing w:after="240"/>
      <w:ind w:hanging="425"/>
    </w:pPr>
    <w:rPr>
      <w:rFonts w:ascii="Times New Roman" w:hAnsi="Times New Roman"/>
      <w:sz w:val="24"/>
      <w:lang w:bidi="ar-SA"/>
    </w:rPr>
  </w:style>
  <w:style w:type="paragraph" w:customStyle="1" w:styleId="Recommendationfinalpoint">
    <w:name w:val="Recommendation final point"/>
    <w:basedOn w:val="Bulletindent"/>
    <w:next w:val="Paranumbered"/>
    <w:qFormat/>
    <w:rsid w:val="00926AA8"/>
    <w:pPr>
      <w:numPr>
        <w:numId w:val="7"/>
      </w:numPr>
      <w:tabs>
        <w:tab w:val="left" w:pos="425"/>
      </w:tabs>
      <w:spacing w:after="240"/>
    </w:pPr>
    <w:rPr>
      <w:rFonts w:ascii="Times New Roman" w:hAnsi="Times New Roman"/>
      <w:sz w:val="24"/>
    </w:rPr>
  </w:style>
  <w:style w:type="character" w:customStyle="1" w:styleId="ListParagraphChar">
    <w:name w:val="List Paragraph Char"/>
    <w:basedOn w:val="DefaultParagraphFont"/>
    <w:link w:val="ListParagraph"/>
    <w:uiPriority w:val="34"/>
    <w:rsid w:val="009A672F"/>
    <w:rPr>
      <w:rFonts w:asciiTheme="minorHAnsi" w:hAnsiTheme="minorHAnsi"/>
      <w:sz w:val="22"/>
      <w:szCs w:val="24"/>
      <w:lang w:eastAsia="en-US" w:bidi="he-IL"/>
    </w:rPr>
  </w:style>
  <w:style w:type="paragraph" w:customStyle="1" w:styleId="abclist">
    <w:name w:val="abc list"/>
    <w:basedOn w:val="ListParagraph"/>
    <w:link w:val="abclistChar"/>
    <w:qFormat/>
    <w:rsid w:val="007A59AB"/>
    <w:pPr>
      <w:numPr>
        <w:numId w:val="10"/>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7A59AB"/>
    <w:pPr>
      <w:numPr>
        <w:numId w:val="0"/>
      </w:numPr>
      <w:tabs>
        <w:tab w:val="clear" w:pos="284"/>
        <w:tab w:val="left" w:pos="426"/>
      </w:tabs>
      <w:ind w:left="426" w:hanging="426"/>
    </w:pPr>
  </w:style>
  <w:style w:type="character" w:customStyle="1" w:styleId="abclistChar">
    <w:name w:val="abc list Char"/>
    <w:basedOn w:val="ListParagraphChar"/>
    <w:link w:val="abclist"/>
    <w:rsid w:val="007A59AB"/>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7A59AB"/>
    <w:rPr>
      <w:rFonts w:asciiTheme="minorHAnsi" w:eastAsiaTheme="minorHAnsi" w:hAnsiTheme="minorHAnsi" w:cstheme="minorBidi"/>
      <w:sz w:val="24"/>
      <w:szCs w:val="22"/>
      <w:lang w:eastAsia="en-US" w:bidi="he-IL"/>
    </w:rPr>
  </w:style>
  <w:style w:type="paragraph" w:customStyle="1" w:styleId="Bulletitalfinal">
    <w:name w:val="Bullet ital final"/>
    <w:basedOn w:val="Normal"/>
    <w:next w:val="Paranumbered"/>
    <w:qFormat/>
    <w:rsid w:val="005D7EF3"/>
    <w:pPr>
      <w:numPr>
        <w:numId w:val="15"/>
      </w:numPr>
      <w:tabs>
        <w:tab w:val="left" w:pos="1134"/>
      </w:tabs>
      <w:spacing w:after="240"/>
      <w:ind w:left="357" w:hanging="357"/>
    </w:pPr>
    <w:rPr>
      <w:rFonts w:ascii="Times New Roman" w:hAnsi="Times New Roman"/>
      <w:i/>
      <w:iCs/>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3D7EDA"/>
    <w:pPr>
      <w:tabs>
        <w:tab w:val="right" w:leader="dot" w:pos="9072"/>
      </w:tabs>
      <w:spacing w:before="120" w:after="120"/>
      <w:jc w:val="left"/>
    </w:pPr>
    <w:rPr>
      <w:b/>
      <w:sz w:val="24"/>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paragraph" w:customStyle="1" w:styleId="Expertadvice">
    <w:name w:val="Expert advice"/>
    <w:basedOn w:val="Normal"/>
    <w:link w:val="ExpertadviceChar"/>
    <w:qFormat/>
    <w:rsid w:val="00CA6581"/>
    <w:pPr>
      <w:tabs>
        <w:tab w:val="left" w:pos="1134"/>
      </w:tabs>
      <w:spacing w:after="240"/>
      <w:ind w:left="426"/>
    </w:pPr>
    <w:rPr>
      <w:rFonts w:ascii="Times New Roman" w:hAnsi="Times New Roman"/>
      <w:sz w:val="24"/>
      <w:lang w:bidi="ar-SA"/>
    </w:rPr>
  </w:style>
  <w:style w:type="character" w:customStyle="1" w:styleId="ExpertadviceChar">
    <w:name w:val="Expert advice Char"/>
    <w:link w:val="Expertadvice"/>
    <w:rsid w:val="00CA6581"/>
    <w:rPr>
      <w:sz w:val="24"/>
      <w:szCs w:val="24"/>
      <w:lang w:eastAsia="en-US"/>
    </w:rPr>
  </w:style>
  <w:style w:type="paragraph" w:styleId="Quote">
    <w:name w:val="Quote"/>
    <w:basedOn w:val="Normal"/>
    <w:next w:val="Paranumbered"/>
    <w:link w:val="QuoteChar"/>
    <w:qFormat/>
    <w:rsid w:val="002C3314"/>
    <w:pPr>
      <w:tabs>
        <w:tab w:val="left" w:pos="1134"/>
        <w:tab w:val="left" w:pos="3686"/>
      </w:tabs>
      <w:spacing w:after="240"/>
      <w:ind w:left="425"/>
    </w:pPr>
    <w:rPr>
      <w:rFonts w:ascii="Times New Roman" w:hAnsi="Times New Roman"/>
      <w:sz w:val="24"/>
      <w:lang w:bidi="ar-SA"/>
    </w:rPr>
  </w:style>
  <w:style w:type="character" w:customStyle="1" w:styleId="QuoteChar">
    <w:name w:val="Quote Char"/>
    <w:basedOn w:val="DefaultParagraphFont"/>
    <w:link w:val="Quote"/>
    <w:rsid w:val="002C3314"/>
    <w:rPr>
      <w:sz w:val="24"/>
      <w:szCs w:val="24"/>
      <w:lang w:eastAsia="en-US"/>
    </w:rPr>
  </w:style>
  <w:style w:type="paragraph" w:customStyle="1" w:styleId="Paranumbered">
    <w:name w:val="Para numbered"/>
    <w:basedOn w:val="Normal"/>
    <w:rsid w:val="002C3314"/>
    <w:pPr>
      <w:spacing w:after="240"/>
      <w:ind w:hanging="425"/>
    </w:pPr>
    <w:rPr>
      <w:rFonts w:ascii="Times New Roman" w:hAnsi="Times New Roman"/>
      <w:sz w:val="24"/>
      <w:lang w:bidi="ar-SA"/>
    </w:rPr>
  </w:style>
  <w:style w:type="paragraph" w:customStyle="1" w:styleId="Recommendationfinalpoint">
    <w:name w:val="Recommendation final point"/>
    <w:basedOn w:val="Bulletindent"/>
    <w:next w:val="Paranumbered"/>
    <w:qFormat/>
    <w:rsid w:val="00926AA8"/>
    <w:pPr>
      <w:numPr>
        <w:numId w:val="7"/>
      </w:numPr>
      <w:tabs>
        <w:tab w:val="left" w:pos="425"/>
      </w:tabs>
      <w:spacing w:after="240"/>
    </w:pPr>
    <w:rPr>
      <w:rFonts w:ascii="Times New Roman" w:hAnsi="Times New Roman"/>
      <w:sz w:val="24"/>
    </w:rPr>
  </w:style>
  <w:style w:type="character" w:customStyle="1" w:styleId="ListParagraphChar">
    <w:name w:val="List Paragraph Char"/>
    <w:basedOn w:val="DefaultParagraphFont"/>
    <w:link w:val="ListParagraph"/>
    <w:uiPriority w:val="34"/>
    <w:rsid w:val="009A672F"/>
    <w:rPr>
      <w:rFonts w:asciiTheme="minorHAnsi" w:hAnsiTheme="minorHAnsi"/>
      <w:sz w:val="22"/>
      <w:szCs w:val="24"/>
      <w:lang w:eastAsia="en-US" w:bidi="he-IL"/>
    </w:rPr>
  </w:style>
  <w:style w:type="paragraph" w:customStyle="1" w:styleId="abclist">
    <w:name w:val="abc list"/>
    <w:basedOn w:val="ListParagraph"/>
    <w:link w:val="abclistChar"/>
    <w:qFormat/>
    <w:rsid w:val="007A59AB"/>
    <w:pPr>
      <w:numPr>
        <w:numId w:val="10"/>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7A59AB"/>
    <w:pPr>
      <w:numPr>
        <w:numId w:val="0"/>
      </w:numPr>
      <w:tabs>
        <w:tab w:val="clear" w:pos="284"/>
        <w:tab w:val="left" w:pos="426"/>
      </w:tabs>
      <w:ind w:left="426" w:hanging="426"/>
    </w:pPr>
  </w:style>
  <w:style w:type="character" w:customStyle="1" w:styleId="abclistChar">
    <w:name w:val="abc list Char"/>
    <w:basedOn w:val="ListParagraphChar"/>
    <w:link w:val="abclist"/>
    <w:rsid w:val="007A59AB"/>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7A59AB"/>
    <w:rPr>
      <w:rFonts w:asciiTheme="minorHAnsi" w:eastAsiaTheme="minorHAnsi" w:hAnsiTheme="minorHAnsi" w:cstheme="minorBidi"/>
      <w:sz w:val="24"/>
      <w:szCs w:val="22"/>
      <w:lang w:eastAsia="en-US" w:bidi="he-IL"/>
    </w:rPr>
  </w:style>
  <w:style w:type="paragraph" w:customStyle="1" w:styleId="Bulletitalfinal">
    <w:name w:val="Bullet ital final"/>
    <w:basedOn w:val="Normal"/>
    <w:next w:val="Paranumbered"/>
    <w:qFormat/>
    <w:rsid w:val="005D7EF3"/>
    <w:pPr>
      <w:numPr>
        <w:numId w:val="15"/>
      </w:numPr>
      <w:tabs>
        <w:tab w:val="left" w:pos="1134"/>
      </w:tabs>
      <w:spacing w:after="240"/>
      <w:ind w:left="357" w:hanging="357"/>
    </w:pPr>
    <w:rPr>
      <w:rFonts w:ascii="Times New Roman" w:hAnsi="Times New Roman"/>
      <w:i/>
      <w:iC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6664276">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8%20-%20Annual%20report\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DHB%20Reports\2018%20-%20Annual%20report\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DHB%20Reports\2018%20-%20Annual%20report\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c-fps01\data$\Education%20(Current)\DHB%20Reports\2018%20-%20Annual%20report\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spPr>
            <a:ln>
              <a:solidFill>
                <a:srgbClr val="C00000"/>
              </a:solidFill>
            </a:ln>
          </c:spPr>
          <c:marker>
            <c:spPr>
              <a:solidFill>
                <a:srgbClr val="C00000"/>
              </a:solidFill>
              <a:ln>
                <a:solidFill>
                  <a:srgbClr val="C00000"/>
                </a:solidFill>
              </a:ln>
            </c:spPr>
          </c:marker>
          <c:cat>
            <c:strRef>
              <c:f>'Number of complaints'!$A$1:$E$1</c:f>
              <c:strCache>
                <c:ptCount val="5"/>
                <c:pt idx="0">
                  <c:v>2013/2014</c:v>
                </c:pt>
                <c:pt idx="1">
                  <c:v>2014/2015</c:v>
                </c:pt>
                <c:pt idx="2">
                  <c:v>2015/2016</c:v>
                </c:pt>
                <c:pt idx="3">
                  <c:v>2016/2017</c:v>
                </c:pt>
                <c:pt idx="4">
                  <c:v>2017/2018</c:v>
                </c:pt>
              </c:strCache>
            </c:strRef>
          </c:cat>
          <c:val>
            <c:numRef>
              <c:f>'Number of complaints'!$A$2:$E$2</c:f>
              <c:numCache>
                <c:formatCode>General</c:formatCode>
                <c:ptCount val="5"/>
                <c:pt idx="0">
                  <c:v>660</c:v>
                </c:pt>
                <c:pt idx="1">
                  <c:v>757</c:v>
                </c:pt>
                <c:pt idx="2">
                  <c:v>805</c:v>
                </c:pt>
                <c:pt idx="3">
                  <c:v>863</c:v>
                </c:pt>
                <c:pt idx="4">
                  <c:v>889</c:v>
                </c:pt>
              </c:numCache>
            </c:numRef>
          </c:val>
          <c:smooth val="0"/>
        </c:ser>
        <c:dLbls>
          <c:showLegendKey val="0"/>
          <c:showVal val="0"/>
          <c:showCatName val="0"/>
          <c:showSerName val="0"/>
          <c:showPercent val="0"/>
          <c:showBubbleSize val="0"/>
        </c:dLbls>
        <c:marker val="1"/>
        <c:smooth val="0"/>
        <c:axId val="72511872"/>
        <c:axId val="72513792"/>
      </c:lineChart>
      <c:catAx>
        <c:axId val="72511872"/>
        <c:scaling>
          <c:orientation val="minMax"/>
        </c:scaling>
        <c:delete val="0"/>
        <c:axPos val="b"/>
        <c:majorTickMark val="out"/>
        <c:minorTickMark val="none"/>
        <c:tickLblPos val="nextTo"/>
        <c:crossAx val="72513792"/>
        <c:crosses val="autoZero"/>
        <c:auto val="1"/>
        <c:lblAlgn val="ctr"/>
        <c:lblOffset val="100"/>
        <c:noMultiLvlLbl val="0"/>
      </c:catAx>
      <c:valAx>
        <c:axId val="72513792"/>
        <c:scaling>
          <c:orientation val="minMax"/>
        </c:scaling>
        <c:delete val="0"/>
        <c:axPos val="l"/>
        <c:majorGridlines/>
        <c:numFmt formatCode="General" sourceLinked="1"/>
        <c:majorTickMark val="out"/>
        <c:minorTickMark val="none"/>
        <c:tickLblPos val="nextTo"/>
        <c:crossAx val="725118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0"/>
          <c:order val="0"/>
          <c:spPr>
            <a:ln>
              <a:solidFill>
                <a:srgbClr val="C00000"/>
              </a:solidFill>
            </a:ln>
          </c:spPr>
          <c:marker>
            <c:spPr>
              <a:solidFill>
                <a:srgbClr val="C00000"/>
              </a:solidFill>
              <a:ln>
                <a:solidFill>
                  <a:srgbClr val="C00000"/>
                </a:solidFill>
              </a:ln>
            </c:spPr>
          </c:marker>
          <c:cat>
            <c:strRef>
              <c:f>Sheet1!$A$1:$E$1</c:f>
              <c:strCache>
                <c:ptCount val="5"/>
                <c:pt idx="0">
                  <c:v>2013/2014</c:v>
                </c:pt>
                <c:pt idx="1">
                  <c:v>2014/2015</c:v>
                </c:pt>
                <c:pt idx="2">
                  <c:v>2015/2016</c:v>
                </c:pt>
                <c:pt idx="3">
                  <c:v>2016/2017</c:v>
                </c:pt>
                <c:pt idx="4">
                  <c:v>2017/2018</c:v>
                </c:pt>
              </c:strCache>
            </c:strRef>
          </c:cat>
          <c:val>
            <c:numRef>
              <c:f>Sheet1!$A$2:$E$2</c:f>
              <c:numCache>
                <c:formatCode>General</c:formatCode>
                <c:ptCount val="5"/>
                <c:pt idx="0">
                  <c:v>72.08</c:v>
                </c:pt>
                <c:pt idx="1">
                  <c:v>80.569999999999993</c:v>
                </c:pt>
                <c:pt idx="2">
                  <c:v>84.51</c:v>
                </c:pt>
                <c:pt idx="3">
                  <c:v>88.98</c:v>
                </c:pt>
                <c:pt idx="4">
                  <c:v>91.21</c:v>
                </c:pt>
              </c:numCache>
            </c:numRef>
          </c:val>
          <c:smooth val="0"/>
        </c:ser>
        <c:dLbls>
          <c:showLegendKey val="0"/>
          <c:showVal val="0"/>
          <c:showCatName val="0"/>
          <c:showSerName val="0"/>
          <c:showPercent val="0"/>
          <c:showBubbleSize val="0"/>
        </c:dLbls>
        <c:marker val="1"/>
        <c:smooth val="0"/>
        <c:axId val="73080832"/>
        <c:axId val="73083520"/>
      </c:lineChart>
      <c:catAx>
        <c:axId val="73080832"/>
        <c:scaling>
          <c:orientation val="minMax"/>
        </c:scaling>
        <c:delete val="0"/>
        <c:axPos val="b"/>
        <c:majorTickMark val="out"/>
        <c:minorTickMark val="none"/>
        <c:tickLblPos val="nextTo"/>
        <c:crossAx val="73083520"/>
        <c:crosses val="autoZero"/>
        <c:auto val="1"/>
        <c:lblAlgn val="ctr"/>
        <c:lblOffset val="100"/>
        <c:noMultiLvlLbl val="0"/>
      </c:catAx>
      <c:valAx>
        <c:axId val="73083520"/>
        <c:scaling>
          <c:orientation val="minMax"/>
        </c:scaling>
        <c:delete val="0"/>
        <c:axPos val="l"/>
        <c:majorGridlines/>
        <c:numFmt formatCode="General" sourceLinked="1"/>
        <c:majorTickMark val="out"/>
        <c:minorTickMark val="none"/>
        <c:tickLblPos val="nextTo"/>
        <c:crossAx val="730808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spPr>
            <a:solidFill>
              <a:srgbClr val="C00000"/>
            </a:solidFill>
          </c:spPr>
          <c:invertIfNegative val="0"/>
          <c:cat>
            <c:strRef>
              <c:f>Services!$A$1:$A$9</c:f>
              <c:strCache>
                <c:ptCount val="9"/>
                <c:pt idx="0">
                  <c:v>Other </c:v>
                </c:pt>
                <c:pt idx="1">
                  <c:v>Disability services</c:v>
                </c:pt>
                <c:pt idx="2">
                  <c:v>Diagnostics</c:v>
                </c:pt>
                <c:pt idx="3">
                  <c:v>Paediatrics</c:v>
                </c:pt>
                <c:pt idx="4">
                  <c:v>Maternity</c:v>
                </c:pt>
                <c:pt idx="5">
                  <c:v>Emergency Department</c:v>
                </c:pt>
                <c:pt idx="6">
                  <c:v>General medicine</c:v>
                </c:pt>
                <c:pt idx="7">
                  <c:v>Mental health </c:v>
                </c:pt>
                <c:pt idx="8">
                  <c:v>Surgery</c:v>
                </c:pt>
              </c:strCache>
            </c:strRef>
          </c:cat>
          <c:val>
            <c:numRef>
              <c:f>Services!$B$1:$B$9</c:f>
              <c:numCache>
                <c:formatCode>General</c:formatCode>
                <c:ptCount val="9"/>
                <c:pt idx="0">
                  <c:v>54</c:v>
                </c:pt>
                <c:pt idx="1">
                  <c:v>16</c:v>
                </c:pt>
                <c:pt idx="2">
                  <c:v>22</c:v>
                </c:pt>
                <c:pt idx="3">
                  <c:v>27</c:v>
                </c:pt>
                <c:pt idx="4">
                  <c:v>69</c:v>
                </c:pt>
                <c:pt idx="5">
                  <c:v>104</c:v>
                </c:pt>
                <c:pt idx="6">
                  <c:v>152</c:v>
                </c:pt>
                <c:pt idx="7">
                  <c:v>188</c:v>
                </c:pt>
                <c:pt idx="8">
                  <c:v>291</c:v>
                </c:pt>
              </c:numCache>
            </c:numRef>
          </c:val>
        </c:ser>
        <c:dLbls>
          <c:showLegendKey val="0"/>
          <c:showVal val="0"/>
          <c:showCatName val="0"/>
          <c:showSerName val="0"/>
          <c:showPercent val="0"/>
          <c:showBubbleSize val="0"/>
        </c:dLbls>
        <c:gapWidth val="150"/>
        <c:axId val="121560448"/>
        <c:axId val="121833344"/>
      </c:barChart>
      <c:catAx>
        <c:axId val="121560448"/>
        <c:scaling>
          <c:orientation val="minMax"/>
        </c:scaling>
        <c:delete val="0"/>
        <c:axPos val="l"/>
        <c:majorTickMark val="out"/>
        <c:minorTickMark val="none"/>
        <c:tickLblPos val="nextTo"/>
        <c:crossAx val="121833344"/>
        <c:crosses val="autoZero"/>
        <c:auto val="1"/>
        <c:lblAlgn val="ctr"/>
        <c:lblOffset val="100"/>
        <c:noMultiLvlLbl val="0"/>
      </c:catAx>
      <c:valAx>
        <c:axId val="121833344"/>
        <c:scaling>
          <c:orientation val="minMax"/>
        </c:scaling>
        <c:delete val="0"/>
        <c:axPos val="b"/>
        <c:majorGridlines/>
        <c:numFmt formatCode="General" sourceLinked="1"/>
        <c:majorTickMark val="out"/>
        <c:minorTickMark val="none"/>
        <c:tickLblPos val="nextTo"/>
        <c:crossAx val="1215604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Issues!$B$1</c:f>
              <c:strCache>
                <c:ptCount val="1"/>
                <c:pt idx="0">
                  <c:v>Primary issue (%)</c:v>
                </c:pt>
              </c:strCache>
            </c:strRef>
          </c:tx>
          <c:spPr>
            <a:solidFill>
              <a:srgbClr val="0070C0"/>
            </a:solidFill>
          </c:spPr>
          <c:invertIfNegative val="0"/>
          <c:cat>
            <c:strRef>
              <c:f>Issues!$A$2:$A$13</c:f>
              <c:strCache>
                <c:ptCount val="12"/>
                <c:pt idx="0">
                  <c:v>Inadequate response to complaint</c:v>
                </c:pt>
                <c:pt idx="1">
                  <c:v>Inadequate coordination of care/treatment</c:v>
                </c:pt>
                <c:pt idx="2">
                  <c:v>Failure to communicate effectively with family</c:v>
                </c:pt>
                <c:pt idx="3">
                  <c:v>Inadequate/inappropriate examination/assessment</c:v>
                </c:pt>
                <c:pt idx="4">
                  <c:v>Failure to communicate effectively with consumer</c:v>
                </c:pt>
                <c:pt idx="5">
                  <c:v>Disrespectful manner/attitude</c:v>
                </c:pt>
                <c:pt idx="6">
                  <c:v>Delay in treatment</c:v>
                </c:pt>
                <c:pt idx="7">
                  <c:v>Lack of access to services</c:v>
                </c:pt>
                <c:pt idx="8">
                  <c:v>Inadequate/inappropriate treatment</c:v>
                </c:pt>
                <c:pt idx="9">
                  <c:v>Unexpected treatment outcome</c:v>
                </c:pt>
                <c:pt idx="10">
                  <c:v>Waiting list/prioritisation issue</c:v>
                </c:pt>
                <c:pt idx="11">
                  <c:v>Missed/incorrect/delayed diagnosis</c:v>
                </c:pt>
              </c:strCache>
            </c:strRef>
          </c:cat>
          <c:val>
            <c:numRef>
              <c:f>Issues!$B$2:$B$13</c:f>
              <c:numCache>
                <c:formatCode>General</c:formatCode>
                <c:ptCount val="12"/>
                <c:pt idx="0">
                  <c:v>2</c:v>
                </c:pt>
                <c:pt idx="1">
                  <c:v>2</c:v>
                </c:pt>
                <c:pt idx="2">
                  <c:v>2</c:v>
                </c:pt>
                <c:pt idx="3">
                  <c:v>2</c:v>
                </c:pt>
                <c:pt idx="4">
                  <c:v>2</c:v>
                </c:pt>
                <c:pt idx="5">
                  <c:v>3</c:v>
                </c:pt>
                <c:pt idx="6">
                  <c:v>3</c:v>
                </c:pt>
                <c:pt idx="7">
                  <c:v>6</c:v>
                </c:pt>
                <c:pt idx="8">
                  <c:v>6</c:v>
                </c:pt>
                <c:pt idx="9">
                  <c:v>10</c:v>
                </c:pt>
                <c:pt idx="10">
                  <c:v>10</c:v>
                </c:pt>
                <c:pt idx="11">
                  <c:v>13</c:v>
                </c:pt>
              </c:numCache>
            </c:numRef>
          </c:val>
        </c:ser>
        <c:ser>
          <c:idx val="1"/>
          <c:order val="1"/>
          <c:tx>
            <c:strRef>
              <c:f>Issues!$C$1</c:f>
              <c:strCache>
                <c:ptCount val="1"/>
                <c:pt idx="0">
                  <c:v>All issues (%)</c:v>
                </c:pt>
              </c:strCache>
            </c:strRef>
          </c:tx>
          <c:spPr>
            <a:solidFill>
              <a:srgbClr val="C00000"/>
            </a:solidFill>
          </c:spPr>
          <c:invertIfNegative val="0"/>
          <c:cat>
            <c:strRef>
              <c:f>Issues!$A$2:$A$13</c:f>
              <c:strCache>
                <c:ptCount val="12"/>
                <c:pt idx="0">
                  <c:v>Inadequate response to complaint</c:v>
                </c:pt>
                <c:pt idx="1">
                  <c:v>Inadequate coordination of care/treatment</c:v>
                </c:pt>
                <c:pt idx="2">
                  <c:v>Failure to communicate effectively with family</c:v>
                </c:pt>
                <c:pt idx="3">
                  <c:v>Inadequate/inappropriate examination/assessment</c:v>
                </c:pt>
                <c:pt idx="4">
                  <c:v>Failure to communicate effectively with consumer</c:v>
                </c:pt>
                <c:pt idx="5">
                  <c:v>Disrespectful manner/attitude</c:v>
                </c:pt>
                <c:pt idx="6">
                  <c:v>Delay in treatment</c:v>
                </c:pt>
                <c:pt idx="7">
                  <c:v>Lack of access to services</c:v>
                </c:pt>
                <c:pt idx="8">
                  <c:v>Inadequate/inappropriate treatment</c:v>
                </c:pt>
                <c:pt idx="9">
                  <c:v>Unexpected treatment outcome</c:v>
                </c:pt>
                <c:pt idx="10">
                  <c:v>Waiting list/prioritisation issue</c:v>
                </c:pt>
                <c:pt idx="11">
                  <c:v>Missed/incorrect/delayed diagnosis</c:v>
                </c:pt>
              </c:strCache>
            </c:strRef>
          </c:cat>
          <c:val>
            <c:numRef>
              <c:f>Issues!$C$2:$C$13</c:f>
              <c:numCache>
                <c:formatCode>General</c:formatCode>
                <c:ptCount val="12"/>
                <c:pt idx="0">
                  <c:v>16</c:v>
                </c:pt>
                <c:pt idx="1">
                  <c:v>16</c:v>
                </c:pt>
                <c:pt idx="2">
                  <c:v>20</c:v>
                </c:pt>
                <c:pt idx="3">
                  <c:v>24</c:v>
                </c:pt>
                <c:pt idx="4">
                  <c:v>37</c:v>
                </c:pt>
                <c:pt idx="5">
                  <c:v>16</c:v>
                </c:pt>
                <c:pt idx="6">
                  <c:v>20</c:v>
                </c:pt>
                <c:pt idx="7">
                  <c:v>11</c:v>
                </c:pt>
                <c:pt idx="8">
                  <c:v>36</c:v>
                </c:pt>
                <c:pt idx="9">
                  <c:v>16</c:v>
                </c:pt>
                <c:pt idx="10">
                  <c:v>14</c:v>
                </c:pt>
                <c:pt idx="11">
                  <c:v>20</c:v>
                </c:pt>
              </c:numCache>
            </c:numRef>
          </c:val>
        </c:ser>
        <c:dLbls>
          <c:showLegendKey val="0"/>
          <c:showVal val="0"/>
          <c:showCatName val="0"/>
          <c:showSerName val="0"/>
          <c:showPercent val="0"/>
          <c:showBubbleSize val="0"/>
        </c:dLbls>
        <c:gapWidth val="150"/>
        <c:axId val="143795328"/>
        <c:axId val="143797248"/>
      </c:barChart>
      <c:catAx>
        <c:axId val="143795328"/>
        <c:scaling>
          <c:orientation val="minMax"/>
        </c:scaling>
        <c:delete val="0"/>
        <c:axPos val="l"/>
        <c:majorTickMark val="out"/>
        <c:minorTickMark val="none"/>
        <c:tickLblPos val="nextTo"/>
        <c:crossAx val="143797248"/>
        <c:crosses val="autoZero"/>
        <c:auto val="1"/>
        <c:lblAlgn val="ctr"/>
        <c:lblOffset val="100"/>
        <c:noMultiLvlLbl val="0"/>
      </c:catAx>
      <c:valAx>
        <c:axId val="143797248"/>
        <c:scaling>
          <c:orientation val="minMax"/>
        </c:scaling>
        <c:delete val="0"/>
        <c:axPos val="b"/>
        <c:majorGridlines/>
        <c:numFmt formatCode="General" sourceLinked="1"/>
        <c:majorTickMark val="out"/>
        <c:minorTickMark val="none"/>
        <c:tickLblPos val="nextTo"/>
        <c:crossAx val="143795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02EB-6E82-47CE-A6E4-CAFB0DF4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BFEC70F3</Template>
  <TotalTime>74</TotalTime>
  <Pages>40</Pages>
  <Words>11496</Words>
  <Characters>65533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National Data involving All District Health Boards</vt:lpstr>
    </vt:vector>
  </TitlesOfParts>
  <Company>HDC</Company>
  <LinksUpToDate>false</LinksUpToDate>
  <CharactersWithSpaces>76876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Data involving All District Health Boards</dc:title>
  <dc:subject>National Data for All District Health Boards</dc:subject>
  <dc:creator>Loryn Bennett</dc:creator>
  <cp:lastModifiedBy>Natasha Davidson</cp:lastModifiedBy>
  <cp:revision>8</cp:revision>
  <cp:lastPrinted>2019-05-08T18:34:00Z</cp:lastPrinted>
  <dcterms:created xsi:type="dcterms:W3CDTF">2019-05-02T04:52:00Z</dcterms:created>
  <dcterms:modified xsi:type="dcterms:W3CDTF">2019-05-29T00:16:00Z</dcterms:modified>
</cp:coreProperties>
</file>